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eastAsiaTheme="majorEastAsia"/>
          <w:i/>
          <w:sz w:val="22"/>
          <w:szCs w:val="22"/>
          <w:lang w:eastAsia="zh-TW"/>
        </w:rPr>
      </w:pPr>
      <w:r>
        <w:rPr>
          <w:rFonts w:eastAsiaTheme="majorEastAsia"/>
          <w:i/>
          <w:sz w:val="22"/>
          <w:szCs w:val="22"/>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eastAsiaTheme="majorEastAsia"/>
          <w:i/>
          <w:iCs/>
          <w:color w:val="231F20"/>
          <w:kern w:val="0"/>
          <w:sz w:val="22"/>
          <w:szCs w:val="22"/>
          <w:lang w:eastAsia="zh-TW"/>
        </w:rPr>
      </w:pPr>
      <w:r>
        <w:rPr>
          <w:rFonts w:eastAsiaTheme="majorEastAsia"/>
          <w:kern w:val="0"/>
          <w:sz w:val="22"/>
          <w:szCs w:val="22"/>
          <w:lang w:eastAsia="zh-TW"/>
        </w:rPr>
        <w:drawing>
          <wp:anchor distT="0" distB="0" distL="114300" distR="114300" simplePos="0" relativeHeight="251658240" behindDoc="0" locked="0" layoutInCell="1" allowOverlap="1">
            <wp:simplePos x="0" y="0"/>
            <wp:positionH relativeFrom="column">
              <wp:posOffset>2540000</wp:posOffset>
            </wp:positionH>
            <wp:positionV relativeFrom="paragraph">
              <wp:posOffset>198120</wp:posOffset>
            </wp:positionV>
            <wp:extent cx="457200" cy="495300"/>
            <wp:effectExtent l="0" t="0" r="0" b="0"/>
            <wp:wrapNone/>
            <wp:docPr id="2" name="Picture 2"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NDON"/>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57200" cy="495300"/>
                    </a:xfrm>
                    <a:prstGeom prst="rect">
                      <a:avLst/>
                    </a:prstGeom>
                    <a:noFill/>
                    <a:ln>
                      <a:noFill/>
                    </a:ln>
                  </pic:spPr>
                </pic:pic>
              </a:graphicData>
            </a:graphic>
          </wp:anchor>
        </w:drawing>
      </w:r>
    </w:p>
    <w:p>
      <w:pPr>
        <w:autoSpaceDE w:val="0"/>
        <w:autoSpaceDN w:val="0"/>
        <w:adjustRightInd w:val="0"/>
        <w:jc w:val="center"/>
        <w:rPr>
          <w:rFonts w:eastAsiaTheme="majorEastAsia"/>
          <w:b/>
          <w:bCs/>
          <w:color w:val="231F20"/>
          <w:kern w:val="0"/>
          <w:sz w:val="22"/>
          <w:szCs w:val="22"/>
          <w:lang w:eastAsia="zh-TW"/>
        </w:rPr>
      </w:pPr>
    </w:p>
    <w:p>
      <w:pPr>
        <w:autoSpaceDE w:val="0"/>
        <w:autoSpaceDN w:val="0"/>
        <w:adjustRightInd w:val="0"/>
        <w:jc w:val="center"/>
        <w:rPr>
          <w:rFonts w:eastAsiaTheme="majorEastAsia"/>
          <w:b/>
          <w:bCs/>
          <w:color w:val="231F20"/>
          <w:kern w:val="0"/>
          <w:sz w:val="22"/>
          <w:szCs w:val="22"/>
          <w:lang w:eastAsia="zh-TW"/>
        </w:rPr>
      </w:pPr>
    </w:p>
    <w:p>
      <w:pPr>
        <w:autoSpaceDE w:val="0"/>
        <w:autoSpaceDN w:val="0"/>
        <w:adjustRightInd w:val="0"/>
        <w:jc w:val="center"/>
        <w:rPr>
          <w:rFonts w:eastAsiaTheme="majorEastAsia"/>
          <w:b/>
          <w:bCs/>
          <w:color w:val="231F20"/>
          <w:kern w:val="0"/>
          <w:sz w:val="22"/>
          <w:szCs w:val="22"/>
          <w:lang w:eastAsia="zh-TW"/>
        </w:rPr>
      </w:pPr>
    </w:p>
    <w:p>
      <w:pPr>
        <w:autoSpaceDE w:val="0"/>
        <w:autoSpaceDN w:val="0"/>
        <w:adjustRightInd w:val="0"/>
        <w:jc w:val="center"/>
        <w:rPr>
          <w:rFonts w:eastAsiaTheme="majorEastAsia"/>
          <w:b/>
          <w:bCs/>
          <w:color w:val="231F20"/>
          <w:kern w:val="0"/>
          <w:sz w:val="22"/>
          <w:szCs w:val="22"/>
          <w:lang w:eastAsia="zh-TW"/>
        </w:rPr>
      </w:pPr>
      <w:r>
        <w:rPr>
          <w:rFonts w:hint="eastAsia" w:eastAsia="DFKai-SB"/>
          <w:b/>
          <w:sz w:val="22"/>
          <w:szCs w:val="22"/>
        </w:rPr>
        <w:t>山東新華製藥股份有限公司</w:t>
      </w:r>
    </w:p>
    <w:p>
      <w:pPr>
        <w:autoSpaceDE w:val="0"/>
        <w:autoSpaceDN w:val="0"/>
        <w:adjustRightInd w:val="0"/>
        <w:jc w:val="center"/>
        <w:rPr>
          <w:rFonts w:eastAsiaTheme="majorEastAsia"/>
          <w:b/>
          <w:bCs/>
          <w:color w:val="231F20"/>
          <w:kern w:val="0"/>
          <w:sz w:val="22"/>
          <w:szCs w:val="22"/>
          <w:lang w:eastAsia="zh-TW"/>
        </w:rPr>
      </w:pPr>
      <w:r>
        <w:rPr>
          <w:rFonts w:eastAsiaTheme="majorEastAsia"/>
          <w:b/>
          <w:bCs/>
          <w:color w:val="231F20"/>
          <w:kern w:val="0"/>
          <w:sz w:val="22"/>
          <w:szCs w:val="22"/>
          <w:lang w:eastAsia="zh-TW"/>
        </w:rPr>
        <w:t>Shandong Xinhua Pharmaceutical Company Limited</w:t>
      </w:r>
    </w:p>
    <w:p>
      <w:pPr>
        <w:autoSpaceDE w:val="0"/>
        <w:autoSpaceDN w:val="0"/>
        <w:adjustRightInd w:val="0"/>
        <w:jc w:val="center"/>
        <w:rPr>
          <w:rFonts w:eastAsiaTheme="majorEastAsia"/>
          <w:color w:val="231F20"/>
          <w:kern w:val="0"/>
          <w:sz w:val="22"/>
          <w:szCs w:val="22"/>
          <w:lang w:eastAsia="zh-TW"/>
        </w:rPr>
      </w:pPr>
      <w:r>
        <w:rPr>
          <w:rFonts w:eastAsiaTheme="majorEastAsia"/>
          <w:color w:val="231F20"/>
          <w:kern w:val="0"/>
          <w:sz w:val="22"/>
          <w:szCs w:val="22"/>
          <w:lang w:eastAsia="zh-TW"/>
        </w:rPr>
        <w:t>（于中華人民共和國註冊成立之股份有限公司）</w:t>
      </w:r>
    </w:p>
    <w:p>
      <w:pPr>
        <w:autoSpaceDE w:val="0"/>
        <w:autoSpaceDN w:val="0"/>
        <w:adjustRightInd w:val="0"/>
        <w:jc w:val="center"/>
        <w:rPr>
          <w:rFonts w:eastAsiaTheme="majorEastAsia"/>
          <w:color w:val="231F20"/>
          <w:kern w:val="0"/>
          <w:sz w:val="22"/>
          <w:szCs w:val="22"/>
          <w:lang w:eastAsia="zh-TW"/>
        </w:rPr>
      </w:pPr>
      <w:r>
        <w:rPr>
          <w:rFonts w:eastAsiaTheme="majorEastAsia"/>
          <w:color w:val="231F20"/>
          <w:kern w:val="0"/>
          <w:sz w:val="22"/>
          <w:szCs w:val="22"/>
          <w:lang w:eastAsia="zh-TW"/>
        </w:rPr>
        <w:t>（股份代碼：00719）</w:t>
      </w:r>
    </w:p>
    <w:p>
      <w:pPr>
        <w:autoSpaceDE w:val="0"/>
        <w:autoSpaceDN w:val="0"/>
        <w:adjustRightInd w:val="0"/>
        <w:jc w:val="center"/>
        <w:rPr>
          <w:rFonts w:eastAsiaTheme="majorEastAsia"/>
          <w:b/>
          <w:bCs/>
          <w:color w:val="231F20"/>
          <w:kern w:val="0"/>
          <w:sz w:val="22"/>
          <w:szCs w:val="22"/>
          <w:highlight w:val="green"/>
          <w:lang w:eastAsia="zh-TW"/>
        </w:rPr>
      </w:pPr>
    </w:p>
    <w:p>
      <w:pPr>
        <w:ind w:firstLine="482"/>
        <w:jc w:val="center"/>
        <w:rPr>
          <w:rFonts w:eastAsiaTheme="majorEastAsia"/>
          <w:b/>
          <w:bCs/>
          <w:sz w:val="22"/>
          <w:szCs w:val="22"/>
          <w:lang w:eastAsia="zh-TW"/>
        </w:rPr>
      </w:pPr>
      <w:r>
        <w:rPr>
          <w:rFonts w:eastAsiaTheme="majorEastAsia"/>
          <w:b/>
          <w:bCs/>
          <w:sz w:val="22"/>
          <w:szCs w:val="22"/>
          <w:lang w:eastAsia="zh-TW"/>
        </w:rPr>
        <w:t>關於</w:t>
      </w:r>
      <w:r>
        <w:rPr>
          <w:rFonts w:eastAsiaTheme="majorEastAsia"/>
          <w:b/>
          <w:bCs/>
          <w:sz w:val="22"/>
          <w:szCs w:val="22"/>
          <w:lang w:val="zh-CN" w:eastAsia="zh-TW"/>
        </w:rPr>
        <w:t>本公司建議A股發行就</w:t>
      </w:r>
    </w:p>
    <w:p>
      <w:pPr>
        <w:ind w:firstLine="482"/>
        <w:jc w:val="center"/>
        <w:rPr>
          <w:rFonts w:eastAsiaTheme="majorEastAsia"/>
          <w:b/>
          <w:bCs/>
          <w:sz w:val="22"/>
          <w:szCs w:val="22"/>
        </w:rPr>
      </w:pPr>
      <w:r>
        <w:rPr>
          <w:rFonts w:eastAsiaTheme="majorEastAsia"/>
          <w:b/>
          <w:bCs/>
          <w:sz w:val="22"/>
          <w:szCs w:val="22"/>
          <w:lang w:eastAsia="zh-TW"/>
        </w:rPr>
        <w:t>《中國證監會行政許可項目審查一次反饋意見通知書》回覆的公告</w:t>
      </w:r>
    </w:p>
    <w:p>
      <w:pPr>
        <w:autoSpaceDE w:val="0"/>
        <w:autoSpaceDN w:val="0"/>
        <w:adjustRightInd w:val="0"/>
        <w:jc w:val="center"/>
        <w:rPr>
          <w:rFonts w:eastAsiaTheme="majorEastAsia"/>
          <w:b/>
          <w:bCs/>
          <w:kern w:val="0"/>
          <w:sz w:val="22"/>
          <w:szCs w:val="22"/>
          <w:highlight w:val="green"/>
          <w:lang w:eastAsia="zh-TW"/>
        </w:rPr>
      </w:pPr>
    </w:p>
    <w:p>
      <w:pPr>
        <w:ind w:firstLine="480"/>
        <w:rPr>
          <w:rFonts w:eastAsiaTheme="majorEastAsia"/>
          <w:sz w:val="22"/>
          <w:szCs w:val="22"/>
          <w:lang w:eastAsia="zh-TW"/>
        </w:rPr>
      </w:pPr>
      <w:r>
        <w:rPr>
          <w:rFonts w:eastAsiaTheme="majorEastAsia"/>
          <w:sz w:val="22"/>
          <w:szCs w:val="22"/>
          <w:lang w:eastAsia="zh-TW"/>
        </w:rPr>
        <w:t>茲提述山東新華製藥股份有限公司（以下簡稱“</w:t>
      </w:r>
      <w:r>
        <w:rPr>
          <w:rFonts w:eastAsiaTheme="majorEastAsia"/>
          <w:b/>
          <w:sz w:val="22"/>
          <w:szCs w:val="22"/>
          <w:lang w:eastAsia="zh-TW"/>
        </w:rPr>
        <w:t>公司</w:t>
      </w:r>
      <w:r>
        <w:rPr>
          <w:rFonts w:eastAsiaTheme="majorEastAsia"/>
          <w:sz w:val="22"/>
          <w:szCs w:val="22"/>
          <w:lang w:eastAsia="zh-TW"/>
        </w:rPr>
        <w:t>”</w:t>
      </w:r>
      <w:r>
        <w:rPr>
          <w:rFonts w:eastAsiaTheme="majorEastAsia"/>
          <w:sz w:val="22"/>
          <w:szCs w:val="22"/>
          <w:lang w:val="zh-CN" w:eastAsia="zh-TW"/>
        </w:rPr>
        <w:t>或 “</w:t>
      </w:r>
      <w:r>
        <w:rPr>
          <w:rFonts w:eastAsiaTheme="majorEastAsia"/>
          <w:b/>
          <w:sz w:val="22"/>
          <w:szCs w:val="22"/>
          <w:lang w:eastAsia="zh-TW"/>
        </w:rPr>
        <w:t>本公司</w:t>
      </w:r>
      <w:r>
        <w:rPr>
          <w:rFonts w:eastAsiaTheme="majorEastAsia"/>
          <w:sz w:val="22"/>
          <w:szCs w:val="22"/>
          <w:lang w:eastAsia="zh-TW"/>
        </w:rPr>
        <w:t>”）日期為2021年7月19日的公告， 內容有關2021年7月19日收到中國證券監督管理委員會（以下簡稱“</w:t>
      </w:r>
      <w:r>
        <w:rPr>
          <w:rFonts w:eastAsiaTheme="majorEastAsia"/>
          <w:b/>
          <w:sz w:val="22"/>
          <w:szCs w:val="22"/>
          <w:lang w:eastAsia="zh-TW"/>
        </w:rPr>
        <w:t>中國證監會</w:t>
      </w:r>
      <w:r>
        <w:rPr>
          <w:rFonts w:eastAsiaTheme="majorEastAsia"/>
          <w:sz w:val="22"/>
          <w:szCs w:val="22"/>
          <w:lang w:eastAsia="zh-TW"/>
        </w:rPr>
        <w:t>”）就中國證監會正式受理建議A股發行事項申請材料出具的《中國證監會行政許可申請受理單》（211868號），及本公司日期為2021年8月2日的公告， 內容有關</w:t>
      </w:r>
      <w:r>
        <w:rPr>
          <w:rFonts w:eastAsiaTheme="majorEastAsia"/>
          <w:bCs/>
          <w:sz w:val="22"/>
          <w:szCs w:val="22"/>
          <w:lang w:val="zh-CN" w:eastAsia="zh-TW"/>
        </w:rPr>
        <w:t>就本公司建議A股發行申請</w:t>
      </w:r>
      <w:r>
        <w:rPr>
          <w:rFonts w:eastAsiaTheme="majorEastAsia"/>
          <w:bCs/>
          <w:sz w:val="22"/>
          <w:szCs w:val="22"/>
          <w:lang w:eastAsia="zh-TW"/>
        </w:rPr>
        <w:t>收到《中國證監會行政許可項目審查一次反饋意見通知書》</w:t>
      </w:r>
      <w:r>
        <w:rPr>
          <w:rFonts w:eastAsiaTheme="majorEastAsia"/>
          <w:sz w:val="22"/>
          <w:szCs w:val="22"/>
          <w:lang w:eastAsia="zh-TW"/>
        </w:rPr>
        <w:t>（以下簡稱“</w:t>
      </w:r>
      <w:r>
        <w:rPr>
          <w:rFonts w:eastAsiaTheme="majorEastAsia"/>
          <w:b/>
          <w:bCs/>
          <w:sz w:val="22"/>
          <w:szCs w:val="22"/>
          <w:lang w:eastAsia="zh-TW"/>
        </w:rPr>
        <w:t>反饋意見</w:t>
      </w:r>
      <w:r>
        <w:rPr>
          <w:rFonts w:eastAsiaTheme="majorEastAsia"/>
          <w:sz w:val="22"/>
          <w:szCs w:val="22"/>
          <w:lang w:eastAsia="zh-TW"/>
        </w:rPr>
        <w:t>”）（上述公告統稱 “</w:t>
      </w:r>
      <w:r>
        <w:rPr>
          <w:rFonts w:eastAsiaTheme="majorEastAsia"/>
          <w:b/>
          <w:sz w:val="22"/>
          <w:szCs w:val="22"/>
          <w:lang w:eastAsia="zh-TW"/>
        </w:rPr>
        <w:t>該</w:t>
      </w:r>
      <w:r>
        <w:rPr>
          <w:rFonts w:hint="eastAsia" w:eastAsiaTheme="majorEastAsia"/>
          <w:b/>
          <w:sz w:val="22"/>
          <w:szCs w:val="22"/>
          <w:lang w:val="zh-CN" w:eastAsia="zh-TW"/>
        </w:rPr>
        <w:t>等</w:t>
      </w:r>
      <w:r>
        <w:rPr>
          <w:rFonts w:eastAsiaTheme="majorEastAsia"/>
          <w:b/>
          <w:sz w:val="22"/>
          <w:szCs w:val="22"/>
          <w:lang w:eastAsia="zh-TW"/>
        </w:rPr>
        <w:t>公告</w:t>
      </w:r>
      <w:r>
        <w:rPr>
          <w:rFonts w:eastAsiaTheme="majorEastAsia"/>
          <w:sz w:val="22"/>
          <w:szCs w:val="22"/>
          <w:lang w:eastAsia="zh-TW"/>
        </w:rPr>
        <w:t>” ）。除本公告另有所指外，本公告所用詞匯與該</w:t>
      </w:r>
      <w:r>
        <w:rPr>
          <w:rFonts w:hint="eastAsia" w:eastAsiaTheme="majorEastAsia"/>
          <w:sz w:val="22"/>
          <w:szCs w:val="22"/>
          <w:lang w:val="zh-CN" w:eastAsia="zh-TW"/>
        </w:rPr>
        <w:t>等</w:t>
      </w:r>
      <w:r>
        <w:rPr>
          <w:rFonts w:eastAsiaTheme="majorEastAsia"/>
          <w:sz w:val="22"/>
          <w:szCs w:val="22"/>
          <w:lang w:eastAsia="zh-TW"/>
        </w:rPr>
        <w:t>公告所界定者具有相同涵義。</w:t>
      </w:r>
    </w:p>
    <w:p>
      <w:pPr>
        <w:ind w:firstLine="480"/>
        <w:rPr>
          <w:rFonts w:eastAsiaTheme="majorEastAsia"/>
          <w:sz w:val="22"/>
          <w:szCs w:val="22"/>
          <w:lang w:eastAsia="zh-TW"/>
        </w:rPr>
      </w:pPr>
    </w:p>
    <w:p>
      <w:pPr>
        <w:ind w:firstLine="480"/>
        <w:rPr>
          <w:rFonts w:eastAsiaTheme="majorEastAsia"/>
          <w:sz w:val="22"/>
          <w:szCs w:val="22"/>
        </w:rPr>
      </w:pPr>
      <w:r>
        <w:rPr>
          <w:rFonts w:eastAsiaTheme="majorEastAsia"/>
          <w:color w:val="000000"/>
          <w:kern w:val="0"/>
          <w:sz w:val="22"/>
          <w:szCs w:val="22"/>
          <w:lang w:eastAsia="zh-TW"/>
        </w:rPr>
        <w:t xml:space="preserve"> 公司及相關中介機構對《反饋意見》進行認真研究和逐項落實，並按照《反饋意見》的要求對所涉及的事項進行資料補充和問題回覆，現將反饋意見回覆進行公開披露，具體內容詳見公司於同日在</w:t>
      </w:r>
      <w:r>
        <w:rPr>
          <w:rFonts w:hint="eastAsia" w:eastAsia="宋体"/>
          <w:color w:val="000000"/>
          <w:kern w:val="0"/>
          <w:sz w:val="22"/>
          <w:szCs w:val="22"/>
          <w:lang w:eastAsia="zh-TW"/>
        </w:rPr>
        <w:t>巨潮資訊網</w:t>
      </w:r>
      <w:r>
        <w:rPr>
          <w:rFonts w:hint="eastAsia" w:eastAsiaTheme="majorEastAsia"/>
          <w:color w:val="000000"/>
          <w:kern w:val="0"/>
          <w:sz w:val="22"/>
          <w:szCs w:val="22"/>
          <w:lang w:eastAsia="zh-TW"/>
        </w:rPr>
        <w:t>（http://www.cninfo.com.cn）</w:t>
      </w:r>
      <w:r>
        <w:rPr>
          <w:rFonts w:eastAsiaTheme="majorEastAsia"/>
          <w:color w:val="000000"/>
          <w:kern w:val="0"/>
          <w:sz w:val="22"/>
          <w:szCs w:val="22"/>
          <w:lang w:eastAsia="zh-TW"/>
        </w:rPr>
        <w:t>披露的</w:t>
      </w:r>
      <w:r>
        <w:rPr>
          <w:rFonts w:eastAsiaTheme="majorEastAsia"/>
          <w:color w:val="000000"/>
          <w:kern w:val="0"/>
          <w:sz w:val="22"/>
          <w:szCs w:val="22"/>
          <w:highlight w:val="none"/>
          <w:lang w:eastAsia="zh-TW"/>
        </w:rPr>
        <w:t>《</w:t>
      </w:r>
      <w:r>
        <w:rPr>
          <w:rFonts w:hint="eastAsia" w:eastAsiaTheme="majorEastAsia"/>
          <w:color w:val="000000"/>
          <w:kern w:val="0"/>
          <w:sz w:val="22"/>
          <w:szCs w:val="22"/>
          <w:lang w:eastAsia="zh-TW"/>
        </w:rPr>
        <w:t>關於山東新華製藥股份有限公司非公開發行</w:t>
      </w:r>
      <w:r>
        <w:rPr>
          <w:rFonts w:eastAsiaTheme="majorEastAsia"/>
          <w:color w:val="000000"/>
          <w:kern w:val="0"/>
          <w:sz w:val="22"/>
          <w:szCs w:val="22"/>
          <w:lang w:eastAsia="zh-TW"/>
        </w:rPr>
        <w:t>A</w:t>
      </w:r>
      <w:r>
        <w:rPr>
          <w:rFonts w:hint="eastAsia" w:eastAsiaTheme="majorEastAsia"/>
          <w:color w:val="000000"/>
          <w:kern w:val="0"/>
          <w:sz w:val="22"/>
          <w:szCs w:val="22"/>
          <w:lang w:eastAsia="zh-TW"/>
        </w:rPr>
        <w:t>股股票申請文件反饋意見的回覆</w:t>
      </w:r>
      <w:r>
        <w:rPr>
          <w:rFonts w:eastAsiaTheme="majorEastAsia"/>
          <w:color w:val="000000"/>
          <w:kern w:val="0"/>
          <w:sz w:val="22"/>
          <w:szCs w:val="22"/>
          <w:highlight w:val="none"/>
          <w:lang w:eastAsia="zh-TW"/>
        </w:rPr>
        <w:t>》</w:t>
      </w:r>
      <w:r>
        <w:rPr>
          <w:rFonts w:eastAsiaTheme="majorEastAsia"/>
          <w:color w:val="000000"/>
          <w:kern w:val="0"/>
          <w:sz w:val="22"/>
          <w:szCs w:val="22"/>
          <w:lang w:eastAsia="zh-TW"/>
        </w:rPr>
        <w:t>。公司將按照要求及時向中國證監會報送反饋意見回覆材料。</w:t>
      </w:r>
    </w:p>
    <w:p>
      <w:pPr>
        <w:ind w:firstLine="480"/>
        <w:rPr>
          <w:rFonts w:eastAsiaTheme="majorEastAsia"/>
          <w:sz w:val="22"/>
          <w:szCs w:val="22"/>
        </w:rPr>
      </w:pPr>
    </w:p>
    <w:p>
      <w:pPr>
        <w:ind w:firstLine="480"/>
        <w:rPr>
          <w:rFonts w:eastAsiaTheme="majorEastAsia"/>
          <w:sz w:val="22"/>
          <w:szCs w:val="22"/>
        </w:rPr>
      </w:pPr>
      <w:r>
        <w:rPr>
          <w:rFonts w:eastAsiaTheme="majorEastAsia"/>
          <w:sz w:val="22"/>
          <w:szCs w:val="22"/>
        </w:rPr>
        <w:t>建議A股發行仍有待中國證監會批准。本公司將根據中國適用的規則和要求，適時就中國證監會的審批進度另行公告。</w:t>
      </w:r>
    </w:p>
    <w:p>
      <w:pPr>
        <w:ind w:firstLine="480"/>
        <w:rPr>
          <w:rFonts w:eastAsiaTheme="majorEastAsia"/>
          <w:sz w:val="22"/>
          <w:szCs w:val="22"/>
        </w:rPr>
      </w:pPr>
    </w:p>
    <w:p>
      <w:pPr>
        <w:ind w:firstLine="480"/>
        <w:rPr>
          <w:rFonts w:eastAsiaTheme="majorEastAsia"/>
          <w:sz w:val="22"/>
          <w:szCs w:val="22"/>
          <w:lang w:eastAsia="zh-TW"/>
        </w:rPr>
      </w:pPr>
      <w:r>
        <w:rPr>
          <w:rFonts w:eastAsiaTheme="majorEastAsia"/>
          <w:sz w:val="22"/>
          <w:szCs w:val="22"/>
        </w:rPr>
        <w:t>建議A股發行的完成須待達成其他條件（包括但不限於獲得中國證監會批准）後，方告作實。 因此，建議A股發行未必會進行。股東及潛在投資者於買賣股份時務請審慎行事，如彼等對其狀況及應採取的行動有任何疑問，建議彼等諮詢其專業顧問。</w:t>
      </w:r>
    </w:p>
    <w:p>
      <w:pPr>
        <w:ind w:firstLine="480"/>
        <w:rPr>
          <w:rFonts w:eastAsiaTheme="majorEastAsia"/>
          <w:sz w:val="22"/>
          <w:szCs w:val="22"/>
        </w:rPr>
      </w:pPr>
    </w:p>
    <w:p>
      <w:pPr>
        <w:tabs>
          <w:tab w:val="left" w:pos="6650"/>
        </w:tabs>
        <w:ind w:firstLine="480"/>
        <w:rPr>
          <w:rFonts w:eastAsiaTheme="majorEastAsia"/>
          <w:color w:val="231F20"/>
          <w:kern w:val="0"/>
          <w:sz w:val="22"/>
          <w:szCs w:val="22"/>
          <w:lang w:eastAsia="zh-TW"/>
        </w:rPr>
      </w:pPr>
      <w:r>
        <w:rPr>
          <w:rFonts w:eastAsiaTheme="majorEastAsia"/>
          <w:sz w:val="22"/>
          <w:szCs w:val="22"/>
          <w:lang w:eastAsia="zh-TW"/>
        </w:rPr>
        <w:tab/>
      </w:r>
      <w:r>
        <w:rPr>
          <w:rFonts w:eastAsiaTheme="majorEastAsia"/>
          <w:color w:val="231F20"/>
          <w:kern w:val="0"/>
          <w:sz w:val="22"/>
          <w:szCs w:val="22"/>
          <w:lang w:eastAsia="zh-TW"/>
        </w:rPr>
        <w:t xml:space="preserve">          </w:t>
      </w:r>
    </w:p>
    <w:p>
      <w:pPr>
        <w:autoSpaceDE w:val="0"/>
        <w:autoSpaceDN w:val="0"/>
        <w:adjustRightInd w:val="0"/>
        <w:ind w:right="420"/>
        <w:jc w:val="center"/>
        <w:rPr>
          <w:rFonts w:eastAsiaTheme="majorEastAsia"/>
          <w:color w:val="231F20"/>
          <w:kern w:val="0"/>
          <w:sz w:val="22"/>
          <w:szCs w:val="22"/>
          <w:lang w:eastAsia="zh-TW"/>
        </w:rPr>
      </w:pPr>
      <w:r>
        <w:rPr>
          <w:rFonts w:eastAsiaTheme="majorEastAsia"/>
          <w:color w:val="231F20"/>
          <w:kern w:val="0"/>
          <w:sz w:val="22"/>
          <w:szCs w:val="22"/>
          <w:lang w:eastAsia="zh-TW"/>
        </w:rPr>
        <w:t xml:space="preserve">                                             </w:t>
      </w:r>
    </w:p>
    <w:p>
      <w:pPr>
        <w:autoSpaceDE w:val="0"/>
        <w:autoSpaceDN w:val="0"/>
        <w:adjustRightInd w:val="0"/>
        <w:ind w:left="6300" w:right="420"/>
        <w:rPr>
          <w:rFonts w:eastAsiaTheme="majorEastAsia"/>
          <w:color w:val="231F20"/>
          <w:kern w:val="0"/>
          <w:sz w:val="22"/>
          <w:szCs w:val="22"/>
          <w:lang w:eastAsia="zh-TW"/>
        </w:rPr>
      </w:pPr>
      <w:r>
        <w:rPr>
          <w:rFonts w:eastAsiaTheme="majorEastAsia"/>
          <w:color w:val="231F20"/>
          <w:kern w:val="0"/>
          <w:sz w:val="22"/>
          <w:szCs w:val="22"/>
          <w:lang w:eastAsia="zh-TW"/>
        </w:rPr>
        <w:t xml:space="preserve">      承董事會命</w:t>
      </w:r>
    </w:p>
    <w:p>
      <w:pPr>
        <w:wordWrap w:val="0"/>
        <w:autoSpaceDE w:val="0"/>
        <w:autoSpaceDN w:val="0"/>
        <w:adjustRightInd w:val="0"/>
        <w:jc w:val="right"/>
        <w:rPr>
          <w:rFonts w:eastAsiaTheme="majorEastAsia"/>
          <w:b/>
          <w:color w:val="231F20"/>
          <w:kern w:val="0"/>
          <w:sz w:val="22"/>
          <w:szCs w:val="22"/>
          <w:lang w:eastAsia="zh-TW"/>
        </w:rPr>
      </w:pPr>
      <w:r>
        <w:rPr>
          <w:rFonts w:eastAsiaTheme="majorEastAsia"/>
          <w:color w:val="231F20"/>
          <w:kern w:val="0"/>
          <w:sz w:val="22"/>
          <w:szCs w:val="22"/>
          <w:lang w:eastAsia="zh-TW"/>
        </w:rPr>
        <w:t xml:space="preserve">          </w:t>
      </w:r>
      <w:r>
        <w:rPr>
          <w:rFonts w:eastAsiaTheme="majorEastAsia"/>
          <w:b/>
          <w:color w:val="231F20"/>
          <w:kern w:val="0"/>
          <w:sz w:val="22"/>
          <w:szCs w:val="22"/>
          <w:lang w:eastAsia="zh-TW"/>
        </w:rPr>
        <w:t>山東新華製藥股份有限公司</w:t>
      </w:r>
    </w:p>
    <w:p>
      <w:pPr>
        <w:autoSpaceDE w:val="0"/>
        <w:autoSpaceDN w:val="0"/>
        <w:adjustRightInd w:val="0"/>
        <w:ind w:right="420"/>
        <w:rPr>
          <w:rFonts w:eastAsiaTheme="majorEastAsia"/>
          <w:b/>
          <w:color w:val="231F20"/>
          <w:kern w:val="0"/>
          <w:sz w:val="22"/>
          <w:szCs w:val="22"/>
          <w:lang w:eastAsia="zh-TW"/>
        </w:rPr>
      </w:pPr>
      <w:r>
        <w:rPr>
          <w:rFonts w:eastAsiaTheme="majorEastAsia"/>
          <w:b/>
          <w:color w:val="231F20"/>
          <w:kern w:val="0"/>
          <w:sz w:val="22"/>
          <w:szCs w:val="22"/>
          <w:lang w:eastAsia="zh-TW"/>
        </w:rPr>
        <w:t xml:space="preserve">                                                               張代銘先生</w:t>
      </w:r>
    </w:p>
    <w:p>
      <w:pPr>
        <w:autoSpaceDE w:val="0"/>
        <w:autoSpaceDN w:val="0"/>
        <w:adjustRightInd w:val="0"/>
        <w:ind w:right="420"/>
        <w:rPr>
          <w:rFonts w:eastAsiaTheme="majorEastAsia"/>
          <w:color w:val="231F20"/>
          <w:kern w:val="0"/>
          <w:sz w:val="22"/>
          <w:szCs w:val="22"/>
          <w:lang w:eastAsia="zh-TW"/>
        </w:rPr>
      </w:pPr>
      <w:r>
        <w:rPr>
          <w:rFonts w:eastAsiaTheme="majorEastAsia"/>
          <w:color w:val="231F20"/>
          <w:kern w:val="0"/>
          <w:sz w:val="22"/>
          <w:szCs w:val="22"/>
          <w:lang w:eastAsia="zh-TW"/>
        </w:rPr>
        <w:t xml:space="preserve">                                                                  董事長</w:t>
      </w:r>
    </w:p>
    <w:p>
      <w:pPr>
        <w:autoSpaceDE w:val="0"/>
        <w:autoSpaceDN w:val="0"/>
        <w:adjustRightInd w:val="0"/>
        <w:rPr>
          <w:rFonts w:eastAsiaTheme="majorEastAsia"/>
          <w:sz w:val="22"/>
          <w:szCs w:val="22"/>
          <w:highlight w:val="green"/>
          <w:lang w:eastAsia="zh-TW"/>
        </w:rPr>
      </w:pPr>
    </w:p>
    <w:p>
      <w:pPr>
        <w:autoSpaceDE w:val="0"/>
        <w:autoSpaceDN w:val="0"/>
        <w:adjustRightInd w:val="0"/>
        <w:rPr>
          <w:rFonts w:eastAsiaTheme="majorEastAsia"/>
          <w:sz w:val="22"/>
          <w:szCs w:val="22"/>
          <w:lang w:eastAsia="zh-TW"/>
        </w:rPr>
      </w:pPr>
      <w:r>
        <w:rPr>
          <w:rFonts w:eastAsiaTheme="majorEastAsia"/>
          <w:sz w:val="22"/>
          <w:szCs w:val="22"/>
          <w:lang w:eastAsia="zh-TW"/>
        </w:rPr>
        <w:t>中國 淄博，2021年8月</w:t>
      </w:r>
      <w:r>
        <w:rPr>
          <w:rFonts w:eastAsiaTheme="majorEastAsia"/>
          <w:sz w:val="22"/>
          <w:szCs w:val="22"/>
          <w:lang w:val="zh-CN" w:eastAsia="zh-TW"/>
        </w:rPr>
        <w:t>16</w:t>
      </w:r>
      <w:r>
        <w:rPr>
          <w:rFonts w:eastAsiaTheme="majorEastAsia"/>
          <w:sz w:val="22"/>
          <w:szCs w:val="22"/>
          <w:lang w:eastAsia="zh-TW"/>
        </w:rPr>
        <w:t>日</w:t>
      </w:r>
    </w:p>
    <w:p>
      <w:pPr>
        <w:rPr>
          <w:rFonts w:eastAsiaTheme="majorEastAsia"/>
          <w:sz w:val="22"/>
          <w:szCs w:val="22"/>
          <w:lang w:eastAsia="zh-TW"/>
        </w:rPr>
      </w:pPr>
      <w:bookmarkStart w:id="0" w:name="_GoBack"/>
      <w:bookmarkEnd w:id="0"/>
      <w:r>
        <w:rPr>
          <w:rFonts w:eastAsiaTheme="majorEastAsia"/>
          <w:sz w:val="22"/>
          <w:szCs w:val="22"/>
          <w:lang w:eastAsia="zh-TW"/>
        </w:rPr>
        <w:t>於本公告日，本公司董事會之成員如下：</w:t>
      </w:r>
    </w:p>
    <w:p>
      <w:pPr>
        <w:autoSpaceDE w:val="0"/>
        <w:autoSpaceDN w:val="0"/>
        <w:jc w:val="left"/>
        <w:rPr>
          <w:rFonts w:eastAsiaTheme="majorEastAsia"/>
          <w:kern w:val="0"/>
          <w:sz w:val="22"/>
          <w:szCs w:val="22"/>
          <w:lang w:eastAsia="zh-TW"/>
        </w:rPr>
      </w:pPr>
    </w:p>
    <w:tbl>
      <w:tblPr>
        <w:tblStyle w:val="7"/>
        <w:tblW w:w="8612" w:type="dxa"/>
        <w:tblInd w:w="-108" w:type="dxa"/>
        <w:tblLayout w:type="fixed"/>
        <w:tblCellMar>
          <w:top w:w="0" w:type="dxa"/>
          <w:left w:w="108" w:type="dxa"/>
          <w:bottom w:w="0" w:type="dxa"/>
          <w:right w:w="108" w:type="dxa"/>
        </w:tblCellMar>
      </w:tblPr>
      <w:tblGrid>
        <w:gridCol w:w="4306"/>
        <w:gridCol w:w="4306"/>
      </w:tblGrid>
      <w:tr>
        <w:tblPrEx>
          <w:tblLayout w:type="fixed"/>
          <w:tblCellMar>
            <w:top w:w="0" w:type="dxa"/>
            <w:left w:w="108" w:type="dxa"/>
            <w:bottom w:w="0" w:type="dxa"/>
            <w:right w:w="108" w:type="dxa"/>
          </w:tblCellMar>
        </w:tblPrEx>
        <w:tc>
          <w:tcPr>
            <w:tcW w:w="4306" w:type="dxa"/>
          </w:tcPr>
          <w:p>
            <w:pPr>
              <w:autoSpaceDE w:val="0"/>
              <w:autoSpaceDN w:val="0"/>
              <w:jc w:val="left"/>
              <w:rPr>
                <w:rFonts w:eastAsiaTheme="majorEastAsia"/>
                <w:kern w:val="0"/>
                <w:sz w:val="22"/>
                <w:szCs w:val="22"/>
                <w:u w:val="single"/>
                <w:lang w:eastAsia="zh-TW"/>
              </w:rPr>
            </w:pPr>
            <w:r>
              <w:rPr>
                <w:rFonts w:eastAsiaTheme="majorEastAsia"/>
                <w:kern w:val="0"/>
                <w:sz w:val="22"/>
                <w:szCs w:val="22"/>
                <w:u w:val="single"/>
                <w:lang w:eastAsia="zh-TW"/>
              </w:rPr>
              <w:t>執行董事：</w:t>
            </w:r>
          </w:p>
        </w:tc>
        <w:tc>
          <w:tcPr>
            <w:tcW w:w="4306" w:type="dxa"/>
          </w:tcPr>
          <w:p>
            <w:pPr>
              <w:widowControl/>
              <w:rPr>
                <w:rFonts w:eastAsiaTheme="majorEastAsia"/>
                <w:kern w:val="0"/>
                <w:sz w:val="22"/>
                <w:szCs w:val="22"/>
                <w:u w:val="single"/>
                <w:lang w:eastAsia="zh-TW"/>
              </w:rPr>
            </w:pPr>
            <w:r>
              <w:rPr>
                <w:rFonts w:eastAsiaTheme="majorEastAsia"/>
                <w:kern w:val="0"/>
                <w:sz w:val="22"/>
                <w:szCs w:val="22"/>
                <w:u w:val="single"/>
                <w:lang w:eastAsia="zh-TW"/>
              </w:rPr>
              <w:t>獨立非執行董事：</w:t>
            </w:r>
          </w:p>
          <w:p>
            <w:pPr>
              <w:autoSpaceDE w:val="0"/>
              <w:autoSpaceDN w:val="0"/>
              <w:jc w:val="left"/>
              <w:rPr>
                <w:rFonts w:eastAsiaTheme="majorEastAsia"/>
                <w:kern w:val="0"/>
                <w:sz w:val="22"/>
                <w:szCs w:val="22"/>
                <w:lang w:eastAsia="zh-TW"/>
              </w:rPr>
            </w:pPr>
          </w:p>
        </w:tc>
      </w:tr>
      <w:tr>
        <w:tblPrEx>
          <w:tblLayout w:type="fixed"/>
          <w:tblCellMar>
            <w:top w:w="0" w:type="dxa"/>
            <w:left w:w="108" w:type="dxa"/>
            <w:bottom w:w="0" w:type="dxa"/>
            <w:right w:w="108" w:type="dxa"/>
          </w:tblCellMar>
        </w:tblPrEx>
        <w:tc>
          <w:tcPr>
            <w:tcW w:w="4306" w:type="dxa"/>
          </w:tcPr>
          <w:p>
            <w:pPr>
              <w:autoSpaceDE w:val="0"/>
              <w:autoSpaceDN w:val="0"/>
              <w:jc w:val="left"/>
              <w:rPr>
                <w:rFonts w:eastAsiaTheme="majorEastAsia"/>
                <w:kern w:val="0"/>
                <w:sz w:val="22"/>
                <w:szCs w:val="22"/>
                <w:lang w:eastAsia="zh-TW"/>
              </w:rPr>
            </w:pPr>
            <w:r>
              <w:rPr>
                <w:rFonts w:eastAsiaTheme="majorEastAsia"/>
                <w:kern w:val="0"/>
                <w:sz w:val="22"/>
                <w:szCs w:val="22"/>
                <w:lang w:eastAsia="zh-TW"/>
              </w:rPr>
              <w:t>張代銘先生(董事長)</w:t>
            </w:r>
          </w:p>
        </w:tc>
        <w:tc>
          <w:tcPr>
            <w:tcW w:w="4306" w:type="dxa"/>
          </w:tcPr>
          <w:p>
            <w:pPr>
              <w:autoSpaceDE w:val="0"/>
              <w:autoSpaceDN w:val="0"/>
              <w:jc w:val="left"/>
              <w:rPr>
                <w:rFonts w:eastAsiaTheme="majorEastAsia"/>
                <w:kern w:val="0"/>
                <w:sz w:val="22"/>
                <w:szCs w:val="22"/>
                <w:lang w:eastAsia="zh-TW"/>
              </w:rPr>
            </w:pPr>
            <w:r>
              <w:rPr>
                <w:rFonts w:eastAsiaTheme="majorEastAsia"/>
                <w:kern w:val="0"/>
                <w:sz w:val="22"/>
                <w:szCs w:val="22"/>
                <w:lang w:eastAsia="zh-TW"/>
              </w:rPr>
              <w:t>潘廣成先生</w:t>
            </w:r>
          </w:p>
        </w:tc>
      </w:tr>
      <w:tr>
        <w:tblPrEx>
          <w:tblLayout w:type="fixed"/>
          <w:tblCellMar>
            <w:top w:w="0" w:type="dxa"/>
            <w:left w:w="108" w:type="dxa"/>
            <w:bottom w:w="0" w:type="dxa"/>
            <w:right w:w="108" w:type="dxa"/>
          </w:tblCellMar>
        </w:tblPrEx>
        <w:tc>
          <w:tcPr>
            <w:tcW w:w="4306" w:type="dxa"/>
          </w:tcPr>
          <w:p>
            <w:pPr>
              <w:widowControl/>
              <w:rPr>
                <w:rFonts w:eastAsiaTheme="majorEastAsia"/>
                <w:kern w:val="0"/>
                <w:sz w:val="22"/>
                <w:szCs w:val="22"/>
                <w:lang w:eastAsia="zh-TW"/>
              </w:rPr>
            </w:pPr>
            <w:r>
              <w:rPr>
                <w:rFonts w:eastAsiaTheme="majorEastAsia"/>
                <w:kern w:val="0"/>
                <w:sz w:val="22"/>
                <w:szCs w:val="22"/>
                <w:lang w:eastAsia="zh-TW"/>
              </w:rPr>
              <w:t>杜德平先生</w:t>
            </w:r>
          </w:p>
        </w:tc>
        <w:tc>
          <w:tcPr>
            <w:tcW w:w="4306" w:type="dxa"/>
          </w:tcPr>
          <w:p>
            <w:pPr>
              <w:autoSpaceDE w:val="0"/>
              <w:autoSpaceDN w:val="0"/>
              <w:jc w:val="left"/>
              <w:rPr>
                <w:rFonts w:eastAsiaTheme="majorEastAsia"/>
                <w:kern w:val="0"/>
                <w:sz w:val="22"/>
                <w:szCs w:val="22"/>
                <w:lang w:eastAsia="zh-TW"/>
              </w:rPr>
            </w:pPr>
            <w:r>
              <w:rPr>
                <w:rFonts w:eastAsiaTheme="majorEastAsia"/>
                <w:kern w:val="0"/>
                <w:sz w:val="22"/>
                <w:szCs w:val="22"/>
                <w:lang w:eastAsia="zh-TW"/>
              </w:rPr>
              <w:t>朱建偉先生</w:t>
            </w:r>
          </w:p>
        </w:tc>
      </w:tr>
      <w:tr>
        <w:tblPrEx>
          <w:tblLayout w:type="fixed"/>
          <w:tblCellMar>
            <w:top w:w="0" w:type="dxa"/>
            <w:left w:w="108" w:type="dxa"/>
            <w:bottom w:w="0" w:type="dxa"/>
            <w:right w:w="108" w:type="dxa"/>
          </w:tblCellMar>
        </w:tblPrEx>
        <w:trPr>
          <w:trHeight w:val="431" w:hRule="atLeast"/>
        </w:trPr>
        <w:tc>
          <w:tcPr>
            <w:tcW w:w="4306" w:type="dxa"/>
          </w:tcPr>
          <w:p>
            <w:pPr>
              <w:autoSpaceDE w:val="0"/>
              <w:autoSpaceDN w:val="0"/>
              <w:jc w:val="left"/>
              <w:rPr>
                <w:rFonts w:eastAsiaTheme="majorEastAsia"/>
                <w:kern w:val="0"/>
                <w:sz w:val="22"/>
                <w:szCs w:val="22"/>
                <w:lang w:eastAsia="zh-TW"/>
              </w:rPr>
            </w:pPr>
            <w:r>
              <w:rPr>
                <w:rFonts w:eastAsiaTheme="majorEastAsia"/>
                <w:kern w:val="0"/>
                <w:sz w:val="22"/>
                <w:szCs w:val="22"/>
                <w:lang w:eastAsia="zh-TW"/>
              </w:rPr>
              <w:t>賀同慶先生</w:t>
            </w:r>
            <w:r>
              <w:rPr>
                <w:rFonts w:eastAsiaTheme="majorEastAsia"/>
                <w:kern w:val="0"/>
                <w:sz w:val="22"/>
                <w:szCs w:val="22"/>
                <w:lang w:eastAsia="zh-TW"/>
              </w:rPr>
              <w:tab/>
            </w:r>
          </w:p>
        </w:tc>
        <w:tc>
          <w:tcPr>
            <w:tcW w:w="4306" w:type="dxa"/>
          </w:tcPr>
          <w:p>
            <w:pPr>
              <w:widowControl/>
              <w:rPr>
                <w:rFonts w:eastAsiaTheme="majorEastAsia"/>
                <w:kern w:val="0"/>
                <w:sz w:val="22"/>
                <w:szCs w:val="22"/>
                <w:lang w:eastAsia="zh-TW"/>
              </w:rPr>
            </w:pPr>
            <w:r>
              <w:rPr>
                <w:rFonts w:eastAsiaTheme="majorEastAsia"/>
                <w:kern w:val="0"/>
                <w:sz w:val="22"/>
                <w:szCs w:val="22"/>
                <w:lang w:eastAsia="zh-TW"/>
              </w:rPr>
              <w:t>盧華威先生</w:t>
            </w:r>
          </w:p>
          <w:p>
            <w:pPr>
              <w:autoSpaceDE w:val="0"/>
              <w:autoSpaceDN w:val="0"/>
              <w:jc w:val="left"/>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431" w:hRule="atLeast"/>
        </w:trPr>
        <w:tc>
          <w:tcPr>
            <w:tcW w:w="4306" w:type="dxa"/>
          </w:tcPr>
          <w:p>
            <w:pPr>
              <w:widowControl/>
              <w:rPr>
                <w:rFonts w:eastAsiaTheme="majorEastAsia"/>
                <w:kern w:val="0"/>
                <w:sz w:val="22"/>
                <w:szCs w:val="22"/>
                <w:u w:val="single"/>
                <w:lang w:eastAsia="zh-TW"/>
              </w:rPr>
            </w:pPr>
            <w:r>
              <w:rPr>
                <w:rFonts w:eastAsiaTheme="majorEastAsia"/>
                <w:kern w:val="0"/>
                <w:sz w:val="22"/>
                <w:szCs w:val="22"/>
                <w:u w:val="single"/>
                <w:lang w:eastAsia="zh-TW"/>
              </w:rPr>
              <w:t>非執行董事：</w:t>
            </w:r>
          </w:p>
        </w:tc>
        <w:tc>
          <w:tcPr>
            <w:tcW w:w="4306" w:type="dxa"/>
          </w:tcPr>
          <w:p>
            <w:pPr>
              <w:widowControl/>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431" w:hRule="atLeast"/>
        </w:trPr>
        <w:tc>
          <w:tcPr>
            <w:tcW w:w="4306" w:type="dxa"/>
          </w:tcPr>
          <w:p>
            <w:pPr>
              <w:widowControl/>
              <w:rPr>
                <w:rFonts w:eastAsiaTheme="majorEastAsia"/>
                <w:kern w:val="0"/>
                <w:sz w:val="22"/>
                <w:szCs w:val="22"/>
                <w:lang w:eastAsia="zh-TW"/>
              </w:rPr>
            </w:pPr>
            <w:r>
              <w:rPr>
                <w:rFonts w:eastAsiaTheme="majorEastAsia"/>
                <w:kern w:val="0"/>
                <w:sz w:val="22"/>
                <w:szCs w:val="22"/>
                <w:lang w:eastAsia="zh-TW"/>
              </w:rPr>
              <w:t>叢克春先生</w:t>
            </w:r>
          </w:p>
        </w:tc>
        <w:tc>
          <w:tcPr>
            <w:tcW w:w="4306" w:type="dxa"/>
          </w:tcPr>
          <w:p>
            <w:pPr>
              <w:widowControl/>
              <w:rPr>
                <w:rFonts w:eastAsiaTheme="majorEastAsia"/>
                <w:kern w:val="0"/>
                <w:sz w:val="22"/>
                <w:szCs w:val="22"/>
                <w:lang w:eastAsia="zh-TW"/>
              </w:rPr>
            </w:pPr>
          </w:p>
        </w:tc>
      </w:tr>
      <w:tr>
        <w:tblPrEx>
          <w:tblLayout w:type="fixed"/>
          <w:tblCellMar>
            <w:top w:w="0" w:type="dxa"/>
            <w:left w:w="108" w:type="dxa"/>
            <w:bottom w:w="0" w:type="dxa"/>
            <w:right w:w="108" w:type="dxa"/>
          </w:tblCellMar>
        </w:tblPrEx>
        <w:trPr>
          <w:trHeight w:val="431" w:hRule="atLeast"/>
        </w:trPr>
        <w:tc>
          <w:tcPr>
            <w:tcW w:w="4306" w:type="dxa"/>
          </w:tcPr>
          <w:p>
            <w:pPr>
              <w:widowControl/>
              <w:rPr>
                <w:rFonts w:eastAsiaTheme="majorEastAsia"/>
                <w:kern w:val="0"/>
                <w:sz w:val="22"/>
                <w:szCs w:val="22"/>
                <w:lang w:eastAsia="zh-TW"/>
              </w:rPr>
            </w:pPr>
            <w:r>
              <w:rPr>
                <w:rFonts w:eastAsiaTheme="majorEastAsia"/>
                <w:kern w:val="0"/>
                <w:sz w:val="22"/>
                <w:szCs w:val="22"/>
                <w:lang w:eastAsia="zh-TW"/>
              </w:rPr>
              <w:t>徐列先生</w:t>
            </w:r>
          </w:p>
        </w:tc>
        <w:tc>
          <w:tcPr>
            <w:tcW w:w="4306" w:type="dxa"/>
          </w:tcPr>
          <w:p>
            <w:pPr>
              <w:widowControl/>
              <w:rPr>
                <w:rFonts w:eastAsiaTheme="majorEastAsia"/>
                <w:kern w:val="0"/>
                <w:sz w:val="22"/>
                <w:szCs w:val="22"/>
                <w:lang w:eastAsia="zh-TW"/>
              </w:rPr>
            </w:pPr>
          </w:p>
        </w:tc>
      </w:tr>
    </w:tbl>
    <w:p>
      <w:pPr>
        <w:ind w:left="-142"/>
        <w:rPr>
          <w:rFonts w:eastAsiaTheme="majorEastAsia"/>
          <w:i/>
          <w:iCs/>
          <w:sz w:val="22"/>
          <w:szCs w:val="22"/>
          <w:lang w:eastAsia="zh-TW"/>
        </w:rPr>
      </w:pPr>
    </w:p>
    <w:p>
      <w:pPr>
        <w:ind w:left="-142"/>
        <w:rPr>
          <w:rFonts w:eastAsiaTheme="majorEastAsia"/>
          <w:i/>
          <w:sz w:val="22"/>
          <w:szCs w:val="22"/>
        </w:rPr>
      </w:pPr>
      <w:r>
        <w:rPr>
          <w:rFonts w:eastAsiaTheme="majorEastAsia"/>
          <w:i/>
          <w:sz w:val="22"/>
          <w:szCs w:val="22"/>
        </w:rPr>
        <w:t xml:space="preserve">於本公告日期，華魯控股董事成員包括樊軍先生、丁振波先生、孫佑民先生、張玉明先生及婁紅祥先生。 </w:t>
      </w:r>
    </w:p>
    <w:p>
      <w:pPr>
        <w:ind w:left="-142"/>
        <w:rPr>
          <w:rFonts w:eastAsiaTheme="majorEastAsia"/>
          <w:i/>
          <w:sz w:val="22"/>
          <w:szCs w:val="22"/>
        </w:rPr>
      </w:pPr>
    </w:p>
    <w:p>
      <w:pPr>
        <w:ind w:left="-142"/>
        <w:rPr>
          <w:rFonts w:eastAsiaTheme="majorEastAsia"/>
          <w:i/>
          <w:sz w:val="22"/>
          <w:szCs w:val="22"/>
        </w:rPr>
      </w:pPr>
      <w:r>
        <w:rPr>
          <w:rFonts w:eastAsiaTheme="majorEastAsia"/>
          <w:i/>
          <w:sz w:val="22"/>
          <w:szCs w:val="22"/>
        </w:rPr>
        <w:t xml:space="preserve">董事願就本公告所載資料（有關華魯控股及其一致行動人士之資料除外）之準確性共同及個別承擔全部責任，並經作出一切合理查詢後確認，就彼等所深知，本公告內發表之意見乃經審 慎周詳考慮後達致，而本公告並無遺漏其他事實，致使本公告內之任何陳述產生誤導。 </w:t>
      </w:r>
    </w:p>
    <w:p>
      <w:pPr>
        <w:ind w:left="-142"/>
        <w:rPr>
          <w:rFonts w:eastAsiaTheme="majorEastAsia"/>
          <w:i/>
          <w:sz w:val="22"/>
          <w:szCs w:val="22"/>
        </w:rPr>
      </w:pPr>
    </w:p>
    <w:p>
      <w:pPr>
        <w:ind w:left="-142"/>
        <w:rPr>
          <w:rFonts w:eastAsia="DengXian"/>
          <w:i/>
          <w:sz w:val="22"/>
          <w:szCs w:val="22"/>
        </w:rPr>
      </w:pPr>
      <w:r>
        <w:rPr>
          <w:rFonts w:eastAsiaTheme="majorEastAsia"/>
          <w:i/>
          <w:sz w:val="22"/>
          <w:szCs w:val="22"/>
        </w:rPr>
        <w:t>華魯控股董事願就本公告所載之資料（與本公司有關之資料除外）之準確性共同及個別承擔全部責任，並經作出一切合理查詢後確認，就彼等所深知，本公告內發表之意見乃經審慎周詳考慮後達致，而本公告並無遺漏其他事實，致使本公告內之任何陳述產生誤導。</w:t>
      </w:r>
    </w:p>
    <w:p>
      <w:pPr>
        <w:ind w:left="-142"/>
        <w:rPr>
          <w:rFonts w:eastAsia="DengXian"/>
          <w:i/>
          <w:sz w:val="22"/>
          <w:szCs w:val="22"/>
        </w:rPr>
      </w:pPr>
    </w:p>
    <w:p>
      <w:pPr>
        <w:ind w:left="-142"/>
        <w:rPr>
          <w:rFonts w:eastAsia="DengXian"/>
          <w:i/>
          <w:iCs/>
          <w:sz w:val="22"/>
          <w:szCs w:val="22"/>
          <w:lang w:eastAsia="zh-TW"/>
        </w:rPr>
      </w:pPr>
      <w:r>
        <w:rPr>
          <w:i/>
          <w:iCs/>
          <w:sz w:val="23"/>
          <w:szCs w:val="23"/>
        </w:rPr>
        <w:t>*</w:t>
      </w:r>
      <w:r>
        <w:rPr>
          <w:rFonts w:hint="eastAsia" w:ascii="PMingLiU" w:eastAsia="PMingLiU" w:cs="PMingLiU"/>
          <w:i/>
          <w:sz w:val="23"/>
          <w:szCs w:val="23"/>
        </w:rPr>
        <w:t>僅供識別</w:t>
      </w:r>
    </w:p>
    <w:sectPr>
      <w:footerReference r:id="rId3" w:type="default"/>
      <w:pgSz w:w="11906" w:h="16838"/>
      <w:pgMar w:top="1440" w:right="1526" w:bottom="1440" w:left="1526" w:header="850" w:footer="9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DengXian">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265507729"/>
    </w:sdtPr>
    <w:sdtEndPr>
      <w:rPr>
        <w:sz w:val="16"/>
        <w:szCs w:val="16"/>
      </w:rPr>
    </w:sdtEndPr>
    <w:sdtContent>
      <w:p>
        <w:pPr>
          <w:pStyle w:val="3"/>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sz w:val="16"/>
            <w:szCs w:val="16"/>
          </w:rPr>
          <w:fldChar w:fldCharType="end"/>
        </w:r>
      </w:p>
    </w:sdtContent>
  </w:sdt>
  <w:p>
    <w:pPr>
      <w:pStyle w:val="3"/>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4CBC"/>
    <w:rsid w:val="00085CDD"/>
    <w:rsid w:val="00094AE4"/>
    <w:rsid w:val="000958A4"/>
    <w:rsid w:val="000B3802"/>
    <w:rsid w:val="000B6FA8"/>
    <w:rsid w:val="0012692C"/>
    <w:rsid w:val="0014311B"/>
    <w:rsid w:val="00155B07"/>
    <w:rsid w:val="0016794F"/>
    <w:rsid w:val="00172A27"/>
    <w:rsid w:val="00175884"/>
    <w:rsid w:val="0020365C"/>
    <w:rsid w:val="00285291"/>
    <w:rsid w:val="002B2E17"/>
    <w:rsid w:val="002E6742"/>
    <w:rsid w:val="002F0CD0"/>
    <w:rsid w:val="002F2B97"/>
    <w:rsid w:val="003032A8"/>
    <w:rsid w:val="0031668F"/>
    <w:rsid w:val="0033766B"/>
    <w:rsid w:val="00384F24"/>
    <w:rsid w:val="003902D2"/>
    <w:rsid w:val="00394AB9"/>
    <w:rsid w:val="003C61E9"/>
    <w:rsid w:val="003E52AC"/>
    <w:rsid w:val="003F097B"/>
    <w:rsid w:val="00411780"/>
    <w:rsid w:val="00435409"/>
    <w:rsid w:val="0045557C"/>
    <w:rsid w:val="00470B80"/>
    <w:rsid w:val="00492013"/>
    <w:rsid w:val="004B3E48"/>
    <w:rsid w:val="004E66A3"/>
    <w:rsid w:val="00524362"/>
    <w:rsid w:val="00556145"/>
    <w:rsid w:val="005577CC"/>
    <w:rsid w:val="005775D6"/>
    <w:rsid w:val="00597AE4"/>
    <w:rsid w:val="005A55EA"/>
    <w:rsid w:val="005E050F"/>
    <w:rsid w:val="00612B54"/>
    <w:rsid w:val="006155CC"/>
    <w:rsid w:val="00630E75"/>
    <w:rsid w:val="006363C8"/>
    <w:rsid w:val="00670DF3"/>
    <w:rsid w:val="006E6553"/>
    <w:rsid w:val="006F16D6"/>
    <w:rsid w:val="007076FB"/>
    <w:rsid w:val="00715B7F"/>
    <w:rsid w:val="0073020C"/>
    <w:rsid w:val="00745514"/>
    <w:rsid w:val="00762587"/>
    <w:rsid w:val="00783445"/>
    <w:rsid w:val="007D00C6"/>
    <w:rsid w:val="007D6D7D"/>
    <w:rsid w:val="007E1C31"/>
    <w:rsid w:val="007E4644"/>
    <w:rsid w:val="007F2901"/>
    <w:rsid w:val="007F3E7F"/>
    <w:rsid w:val="008146BF"/>
    <w:rsid w:val="008409C2"/>
    <w:rsid w:val="008572A7"/>
    <w:rsid w:val="008706E1"/>
    <w:rsid w:val="00872BDD"/>
    <w:rsid w:val="008823C3"/>
    <w:rsid w:val="008A02FF"/>
    <w:rsid w:val="008D5D3D"/>
    <w:rsid w:val="008F37F6"/>
    <w:rsid w:val="009057DE"/>
    <w:rsid w:val="009059CF"/>
    <w:rsid w:val="0095230D"/>
    <w:rsid w:val="0098492A"/>
    <w:rsid w:val="009A27C4"/>
    <w:rsid w:val="009B4DEB"/>
    <w:rsid w:val="009D208C"/>
    <w:rsid w:val="009D2F45"/>
    <w:rsid w:val="009D3266"/>
    <w:rsid w:val="009D5C74"/>
    <w:rsid w:val="00A27BDB"/>
    <w:rsid w:val="00A35B88"/>
    <w:rsid w:val="00A417B5"/>
    <w:rsid w:val="00A504BC"/>
    <w:rsid w:val="00A63A40"/>
    <w:rsid w:val="00A927D8"/>
    <w:rsid w:val="00A92AF0"/>
    <w:rsid w:val="00AE327C"/>
    <w:rsid w:val="00AF2510"/>
    <w:rsid w:val="00B33A95"/>
    <w:rsid w:val="00B35B16"/>
    <w:rsid w:val="00B51DC4"/>
    <w:rsid w:val="00B53362"/>
    <w:rsid w:val="00B64D64"/>
    <w:rsid w:val="00BA0A4E"/>
    <w:rsid w:val="00BB7E87"/>
    <w:rsid w:val="00BF314D"/>
    <w:rsid w:val="00C225CE"/>
    <w:rsid w:val="00C22F1C"/>
    <w:rsid w:val="00C47B75"/>
    <w:rsid w:val="00C7566A"/>
    <w:rsid w:val="00CC7EC9"/>
    <w:rsid w:val="00CE1D2D"/>
    <w:rsid w:val="00D140D2"/>
    <w:rsid w:val="00D21527"/>
    <w:rsid w:val="00D2478B"/>
    <w:rsid w:val="00D31874"/>
    <w:rsid w:val="00D43EF0"/>
    <w:rsid w:val="00D53984"/>
    <w:rsid w:val="00D95C3A"/>
    <w:rsid w:val="00DF05DE"/>
    <w:rsid w:val="00E30735"/>
    <w:rsid w:val="00E5617E"/>
    <w:rsid w:val="00E911AC"/>
    <w:rsid w:val="00EB02E8"/>
    <w:rsid w:val="00EC2FCA"/>
    <w:rsid w:val="00ED5BEA"/>
    <w:rsid w:val="00F12E3A"/>
    <w:rsid w:val="00F247E3"/>
    <w:rsid w:val="00F277C9"/>
    <w:rsid w:val="00F37C18"/>
    <w:rsid w:val="00F44620"/>
    <w:rsid w:val="00F5164C"/>
    <w:rsid w:val="00F535BD"/>
    <w:rsid w:val="00F866B6"/>
    <w:rsid w:val="00F91B4C"/>
    <w:rsid w:val="00FA0935"/>
    <w:rsid w:val="00FA7A28"/>
    <w:rsid w:val="00FD24C1"/>
    <w:rsid w:val="3460356C"/>
    <w:rsid w:val="51C6239A"/>
    <w:rsid w:val="6B024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99"/>
    <w:pPr>
      <w:tabs>
        <w:tab w:val="center" w:pos="4680"/>
        <w:tab w:val="right" w:pos="9360"/>
      </w:tabs>
    </w:pPr>
  </w:style>
  <w:style w:type="paragraph" w:styleId="4">
    <w:name w:val="header"/>
    <w:basedOn w:val="1"/>
    <w:link w:val="11"/>
    <w:qFormat/>
    <w:uiPriority w:val="0"/>
    <w:pPr>
      <w:tabs>
        <w:tab w:val="center" w:pos="4680"/>
        <w:tab w:val="right" w:pos="9360"/>
      </w:tabs>
    </w:pPr>
  </w:style>
  <w:style w:type="character" w:styleId="6">
    <w:name w:val="Hyperlink"/>
    <w:qFormat/>
    <w:uiPriority w:val="0"/>
    <w:rPr>
      <w:color w:val="0000FF"/>
      <w:u w:val="single"/>
    </w:rPr>
  </w:style>
  <w:style w:type="paragraph" w:customStyle="1" w:styleId="8">
    <w:name w:val="List Paragraph"/>
    <w:basedOn w:val="1"/>
    <w:qFormat/>
    <w:uiPriority w:val="34"/>
    <w:pPr>
      <w:ind w:left="720"/>
    </w:pPr>
  </w:style>
  <w:style w:type="paragraph" w:customStyle="1" w:styleId="9">
    <w:name w:val="Default"/>
    <w:qFormat/>
    <w:uiPriority w:val="0"/>
    <w:pPr>
      <w:widowControl w:val="0"/>
      <w:autoSpaceDE w:val="0"/>
      <w:autoSpaceDN w:val="0"/>
      <w:adjustRightInd w:val="0"/>
    </w:pPr>
    <w:rPr>
      <w:rFonts w:ascii="Helvetica" w:hAnsi="Helvetica" w:eastAsia="PMingLiU" w:cs="Times New Roman"/>
      <w:color w:val="000000"/>
      <w:sz w:val="24"/>
      <w:szCs w:val="24"/>
      <w:lang w:val="en-US" w:eastAsia="zh-TW" w:bidi="ar-SA"/>
    </w:rPr>
  </w:style>
  <w:style w:type="paragraph" w:customStyle="1" w:styleId="10">
    <w:name w:val="_Style 2"/>
    <w:basedOn w:val="1"/>
    <w:qFormat/>
    <w:uiPriority w:val="0"/>
    <w:pPr>
      <w:widowControl/>
      <w:spacing w:after="160" w:line="240" w:lineRule="exact"/>
      <w:jc w:val="left"/>
    </w:pPr>
    <w:rPr>
      <w:kern w:val="0"/>
      <w:sz w:val="20"/>
      <w:szCs w:val="20"/>
      <w:lang w:eastAsia="zh-TW"/>
    </w:rPr>
  </w:style>
  <w:style w:type="character" w:customStyle="1" w:styleId="11">
    <w:name w:val="Header Char"/>
    <w:basedOn w:val="5"/>
    <w:link w:val="4"/>
    <w:qFormat/>
    <w:uiPriority w:val="0"/>
    <w:rPr>
      <w:kern w:val="2"/>
      <w:sz w:val="21"/>
      <w:szCs w:val="24"/>
      <w:lang w:eastAsia="zh-CN"/>
    </w:rPr>
  </w:style>
  <w:style w:type="character" w:customStyle="1" w:styleId="12">
    <w:name w:val="Footer Char"/>
    <w:basedOn w:val="5"/>
    <w:link w:val="3"/>
    <w:qFormat/>
    <w:uiPriority w:val="99"/>
    <w:rPr>
      <w:kern w:val="2"/>
      <w:sz w:val="21"/>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1157</Words>
  <Characters>1241</Characters>
  <Lines>3</Lines>
  <Paragraphs>3</Paragraphs>
  <ScaleCrop>false</ScaleCrop>
  <LinksUpToDate>false</LinksUpToDate>
  <CharactersWithSpaces>1458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2021-07-15T02:33:00Z</dcterms:created>
  <dc:creator>Luye Wang</dc:creator>
  <cp:lastModifiedBy>田建华</cp:lastModifiedBy>
  <cp:lastPrinted>2011-03-07T00:28:00Z</cp:lastPrinted>
  <dcterms:modified xsi:type="dcterms:W3CDTF">2021-08-16T08:22:03Z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