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i/>
          <w:sz w:val="18"/>
          <w:szCs w:val="18"/>
        </w:rPr>
      </w:pPr>
      <w:r>
        <w:rPr>
          <w:rFonts w:hint="eastAsia" w:eastAsia="PMingLiU"/>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rPr>
          <w:rFonts w:ascii="宋体" w:hAnsi="宋体"/>
          <w:i/>
          <w:color w:val="231F20"/>
          <w:kern w:val="0"/>
          <w:szCs w:val="21"/>
          <w:lang w:eastAsia="zh-TW"/>
        </w:rPr>
      </w:pPr>
    </w:p>
    <w:p>
      <w:pPr>
        <w:autoSpaceDE w:val="0"/>
        <w:autoSpaceDN w:val="0"/>
        <w:adjustRightInd w:val="0"/>
        <w:rPr>
          <w:rFonts w:ascii="宋体" w:hAnsi="宋体"/>
          <w:color w:val="231F20"/>
          <w:kern w:val="0"/>
          <w:sz w:val="28"/>
          <w:szCs w:val="18"/>
          <w:lang w:eastAsia="zh-TW"/>
        </w:rPr>
      </w:pPr>
      <w:r>
        <w:rPr>
          <w:rFonts w:ascii="PMingLiU" w:hAnsi="PMingLiU" w:eastAsia="PMingLiU" w:cs="PMingLiU"/>
          <w:kern w:val="0"/>
          <w:sz w:val="17"/>
          <w:szCs w:val="17"/>
        </w:rPr>
        <w:drawing>
          <wp:anchor distT="0" distB="0" distL="114300" distR="114300" simplePos="0" relativeHeight="251659264" behindDoc="0" locked="0" layoutInCell="1" allowOverlap="1">
            <wp:simplePos x="0" y="0"/>
            <wp:positionH relativeFrom="column">
              <wp:posOffset>2428875</wp:posOffset>
            </wp:positionH>
            <wp:positionV relativeFrom="paragraph">
              <wp:posOffset>123825</wp:posOffset>
            </wp:positionV>
            <wp:extent cx="457200" cy="495300"/>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457200" cy="495300"/>
                    </a:xfrm>
                    <a:prstGeom prst="rect">
                      <a:avLst/>
                    </a:prstGeom>
                    <a:noFill/>
                    <a:ln w="9525">
                      <a:noFill/>
                    </a:ln>
                  </pic:spPr>
                </pic:pic>
              </a:graphicData>
            </a:graphic>
          </wp:anchor>
        </w:drawing>
      </w: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lang w:eastAsia="zh-TW"/>
        </w:rPr>
      </w:pPr>
      <w:r>
        <w:rPr>
          <w:rFonts w:hint="eastAsia" w:ascii="宋体" w:hAnsi="宋体" w:eastAsia="PMingLiU"/>
          <w:b/>
          <w:bCs/>
          <w:color w:val="231F20"/>
          <w:kern w:val="0"/>
          <w:sz w:val="24"/>
          <w:szCs w:val="18"/>
          <w:lang w:eastAsia="zh-TW"/>
        </w:rPr>
        <w:t>山東新華製藥股份有限公司</w:t>
      </w:r>
    </w:p>
    <w:p>
      <w:pPr>
        <w:autoSpaceDE w:val="0"/>
        <w:autoSpaceDN w:val="0"/>
        <w:adjustRightInd w:val="0"/>
        <w:jc w:val="center"/>
        <w:rPr>
          <w:rFonts w:ascii="宋体" w:hAnsi="宋体"/>
          <w:b/>
          <w:bCs/>
          <w:color w:val="231F20"/>
          <w:kern w:val="0"/>
          <w:sz w:val="18"/>
          <w:szCs w:val="18"/>
          <w:lang w:eastAsia="zh-TW"/>
        </w:rPr>
      </w:pPr>
      <w:r>
        <w:rPr>
          <w:rFonts w:ascii="宋体" w:hAnsi="宋体" w:eastAsia="PMingLiU"/>
          <w:b/>
          <w:bCs/>
          <w:color w:val="231F20"/>
          <w:kern w:val="0"/>
          <w:sz w:val="24"/>
          <w:szCs w:val="18"/>
          <w:lang w:eastAsia="zh-TW"/>
        </w:rPr>
        <w:t>Shandong Xinhua Pharmaceutical Company Limited</w:t>
      </w:r>
    </w:p>
    <w:p>
      <w:pPr>
        <w:autoSpaceDE w:val="0"/>
        <w:autoSpaceDN w:val="0"/>
        <w:adjustRightInd w:val="0"/>
        <w:jc w:val="center"/>
        <w:rPr>
          <w:rFonts w:ascii="宋体" w:hAnsi="宋体"/>
          <w:color w:val="231F20"/>
          <w:kern w:val="0"/>
          <w:sz w:val="18"/>
          <w:szCs w:val="18"/>
          <w:lang w:eastAsia="zh-TW"/>
        </w:rPr>
      </w:pPr>
      <w:r>
        <w:rPr>
          <w:rFonts w:hint="eastAsia" w:ascii="宋体" w:hAnsi="宋体" w:eastAsia="PMingLiU"/>
          <w:color w:val="231F20"/>
          <w:kern w:val="0"/>
          <w:sz w:val="18"/>
          <w:szCs w:val="18"/>
          <w:lang w:eastAsia="zh-TW"/>
        </w:rPr>
        <w:t>（於中華人民共和國註冊成立之股份有限公司）</w:t>
      </w:r>
    </w:p>
    <w:p>
      <w:pPr>
        <w:autoSpaceDE w:val="0"/>
        <w:autoSpaceDN w:val="0"/>
        <w:adjustRightInd w:val="0"/>
        <w:jc w:val="center"/>
        <w:rPr>
          <w:rFonts w:ascii="宋体" w:hAnsi="宋体"/>
          <w:color w:val="231F20"/>
          <w:kern w:val="0"/>
          <w:sz w:val="20"/>
          <w:szCs w:val="20"/>
        </w:rPr>
      </w:pPr>
      <w:r>
        <w:rPr>
          <w:rFonts w:hint="eastAsia" w:ascii="宋体" w:hAnsi="宋体" w:eastAsia="PMingLiU"/>
          <w:color w:val="231F20"/>
          <w:kern w:val="0"/>
          <w:sz w:val="20"/>
          <w:szCs w:val="20"/>
          <w:lang w:eastAsia="zh-TW"/>
        </w:rPr>
        <w:t>（股份代碼：</w:t>
      </w:r>
      <w:r>
        <w:rPr>
          <w:rFonts w:hint="eastAsia" w:ascii="宋体" w:hAnsi="宋体"/>
          <w:color w:val="231F20"/>
          <w:kern w:val="0"/>
          <w:sz w:val="20"/>
          <w:szCs w:val="20"/>
          <w:lang w:val="en-US" w:eastAsia="zh-CN"/>
        </w:rPr>
        <w:t>0</w:t>
      </w:r>
      <w:r>
        <w:rPr>
          <w:rFonts w:ascii="宋体" w:hAnsi="宋体" w:eastAsia="PMingLiU"/>
          <w:color w:val="231F20"/>
          <w:kern w:val="0"/>
          <w:sz w:val="20"/>
          <w:szCs w:val="20"/>
          <w:lang w:eastAsia="zh-TW"/>
        </w:rPr>
        <w:t>0719</w:t>
      </w:r>
      <w:r>
        <w:rPr>
          <w:rFonts w:hint="eastAsia" w:ascii="宋体" w:hAnsi="宋体" w:eastAsia="PMingLiU"/>
          <w:color w:val="231F20"/>
          <w:kern w:val="0"/>
          <w:sz w:val="20"/>
          <w:szCs w:val="20"/>
          <w:lang w:eastAsia="zh-TW"/>
        </w:rPr>
        <w:t>）</w:t>
      </w:r>
    </w:p>
    <w:p>
      <w:pPr>
        <w:autoSpaceDE w:val="0"/>
        <w:autoSpaceDN w:val="0"/>
        <w:adjustRightInd w:val="0"/>
        <w:jc w:val="center"/>
        <w:rPr>
          <w:rFonts w:ascii="宋体" w:hAnsi="宋体"/>
          <w:color w:val="231F20"/>
          <w:kern w:val="0"/>
          <w:sz w:val="20"/>
          <w:szCs w:val="20"/>
          <w:lang w:eastAsia="zh-TW"/>
        </w:rPr>
      </w:pPr>
    </w:p>
    <w:p>
      <w:pPr>
        <w:autoSpaceDE w:val="0"/>
        <w:autoSpaceDN w:val="0"/>
        <w:adjustRightInd w:val="0"/>
        <w:jc w:val="center"/>
        <w:rPr>
          <w:rFonts w:ascii="宋体" w:hAnsi="宋体"/>
          <w:b/>
          <w:bCs/>
          <w:color w:val="231F20"/>
          <w:kern w:val="0"/>
          <w:sz w:val="26"/>
          <w:szCs w:val="26"/>
          <w:lang w:eastAsia="zh-TW"/>
        </w:rPr>
      </w:pPr>
      <w:r>
        <w:rPr>
          <w:rFonts w:hint="eastAsia" w:ascii="宋体" w:hAnsi="宋体" w:eastAsia="PMingLiU"/>
          <w:b/>
          <w:bCs/>
          <w:color w:val="231F20"/>
          <w:kern w:val="0"/>
          <w:sz w:val="26"/>
          <w:szCs w:val="26"/>
          <w:lang w:eastAsia="zh-TW"/>
        </w:rPr>
        <w:t>海外監管公告</w:t>
      </w:r>
    </w:p>
    <w:p>
      <w:pPr>
        <w:autoSpaceDE w:val="0"/>
        <w:autoSpaceDN w:val="0"/>
        <w:adjustRightInd w:val="0"/>
        <w:jc w:val="center"/>
        <w:rPr>
          <w:rFonts w:ascii="宋体" w:hAnsi="宋体"/>
          <w:b/>
          <w:bCs/>
          <w:color w:val="231F20"/>
          <w:kern w:val="0"/>
          <w:sz w:val="26"/>
          <w:szCs w:val="26"/>
          <w:lang w:eastAsia="zh-TW"/>
        </w:rPr>
      </w:pPr>
    </w:p>
    <w:tbl>
      <w:tblPr>
        <w:tblStyle w:val="31"/>
        <w:tblW w:w="91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9140" w:type="dxa"/>
            <w:vAlign w:val="top"/>
          </w:tcPr>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lang w:eastAsia="zh-TW"/>
              </w:rPr>
            </w:pPr>
            <w:r>
              <w:rPr>
                <w:rFonts w:hint="eastAsia" w:ascii="宋体" w:hAnsi="宋体" w:eastAsia="PMingLiU"/>
                <w:color w:val="231F20"/>
                <w:kern w:val="0"/>
                <w:szCs w:val="21"/>
                <w:lang w:eastAsia="zh-TW"/>
              </w:rPr>
              <w:t>本公告乃根據香港聯合交易所有限公司證券上市規則第</w:t>
            </w:r>
            <w:r>
              <w:rPr>
                <w:rFonts w:ascii="宋体" w:hAnsi="宋体" w:eastAsia="PMingLiU"/>
                <w:color w:val="231F20"/>
                <w:kern w:val="0"/>
                <w:szCs w:val="21"/>
                <w:lang w:eastAsia="zh-TW"/>
              </w:rPr>
              <w:t>13.</w:t>
            </w:r>
            <w:r>
              <w:rPr>
                <w:rFonts w:hint="eastAsia" w:ascii="宋体" w:hAnsi="宋体"/>
                <w:color w:val="231F20"/>
                <w:kern w:val="0"/>
                <w:szCs w:val="21"/>
              </w:rPr>
              <w:t>10B</w:t>
            </w:r>
            <w:r>
              <w:rPr>
                <w:rFonts w:hint="eastAsia" w:ascii="宋体" w:hAnsi="宋体" w:eastAsia="PMingLiU"/>
                <w:color w:val="231F20"/>
                <w:kern w:val="0"/>
                <w:szCs w:val="21"/>
                <w:lang w:eastAsia="zh-TW"/>
              </w:rPr>
              <w:t>條作出。</w:t>
            </w:r>
          </w:p>
        </w:tc>
      </w:tr>
    </w:tbl>
    <w:p>
      <w:pPr>
        <w:jc w:val="both"/>
        <w:rPr>
          <w:rFonts w:hint="eastAsia" w:ascii="宋体" w:hAnsi="宋体" w:eastAsia="宋体"/>
          <w:color w:val="231F20"/>
          <w:kern w:val="0"/>
          <w:szCs w:val="21"/>
          <w:lang w:eastAsia="zh-TW"/>
        </w:rPr>
      </w:pPr>
    </w:p>
    <w:p>
      <w:pPr>
        <w:jc w:val="both"/>
        <w:rPr>
          <w:rFonts w:hint="eastAsia" w:ascii="宋体" w:hAnsi="宋体" w:eastAsia="宋体"/>
          <w:color w:val="231F20"/>
          <w:kern w:val="0"/>
          <w:szCs w:val="21"/>
          <w:lang w:eastAsia="zh-TW"/>
        </w:rPr>
      </w:pPr>
      <w:r>
        <w:rPr>
          <w:rFonts w:hint="eastAsia" w:ascii="宋体" w:hAnsi="宋体" w:eastAsia="宋体"/>
          <w:color w:val="231F20"/>
          <w:kern w:val="0"/>
          <w:szCs w:val="21"/>
          <w:lang w:eastAsia="zh-TW"/>
        </w:rPr>
        <w:t>山東新華製藥股份有限公司（「本公司」）</w:t>
      </w:r>
      <w:r>
        <w:rPr>
          <w:rFonts w:hint="eastAsia" w:ascii="宋体" w:hAnsi="宋体" w:eastAsia="宋体"/>
          <w:color w:val="231F20"/>
          <w:kern w:val="0"/>
          <w:szCs w:val="21"/>
          <w:lang w:eastAsia="zh-CN"/>
        </w:rPr>
        <w:t>將</w:t>
      </w:r>
      <w:r>
        <w:rPr>
          <w:rFonts w:hint="eastAsia" w:ascii="宋体" w:hAnsi="宋体" w:eastAsia="宋体"/>
          <w:color w:val="231F20"/>
          <w:kern w:val="0"/>
          <w:szCs w:val="21"/>
          <w:lang w:eastAsia="zh-TW"/>
        </w:rPr>
        <w:t>於20</w:t>
      </w:r>
      <w:r>
        <w:rPr>
          <w:rFonts w:hint="eastAsia" w:ascii="宋体" w:hAnsi="宋体" w:eastAsia="宋体"/>
          <w:color w:val="231F20"/>
          <w:kern w:val="0"/>
          <w:szCs w:val="21"/>
          <w:lang w:val="en-US" w:eastAsia="zh-CN"/>
        </w:rPr>
        <w:t>2</w:t>
      </w:r>
      <w:r>
        <w:rPr>
          <w:rFonts w:hint="eastAsia" w:ascii="宋体" w:hAnsi="宋体"/>
          <w:color w:val="231F20"/>
          <w:kern w:val="0"/>
          <w:szCs w:val="21"/>
          <w:lang w:val="en-US" w:eastAsia="zh-CN"/>
        </w:rPr>
        <w:t>1</w:t>
      </w:r>
      <w:r>
        <w:rPr>
          <w:rFonts w:hint="eastAsia" w:ascii="宋体" w:hAnsi="宋体" w:eastAsia="宋体"/>
          <w:color w:val="231F20"/>
          <w:kern w:val="0"/>
          <w:szCs w:val="21"/>
          <w:lang w:eastAsia="zh-TW"/>
        </w:rPr>
        <w:t>年</w:t>
      </w:r>
      <w:r>
        <w:rPr>
          <w:rFonts w:hint="eastAsia" w:ascii="宋体" w:hAnsi="宋体"/>
          <w:color w:val="231F20"/>
          <w:kern w:val="0"/>
          <w:szCs w:val="21"/>
          <w:lang w:val="en-US" w:eastAsia="zh-CN"/>
        </w:rPr>
        <w:t>8</w:t>
      </w:r>
      <w:r>
        <w:rPr>
          <w:rFonts w:hint="eastAsia" w:ascii="宋体" w:hAnsi="宋体" w:eastAsia="宋体"/>
          <w:color w:val="231F20"/>
          <w:kern w:val="0"/>
          <w:szCs w:val="21"/>
          <w:lang w:eastAsia="zh-TW"/>
        </w:rPr>
        <w:t>月</w:t>
      </w:r>
      <w:r>
        <w:rPr>
          <w:rFonts w:hint="eastAsia" w:ascii="宋体" w:hAnsi="宋体"/>
          <w:color w:val="231F20"/>
          <w:kern w:val="0"/>
          <w:szCs w:val="21"/>
          <w:lang w:val="en-US" w:eastAsia="zh-CN"/>
        </w:rPr>
        <w:t>13</w:t>
      </w:r>
      <w:r>
        <w:rPr>
          <w:rFonts w:hint="eastAsia" w:ascii="宋体" w:hAnsi="宋体" w:eastAsia="宋体"/>
          <w:color w:val="231F20"/>
          <w:kern w:val="0"/>
          <w:szCs w:val="21"/>
          <w:lang w:eastAsia="zh-TW"/>
        </w:rPr>
        <w:t>日在巨潮資訊網（</w:t>
      </w:r>
      <w:r>
        <w:rPr>
          <w:rFonts w:hint="eastAsia" w:ascii="宋体" w:hAnsi="宋体" w:eastAsia="宋体"/>
          <w:color w:val="231F20"/>
          <w:kern w:val="0"/>
          <w:szCs w:val="21"/>
          <w:lang w:eastAsia="zh-TW"/>
        </w:rPr>
        <w:fldChar w:fldCharType="begin"/>
      </w:r>
      <w:r>
        <w:rPr>
          <w:rFonts w:hint="eastAsia" w:ascii="宋体" w:hAnsi="宋体" w:eastAsia="宋体"/>
          <w:color w:val="231F20"/>
          <w:kern w:val="0"/>
          <w:szCs w:val="21"/>
          <w:lang w:eastAsia="zh-TW"/>
        </w:rPr>
        <w:instrText xml:space="preserve"> HYPERLINK "http://www.cninfo.com.cn" </w:instrText>
      </w:r>
      <w:r>
        <w:rPr>
          <w:rFonts w:hint="eastAsia" w:ascii="宋体" w:hAnsi="宋体" w:eastAsia="宋体"/>
          <w:color w:val="231F20"/>
          <w:kern w:val="0"/>
          <w:szCs w:val="21"/>
          <w:lang w:eastAsia="zh-TW"/>
        </w:rPr>
        <w:fldChar w:fldCharType="separate"/>
      </w:r>
      <w:r>
        <w:rPr>
          <w:rFonts w:hint="eastAsia" w:ascii="宋体" w:hAnsi="宋体" w:eastAsia="宋体"/>
          <w:color w:val="231F20"/>
          <w:kern w:val="0"/>
          <w:szCs w:val="21"/>
          <w:lang w:eastAsia="zh-TW"/>
        </w:rPr>
        <w:t>http://www.cninfo.com.cn</w:t>
      </w:r>
      <w:r>
        <w:rPr>
          <w:rFonts w:hint="eastAsia" w:ascii="宋体" w:hAnsi="宋体" w:eastAsia="宋体"/>
          <w:color w:val="231F20"/>
          <w:kern w:val="0"/>
          <w:szCs w:val="21"/>
          <w:lang w:eastAsia="zh-TW"/>
        </w:rPr>
        <w:fldChar w:fldCharType="end"/>
      </w:r>
      <w:r>
        <w:rPr>
          <w:rFonts w:hint="eastAsia" w:ascii="宋体" w:hAnsi="宋体" w:eastAsia="宋体"/>
          <w:color w:val="231F20"/>
          <w:kern w:val="0"/>
          <w:szCs w:val="21"/>
          <w:lang w:eastAsia="zh-TW"/>
        </w:rPr>
        <w:t>）刊登</w:t>
      </w:r>
      <w:r>
        <w:rPr>
          <w:rFonts w:hint="eastAsia" w:ascii="宋体" w:hAnsi="宋体" w:eastAsia="宋体"/>
          <w:color w:val="231F20"/>
          <w:kern w:val="0"/>
          <w:szCs w:val="21"/>
          <w:lang w:eastAsia="zh-CN"/>
        </w:rPr>
        <w:t>的</w:t>
      </w:r>
      <w:r>
        <w:rPr>
          <w:rFonts w:hint="eastAsia" w:ascii="宋体" w:hAnsi="宋体" w:eastAsia="宋体"/>
          <w:color w:val="231F20"/>
          <w:kern w:val="0"/>
          <w:szCs w:val="21"/>
          <w:lang w:eastAsia="zh-TW"/>
        </w:rPr>
        <w:t>本公司《第十屆董事會2021年第三次臨時會議決議公告》</w:t>
      </w:r>
      <w:r>
        <w:rPr>
          <w:rFonts w:hint="eastAsia" w:ascii="宋体" w:hAnsi="宋体" w:eastAsia="宋体"/>
          <w:color w:val="231F20"/>
          <w:kern w:val="0"/>
          <w:szCs w:val="21"/>
          <w:lang w:eastAsia="zh-CN"/>
        </w:rPr>
        <w:t>、《第十屆監事會2021年第二次臨時會議決議公告》、《關於實施2020年度權益分派後調整2021年非公開發行A股股票發行價格和發行數量的公告》、《關於2021年度非公開發行A股股票預案修訂情況說明的公告》、《2021年度非公開發行A股股票預案（修訂稿）》、《關於公司調整非公開發行股票方案涉及關聯交易的公告》、《非公開發行A股股票攤薄即期回報填補措施（修訂稿）的公告》</w:t>
      </w:r>
      <w:r>
        <w:rPr>
          <w:rFonts w:hint="eastAsia" w:ascii="宋体" w:hAnsi="宋体" w:eastAsia="宋体"/>
          <w:color w:val="231F20"/>
          <w:kern w:val="0"/>
          <w:szCs w:val="21"/>
          <w:lang w:eastAsia="zh-TW"/>
        </w:rPr>
        <w:t>，茲載列有關文檔之中文版，以供參閱。</w:t>
      </w:r>
    </w:p>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rPr>
      </w:pPr>
    </w:p>
    <w:p>
      <w:pPr>
        <w:pStyle w:val="2"/>
        <w:rPr>
          <w:rFonts w:ascii="宋体" w:hAnsi="宋体"/>
          <w:color w:val="231F20"/>
          <w:kern w:val="0"/>
          <w:szCs w:val="21"/>
        </w:rPr>
      </w:pPr>
    </w:p>
    <w:p>
      <w:pPr>
        <w:pStyle w:val="2"/>
        <w:rPr>
          <w:rFonts w:ascii="宋体" w:hAnsi="宋体"/>
          <w:color w:val="231F20"/>
          <w:kern w:val="0"/>
          <w:szCs w:val="21"/>
        </w:rPr>
      </w:pPr>
    </w:p>
    <w:p>
      <w:pPr>
        <w:autoSpaceDE w:val="0"/>
        <w:autoSpaceDN w:val="0"/>
        <w:adjustRightInd w:val="0"/>
        <w:ind w:right="420"/>
        <w:jc w:val="center"/>
        <w:rPr>
          <w:rFonts w:hint="eastAsia" w:ascii="宋体" w:hAnsi="宋体" w:eastAsia="宋体"/>
          <w:color w:val="231F20"/>
          <w:kern w:val="0"/>
          <w:szCs w:val="21"/>
          <w:lang w:eastAsia="zh-TW"/>
        </w:rPr>
      </w:pP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承董事會命</w:t>
      </w:r>
    </w:p>
    <w:p>
      <w:pPr>
        <w:autoSpaceDE w:val="0"/>
        <w:autoSpaceDN w:val="0"/>
        <w:adjustRightInd w:val="0"/>
        <w:ind w:right="420"/>
        <w:jc w:val="center"/>
        <w:rPr>
          <w:rFonts w:ascii="宋体" w:hAnsi="宋体"/>
          <w:color w:val="231F20"/>
          <w:kern w:val="0"/>
          <w:szCs w:val="21"/>
          <w:lang w:eastAsia="zh-TW"/>
        </w:rPr>
      </w:pPr>
      <w:r>
        <w:rPr>
          <w:rFonts w:hint="eastAsia" w:ascii="宋体" w:hAnsi="宋体" w:eastAsia="宋体"/>
          <w:color w:val="231F20"/>
          <w:kern w:val="0"/>
          <w:szCs w:val="21"/>
          <w:lang w:val="en-US" w:eastAsia="zh-CN"/>
        </w:rPr>
        <w:t xml:space="preserve">                                           </w:t>
      </w:r>
      <w:r>
        <w:rPr>
          <w:rFonts w:hint="eastAsia" w:ascii="宋体" w:hAnsi="宋体" w:eastAsia="宋体"/>
          <w:color w:val="231F20"/>
          <w:kern w:val="0"/>
          <w:szCs w:val="21"/>
          <w:lang w:eastAsia="zh-TW"/>
        </w:rPr>
        <w:t>山東新華製藥股份有限公司</w:t>
      </w:r>
    </w:p>
    <w:p>
      <w:pPr>
        <w:autoSpaceDE w:val="0"/>
        <w:autoSpaceDN w:val="0"/>
        <w:adjustRightInd w:val="0"/>
        <w:ind w:right="420" w:firstLine="6300" w:firstLineChars="3000"/>
        <w:rPr>
          <w:rFonts w:ascii="宋体" w:hAnsi="宋体"/>
          <w:color w:val="231F20"/>
          <w:kern w:val="0"/>
          <w:szCs w:val="21"/>
        </w:rPr>
      </w:pPr>
      <w:r>
        <w:rPr>
          <w:rFonts w:hint="eastAsia" w:ascii="宋体" w:hAnsi="宋体" w:eastAsia="宋体"/>
          <w:color w:val="231F20"/>
          <w:kern w:val="0"/>
          <w:szCs w:val="21"/>
          <w:lang w:eastAsia="zh-TW"/>
        </w:rPr>
        <w:t>張代銘</w:t>
      </w:r>
    </w:p>
    <w:p>
      <w:pPr>
        <w:autoSpaceDE w:val="0"/>
        <w:autoSpaceDN w:val="0"/>
        <w:adjustRightInd w:val="0"/>
        <w:ind w:right="420" w:firstLine="6300" w:firstLineChars="3000"/>
        <w:rPr>
          <w:rFonts w:ascii="宋体" w:hAnsi="宋体"/>
          <w:color w:val="231F20"/>
          <w:kern w:val="0"/>
          <w:szCs w:val="21"/>
          <w:lang w:eastAsia="zh-TW"/>
        </w:rPr>
      </w:pPr>
      <w:r>
        <w:rPr>
          <w:rFonts w:hint="eastAsia" w:ascii="宋体" w:hAnsi="宋体" w:eastAsia="宋体"/>
          <w:color w:val="231F20"/>
          <w:kern w:val="0"/>
          <w:szCs w:val="21"/>
          <w:lang w:eastAsia="zh-TW"/>
        </w:rPr>
        <w:t>董事長</w:t>
      </w:r>
    </w:p>
    <w:p>
      <w:pPr>
        <w:autoSpaceDE w:val="0"/>
        <w:autoSpaceDN w:val="0"/>
        <w:adjustRightInd w:val="0"/>
        <w:rPr>
          <w:rFonts w:ascii="宋体" w:hAnsi="宋体"/>
          <w:color w:val="231F20"/>
          <w:kern w:val="0"/>
          <w:szCs w:val="21"/>
          <w:lang w:eastAsia="zh-TW"/>
        </w:rPr>
      </w:pPr>
    </w:p>
    <w:p>
      <w:pPr>
        <w:pStyle w:val="2"/>
        <w:rPr>
          <w:rFonts w:ascii="宋体" w:hAnsi="宋体"/>
          <w:color w:val="231F20"/>
          <w:kern w:val="0"/>
          <w:szCs w:val="21"/>
          <w:lang w:eastAsia="zh-TW"/>
        </w:rPr>
      </w:pPr>
    </w:p>
    <w:p>
      <w:pPr>
        <w:pStyle w:val="2"/>
        <w:rPr>
          <w:rFonts w:ascii="宋体" w:hAnsi="宋体"/>
          <w:color w:val="231F20"/>
          <w:kern w:val="0"/>
          <w:szCs w:val="21"/>
          <w:lang w:eastAsia="zh-TW"/>
        </w:rPr>
      </w:pPr>
    </w:p>
    <w:p>
      <w:pPr>
        <w:autoSpaceDE w:val="0"/>
        <w:autoSpaceDN w:val="0"/>
        <w:adjustRightInd w:val="0"/>
        <w:rPr>
          <w:lang w:eastAsia="zh-TW"/>
        </w:rPr>
      </w:pPr>
      <w:r>
        <w:rPr>
          <w:rFonts w:hint="eastAsia" w:ascii="宋体" w:hAnsi="宋体" w:eastAsia="宋体"/>
          <w:color w:val="231F20"/>
          <w:kern w:val="0"/>
          <w:szCs w:val="21"/>
          <w:lang w:eastAsia="zh-TW"/>
        </w:rPr>
        <w:t>中國</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淄博</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二零</w:t>
      </w:r>
      <w:r>
        <w:rPr>
          <w:rFonts w:hint="eastAsia" w:ascii="宋体" w:hAnsi="宋体" w:eastAsia="宋体"/>
          <w:color w:val="231F20"/>
          <w:kern w:val="0"/>
          <w:szCs w:val="21"/>
          <w:lang w:eastAsia="zh-CN"/>
        </w:rPr>
        <w:t>二</w:t>
      </w:r>
      <w:r>
        <w:rPr>
          <w:rFonts w:hint="eastAsia" w:ascii="宋体" w:hAnsi="宋体"/>
          <w:color w:val="231F20"/>
          <w:kern w:val="0"/>
          <w:szCs w:val="21"/>
          <w:lang w:eastAsia="zh-CN"/>
        </w:rPr>
        <w:t>一</w:t>
      </w:r>
      <w:r>
        <w:rPr>
          <w:rFonts w:hint="eastAsia" w:ascii="宋体" w:hAnsi="宋体" w:eastAsia="宋体"/>
          <w:color w:val="231F20"/>
          <w:kern w:val="0"/>
          <w:szCs w:val="21"/>
          <w:lang w:eastAsia="zh-TW"/>
        </w:rPr>
        <w:t>年</w:t>
      </w:r>
      <w:r>
        <w:rPr>
          <w:rFonts w:hint="eastAsia" w:ascii="宋体" w:hAnsi="宋体"/>
          <w:color w:val="231F20"/>
          <w:kern w:val="0"/>
          <w:szCs w:val="21"/>
          <w:lang w:eastAsia="zh-CN"/>
        </w:rPr>
        <w:t>八</w:t>
      </w:r>
      <w:r>
        <w:rPr>
          <w:rFonts w:hint="eastAsia" w:ascii="宋体" w:hAnsi="宋体" w:eastAsia="宋体"/>
          <w:color w:val="231F20"/>
          <w:kern w:val="0"/>
          <w:szCs w:val="21"/>
          <w:lang w:eastAsia="zh-TW"/>
        </w:rPr>
        <w:t>月</w:t>
      </w:r>
      <w:r>
        <w:rPr>
          <w:rFonts w:hint="eastAsia" w:ascii="宋体" w:hAnsi="宋体" w:eastAsia="宋体"/>
          <w:color w:val="231F20"/>
          <w:kern w:val="0"/>
          <w:szCs w:val="21"/>
          <w:lang w:eastAsia="zh-CN"/>
        </w:rPr>
        <w:t>十三</w:t>
      </w:r>
      <w:r>
        <w:rPr>
          <w:rFonts w:hint="eastAsia" w:ascii="宋体" w:hAnsi="宋体" w:eastAsia="宋体"/>
          <w:color w:val="231F20"/>
          <w:kern w:val="0"/>
          <w:szCs w:val="21"/>
          <w:lang w:eastAsia="zh-TW"/>
        </w:rPr>
        <w:t>日</w:t>
      </w:r>
    </w:p>
    <w:p>
      <w:pPr>
        <w:kinsoku w:val="0"/>
        <w:snapToGrid w:val="0"/>
        <w:rPr>
          <w:rFonts w:hint="eastAsia" w:eastAsia="宋体"/>
          <w:lang w:eastAsia="zh-TW"/>
        </w:rPr>
      </w:pPr>
    </w:p>
    <w:p>
      <w:pPr>
        <w:kinsoku w:val="0"/>
        <w:snapToGrid w:val="0"/>
        <w:rPr>
          <w:rFonts w:hint="eastAsia" w:eastAsia="宋体"/>
          <w:lang w:eastAsia="zh-TW"/>
        </w:rPr>
      </w:pPr>
    </w:p>
    <w:p>
      <w:pPr>
        <w:kinsoku w:val="0"/>
        <w:snapToGrid w:val="0"/>
        <w:rPr>
          <w:rFonts w:hint="eastAsia" w:eastAsia="宋体"/>
          <w:lang w:eastAsia="zh-TW"/>
        </w:rPr>
      </w:pPr>
    </w:p>
    <w:p>
      <w:pPr>
        <w:kinsoku w:val="0"/>
        <w:snapToGrid w:val="0"/>
        <w:rPr>
          <w:rFonts w:hint="eastAsia" w:eastAsia="宋体"/>
          <w:lang w:eastAsia="zh-TW"/>
        </w:rPr>
      </w:pPr>
    </w:p>
    <w:p>
      <w:pPr>
        <w:kinsoku w:val="0"/>
        <w:snapToGrid w:val="0"/>
        <w:rPr>
          <w:lang w:eastAsia="zh-TW"/>
        </w:rPr>
      </w:pPr>
      <w: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114300</wp:posOffset>
                </wp:positionV>
                <wp:extent cx="914400" cy="457200"/>
                <wp:effectExtent l="0" t="0" r="0" b="0"/>
                <wp:wrapNone/>
                <wp:docPr id="4" name="矩形 4"/>
                <wp:cNvGraphicFramePr/>
                <a:graphic xmlns:a="http://schemas.openxmlformats.org/drawingml/2006/main">
                  <a:graphicData uri="http://schemas.microsoft.com/office/word/2010/wordprocessingShape">
                    <wps:wsp>
                      <wps:cNvSpPr/>
                      <wps:spPr>
                        <a:xfrm>
                          <a:off x="0" y="0"/>
                          <a:ext cx="914400" cy="457200"/>
                        </a:xfrm>
                        <a:prstGeom prst="rect">
                          <a:avLst/>
                        </a:prstGeom>
                        <a:noFill/>
                        <a:ln w="9525">
                          <a:noFill/>
                        </a:ln>
                      </wps:spPr>
                      <wps:txbx>
                        <w:txbxContent>
                          <w:p>
                            <w:pPr>
                              <w:rPr>
                                <w:sz w:val="16"/>
                                <w:szCs w:val="16"/>
                              </w:rPr>
                            </w:pPr>
                          </w:p>
                        </w:txbxContent>
                      </wps:txbx>
                      <wps:bodyPr upright="1"/>
                    </wps:wsp>
                  </a:graphicData>
                </a:graphic>
              </wp:anchor>
            </w:drawing>
          </mc:Choice>
          <mc:Fallback>
            <w:pict>
              <v:rect id="_x0000_s1026" o:spid="_x0000_s1026" o:spt="1" style="position:absolute;left:0pt;margin-left:468pt;margin-top:9pt;height:36pt;width:72pt;z-index:251658240;mso-width-relative:page;mso-height-relative:page;" filled="f" stroked="f" coordsize="21600,21600" o:gfxdata="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FtI/CNcAAAAKAQAADwAAAAAAAAABACAAAAAiAAAAZHJzL2Rvd25yZXYu&#10;eG1sUEsBAhQAFAAAAAgAh07iQDUTzp6KAQAA+wIAAA4AAAAAAAAAAQAgAAAAJgEAAGRycy9lMm9E&#10;b2MueG1sUEsFBgAAAAAGAAYAWQEAACIFAAAAAA==&#10;">
                <v:fill on="f" focussize="0,0"/>
                <v:stroke on="f"/>
                <v:imagedata o:title=""/>
                <o:lock v:ext="edit" aspectratio="f"/>
                <v:textbox>
                  <w:txbxContent>
                    <w:p>
                      <w:pPr>
                        <w:rPr>
                          <w:sz w:val="16"/>
                          <w:szCs w:val="16"/>
                        </w:rPr>
                      </w:pPr>
                    </w:p>
                  </w:txbxContent>
                </v:textbox>
              </v:rect>
            </w:pict>
          </mc:Fallback>
        </mc:AlternateContent>
      </w:r>
      <w:r>
        <w:rPr>
          <w:rFonts w:hint="eastAsia" w:eastAsia="宋体"/>
          <w:lang w:eastAsia="zh-TW"/>
        </w:rPr>
        <w:t>於本公告日期，本公司董事會之成員如下：</w:t>
      </w:r>
    </w:p>
    <w:p>
      <w:pPr>
        <w:kinsoku w:val="0"/>
        <w:snapToGrid w:val="0"/>
        <w:rPr>
          <w:lang w:eastAsia="zh-TW"/>
        </w:rPr>
      </w:pPr>
    </w:p>
    <w:tbl>
      <w:tblPr>
        <w:tblStyle w:val="31"/>
        <w:tblW w:w="9280" w:type="dxa"/>
        <w:tblInd w:w="-56" w:type="dxa"/>
        <w:tblLayout w:type="fixed"/>
        <w:tblCellMar>
          <w:top w:w="0" w:type="dxa"/>
          <w:left w:w="28" w:type="dxa"/>
          <w:bottom w:w="0" w:type="dxa"/>
          <w:right w:w="28" w:type="dxa"/>
        </w:tblCellMar>
      </w:tblPr>
      <w:tblGrid>
        <w:gridCol w:w="4640"/>
        <w:gridCol w:w="4640"/>
      </w:tblGrid>
      <w:tr>
        <w:tblPrEx>
          <w:tblLayout w:type="fixed"/>
          <w:tblCellMar>
            <w:top w:w="0" w:type="dxa"/>
            <w:left w:w="28" w:type="dxa"/>
            <w:bottom w:w="0" w:type="dxa"/>
            <w:right w:w="28" w:type="dxa"/>
          </w:tblCellMar>
        </w:tblPrEx>
        <w:trPr>
          <w:trHeight w:val="1385" w:hRule="atLeast"/>
        </w:trPr>
        <w:tc>
          <w:tcPr>
            <w:tcW w:w="4640" w:type="dxa"/>
            <w:vAlign w:val="top"/>
          </w:tcPr>
          <w:p>
            <w:pPr>
              <w:snapToGrid w:val="0"/>
              <w:ind w:left="110"/>
              <w:jc w:val="both"/>
              <w:rPr>
                <w:rFonts w:hint="eastAsia" w:ascii="宋体" w:hAnsi="宋体" w:eastAsia="宋体" w:cs="宋体"/>
                <w:color w:val="231F20"/>
                <w:spacing w:val="4"/>
                <w:sz w:val="22"/>
                <w:szCs w:val="22"/>
                <w:u w:val="single"/>
              </w:rPr>
            </w:pPr>
            <w:r>
              <w:rPr>
                <w:rFonts w:hint="eastAsia" w:ascii="宋体" w:hAnsi="宋体" w:eastAsia="宋体" w:cs="宋体"/>
                <w:color w:val="231F20"/>
                <w:spacing w:val="4"/>
                <w:sz w:val="22"/>
                <w:szCs w:val="22"/>
                <w:u w:val="single"/>
              </w:rPr>
              <w:t>執行董事：</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張代銘先生（董事長）</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杜德平先生</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賀同慶先生</w:t>
            </w:r>
          </w:p>
          <w:p>
            <w:pPr>
              <w:snapToGrid w:val="0"/>
              <w:ind w:left="110"/>
              <w:jc w:val="both"/>
              <w:rPr>
                <w:rFonts w:hint="eastAsia" w:ascii="宋体" w:hAnsi="宋体" w:eastAsia="宋体" w:cs="宋体"/>
                <w:color w:val="231F20"/>
                <w:spacing w:val="4"/>
                <w:sz w:val="22"/>
                <w:szCs w:val="22"/>
              </w:rPr>
            </w:pPr>
          </w:p>
        </w:tc>
        <w:tc>
          <w:tcPr>
            <w:tcW w:w="4640" w:type="dxa"/>
            <w:vAlign w:val="top"/>
          </w:tcPr>
          <w:p>
            <w:pPr>
              <w:snapToGrid w:val="0"/>
              <w:ind w:left="110"/>
              <w:jc w:val="both"/>
              <w:rPr>
                <w:rFonts w:hint="eastAsia" w:ascii="宋体" w:hAnsi="宋体" w:eastAsia="宋体" w:cs="宋体"/>
                <w:color w:val="231F20"/>
                <w:spacing w:val="4"/>
                <w:sz w:val="22"/>
                <w:szCs w:val="22"/>
                <w:u w:val="single"/>
              </w:rPr>
            </w:pPr>
            <w:r>
              <w:rPr>
                <w:rFonts w:hint="eastAsia" w:ascii="宋体" w:hAnsi="宋体" w:eastAsia="宋体" w:cs="宋体"/>
                <w:color w:val="231F20"/>
                <w:spacing w:val="4"/>
                <w:sz w:val="22"/>
                <w:szCs w:val="22"/>
                <w:u w:val="single"/>
              </w:rPr>
              <w:t>獨立非執行董事：</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潘廣成先生</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朱建偉先生</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盧華威先生</w:t>
            </w:r>
          </w:p>
        </w:tc>
      </w:tr>
      <w:tr>
        <w:tblPrEx>
          <w:tblLayout w:type="fixed"/>
          <w:tblCellMar>
            <w:top w:w="0" w:type="dxa"/>
            <w:left w:w="28" w:type="dxa"/>
            <w:bottom w:w="0" w:type="dxa"/>
            <w:right w:w="28" w:type="dxa"/>
          </w:tblCellMar>
        </w:tblPrEx>
        <w:trPr>
          <w:trHeight w:val="1108" w:hRule="atLeast"/>
        </w:trPr>
        <w:tc>
          <w:tcPr>
            <w:tcW w:w="4640" w:type="dxa"/>
            <w:vAlign w:val="top"/>
          </w:tcPr>
          <w:p>
            <w:pPr>
              <w:snapToGrid w:val="0"/>
              <w:ind w:left="110"/>
              <w:jc w:val="both"/>
              <w:rPr>
                <w:rFonts w:hint="eastAsia" w:ascii="宋体" w:hAnsi="宋体" w:eastAsia="宋体" w:cs="宋体"/>
                <w:color w:val="231F20"/>
                <w:spacing w:val="4"/>
                <w:sz w:val="22"/>
                <w:szCs w:val="22"/>
                <w:u w:val="single"/>
              </w:rPr>
            </w:pPr>
            <w:r>
              <w:rPr>
                <w:rFonts w:hint="eastAsia" w:ascii="宋体" w:hAnsi="宋体" w:eastAsia="宋体" w:cs="宋体"/>
                <w:color w:val="231F20"/>
                <w:spacing w:val="4"/>
                <w:sz w:val="22"/>
                <w:szCs w:val="22"/>
                <w:u w:val="single"/>
              </w:rPr>
              <w:t>非執行董事：</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徐</w:t>
            </w:r>
            <w:r>
              <w:rPr>
                <w:rFonts w:hint="eastAsia" w:ascii="宋体" w:hAnsi="宋体" w:eastAsia="宋体" w:cs="宋体"/>
                <w:color w:val="231F20"/>
                <w:spacing w:val="4"/>
                <w:sz w:val="22"/>
                <w:szCs w:val="22"/>
                <w:lang w:val="en-US" w:eastAsia="zh-CN"/>
              </w:rPr>
              <w:t xml:space="preserve">  </w:t>
            </w:r>
            <w:r>
              <w:rPr>
                <w:rFonts w:hint="eastAsia" w:ascii="宋体" w:hAnsi="宋体" w:eastAsia="宋体" w:cs="宋体"/>
                <w:color w:val="231F20"/>
                <w:spacing w:val="4"/>
                <w:sz w:val="22"/>
                <w:szCs w:val="22"/>
              </w:rPr>
              <w:t>列先生</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叢克春先生</w:t>
            </w:r>
          </w:p>
          <w:p>
            <w:pPr>
              <w:snapToGrid w:val="0"/>
              <w:ind w:left="110"/>
              <w:jc w:val="both"/>
              <w:rPr>
                <w:rFonts w:hint="eastAsia" w:ascii="宋体" w:hAnsi="宋体" w:eastAsia="宋体" w:cs="宋体"/>
                <w:color w:val="231F20"/>
                <w:spacing w:val="4"/>
                <w:sz w:val="22"/>
                <w:szCs w:val="22"/>
              </w:rPr>
            </w:pPr>
          </w:p>
        </w:tc>
        <w:tc>
          <w:tcPr>
            <w:tcW w:w="4640" w:type="dxa"/>
            <w:vAlign w:val="top"/>
          </w:tcPr>
          <w:p>
            <w:pPr>
              <w:snapToGrid w:val="0"/>
              <w:jc w:val="both"/>
              <w:rPr>
                <w:rFonts w:hint="eastAsia" w:ascii="宋体" w:hAnsi="宋体" w:eastAsia="宋体" w:cs="宋体"/>
                <w:color w:val="231F20"/>
                <w:spacing w:val="4"/>
                <w:sz w:val="22"/>
                <w:szCs w:val="22"/>
              </w:rPr>
            </w:pPr>
          </w:p>
        </w:tc>
      </w:tr>
    </w:tbl>
    <w:p>
      <w:pPr>
        <w:spacing w:line="360" w:lineRule="auto"/>
        <w:jc w:val="both"/>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pStyle w:val="2"/>
        <w:rPr>
          <w:rFonts w:ascii="Times New Roman" w:hAnsi="Times New Roman" w:eastAsia="宋体" w:cs="Times New Roman"/>
          <w:sz w:val="24"/>
          <w:szCs w:val="24"/>
        </w:rPr>
      </w:pPr>
    </w:p>
    <w:p>
      <w:pPr>
        <w:widowControl/>
        <w:spacing w:line="288" w:lineRule="auto"/>
        <w:jc w:val="center"/>
        <w:rPr>
          <w:sz w:val="24"/>
        </w:rPr>
      </w:pPr>
    </w:p>
    <w:p>
      <w:pPr>
        <w:widowControl/>
        <w:spacing w:line="288" w:lineRule="auto"/>
        <w:jc w:val="both"/>
        <w:rPr>
          <w:rFonts w:hint="default" w:ascii="Times New Roman" w:hAnsi="Times New Roman" w:cs="Times New Roman"/>
          <w:sz w:val="24"/>
        </w:rPr>
      </w:pPr>
      <w:r>
        <w:rPr>
          <w:sz w:val="24"/>
        </w:rPr>
        <w:t>证券代码：</w:t>
      </w:r>
      <w:r>
        <w:rPr>
          <w:rFonts w:hint="default" w:ascii="Times New Roman" w:hAnsi="Times New Roman" w:cs="Times New Roman"/>
          <w:sz w:val="24"/>
        </w:rPr>
        <w:t xml:space="preserve">000756     </w:t>
      </w:r>
      <w:r>
        <w:rPr>
          <w:rFonts w:hint="default" w:ascii="Times New Roman" w:hAnsi="Times New Roman" w:cs="Times New Roman"/>
          <w:sz w:val="24"/>
          <w:lang w:val="en-US" w:eastAsia="zh-CN"/>
        </w:rPr>
        <w:t xml:space="preserve"> </w:t>
      </w:r>
      <w:r>
        <w:rPr>
          <w:rFonts w:hint="eastAsia" w:ascii="Times New Roman" w:hAnsi="Times New Roman" w:cs="Times New Roman"/>
          <w:sz w:val="24"/>
          <w:lang w:val="en-US" w:eastAsia="zh-CN"/>
        </w:rPr>
        <w:t xml:space="preserve">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证券简称：新华制药      </w:t>
      </w:r>
      <w:r>
        <w:rPr>
          <w:rFonts w:hint="eastAsia" w:ascii="Times New Roman" w:hAnsi="Times New Roman" w:cs="Times New Roman"/>
          <w:sz w:val="24"/>
          <w:lang w:val="en-US" w:eastAsia="zh-CN"/>
        </w:rPr>
        <w:t xml:space="preserve">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 公告编号：2021-</w:t>
      </w:r>
      <w:r>
        <w:rPr>
          <w:rFonts w:hint="default" w:ascii="Times New Roman" w:hAnsi="Times New Roman" w:cs="Times New Roman"/>
          <w:sz w:val="24"/>
          <w:lang w:val="en-US" w:eastAsia="zh-CN"/>
        </w:rPr>
        <w:t>40</w:t>
      </w:r>
    </w:p>
    <w:p>
      <w:pPr>
        <w:widowControl/>
        <w:spacing w:line="288" w:lineRule="auto"/>
        <w:rPr>
          <w:sz w:val="24"/>
        </w:rPr>
      </w:pPr>
    </w:p>
    <w:p>
      <w:pPr>
        <w:widowControl/>
        <w:spacing w:line="288" w:lineRule="auto"/>
        <w:jc w:val="center"/>
        <w:outlineLvl w:val="0"/>
        <w:rPr>
          <w:b/>
          <w:sz w:val="28"/>
          <w:szCs w:val="28"/>
        </w:rPr>
      </w:pPr>
      <w:r>
        <w:rPr>
          <w:rFonts w:hint="eastAsia"/>
          <w:b/>
          <w:sz w:val="28"/>
          <w:szCs w:val="28"/>
        </w:rPr>
        <w:t>山东新华制药股份有限公司</w:t>
      </w:r>
    </w:p>
    <w:p>
      <w:pPr>
        <w:widowControl/>
        <w:spacing w:line="288" w:lineRule="auto"/>
        <w:jc w:val="center"/>
        <w:outlineLvl w:val="0"/>
        <w:rPr>
          <w:b/>
          <w:sz w:val="28"/>
          <w:szCs w:val="28"/>
        </w:rPr>
      </w:pPr>
      <w:r>
        <w:rPr>
          <w:rFonts w:hint="eastAsia"/>
          <w:b/>
          <w:sz w:val="28"/>
          <w:szCs w:val="28"/>
        </w:rPr>
        <w:t>第十届董事会20</w:t>
      </w:r>
      <w:r>
        <w:rPr>
          <w:b/>
          <w:sz w:val="28"/>
          <w:szCs w:val="28"/>
        </w:rPr>
        <w:t>21</w:t>
      </w:r>
      <w:r>
        <w:rPr>
          <w:rFonts w:hint="eastAsia"/>
          <w:b/>
          <w:sz w:val="28"/>
          <w:szCs w:val="28"/>
        </w:rPr>
        <w:t>年第三次临时会议</w:t>
      </w:r>
      <w:r>
        <w:rPr>
          <w:b/>
          <w:sz w:val="28"/>
          <w:szCs w:val="28"/>
        </w:rPr>
        <w:t>决议公告</w:t>
      </w:r>
    </w:p>
    <w:p>
      <w:pPr>
        <w:widowControl/>
        <w:spacing w:line="288" w:lineRule="auto"/>
        <w:jc w:val="center"/>
        <w:rPr>
          <w:sz w:val="24"/>
        </w:rPr>
      </w:pPr>
    </w:p>
    <w:p>
      <w:pPr>
        <w:widowControl/>
        <w:spacing w:line="288" w:lineRule="auto"/>
        <w:ind w:firstLine="482" w:firstLineChars="200"/>
        <w:rPr>
          <w:b/>
          <w:bCs/>
          <w:sz w:val="24"/>
          <w:szCs w:val="24"/>
        </w:rPr>
      </w:pPr>
      <w:r>
        <w:rPr>
          <w:rFonts w:hint="eastAsia"/>
          <w:b/>
          <w:bCs/>
          <w:sz w:val="24"/>
          <w:szCs w:val="24"/>
        </w:rPr>
        <w:t>本公司及董事会全体成员保证信息披露的内容真实、准确、完整，没有虚假记载、误导性陈述或重大遗漏。</w:t>
      </w:r>
    </w:p>
    <w:p>
      <w:pPr>
        <w:widowControl/>
        <w:spacing w:line="288" w:lineRule="auto"/>
        <w:jc w:val="center"/>
        <w:rPr>
          <w:sz w:val="24"/>
        </w:rPr>
      </w:pPr>
    </w:p>
    <w:p>
      <w:pPr>
        <w:widowControl/>
        <w:spacing w:line="288" w:lineRule="auto"/>
        <w:ind w:firstLine="480" w:firstLineChars="200"/>
        <w:rPr>
          <w:sz w:val="24"/>
        </w:rPr>
      </w:pPr>
      <w:r>
        <w:rPr>
          <w:rFonts w:hint="eastAsia"/>
          <w:sz w:val="24"/>
        </w:rPr>
        <w:t>山东新华制药</w:t>
      </w:r>
      <w:r>
        <w:rPr>
          <w:sz w:val="24"/>
        </w:rPr>
        <w:t>股份有限公司（</w:t>
      </w:r>
      <w:r>
        <w:rPr>
          <w:rFonts w:hint="eastAsia"/>
          <w:sz w:val="24"/>
        </w:rPr>
        <w:t>“本</w:t>
      </w:r>
      <w:r>
        <w:rPr>
          <w:sz w:val="24"/>
        </w:rPr>
        <w:t>公司</w:t>
      </w:r>
      <w:r>
        <w:rPr>
          <w:rFonts w:hint="eastAsia"/>
          <w:sz w:val="24"/>
        </w:rPr>
        <w:t>”或“公司”</w:t>
      </w:r>
      <w:r>
        <w:rPr>
          <w:sz w:val="24"/>
        </w:rPr>
        <w:t>）</w:t>
      </w:r>
      <w:r>
        <w:rPr>
          <w:rFonts w:hint="eastAsia"/>
          <w:sz w:val="24"/>
        </w:rPr>
        <w:t>第十届董事会20</w:t>
      </w:r>
      <w:r>
        <w:rPr>
          <w:sz w:val="24"/>
        </w:rPr>
        <w:t>21</w:t>
      </w:r>
      <w:r>
        <w:rPr>
          <w:rFonts w:hint="eastAsia"/>
          <w:sz w:val="24"/>
        </w:rPr>
        <w:t>年第三次临时会议通知</w:t>
      </w:r>
      <w:r>
        <w:rPr>
          <w:sz w:val="24"/>
        </w:rPr>
        <w:t>于</w:t>
      </w:r>
      <w:r>
        <w:rPr>
          <w:rFonts w:hint="eastAsia"/>
          <w:sz w:val="24"/>
          <w:szCs w:val="24"/>
        </w:rPr>
        <w:t>2</w:t>
      </w:r>
      <w:r>
        <w:rPr>
          <w:sz w:val="24"/>
          <w:szCs w:val="24"/>
        </w:rPr>
        <w:t>021</w:t>
      </w:r>
      <w:r>
        <w:rPr>
          <w:rFonts w:hint="eastAsia"/>
          <w:sz w:val="24"/>
          <w:szCs w:val="24"/>
        </w:rPr>
        <w:t>年8月</w:t>
      </w:r>
      <w:r>
        <w:rPr>
          <w:rFonts w:hint="eastAsia"/>
          <w:sz w:val="24"/>
          <w:szCs w:val="24"/>
          <w:lang w:val="en-US" w:eastAsia="zh-CN"/>
        </w:rPr>
        <w:t>10</w:t>
      </w:r>
      <w:r>
        <w:rPr>
          <w:rFonts w:hint="eastAsia"/>
          <w:sz w:val="24"/>
          <w:szCs w:val="24"/>
        </w:rPr>
        <w:t>日以邮件形式发出，会议于2</w:t>
      </w:r>
      <w:r>
        <w:rPr>
          <w:sz w:val="24"/>
          <w:szCs w:val="24"/>
        </w:rPr>
        <w:t>021</w:t>
      </w:r>
      <w:r>
        <w:rPr>
          <w:rFonts w:hint="eastAsia"/>
          <w:sz w:val="24"/>
          <w:szCs w:val="24"/>
        </w:rPr>
        <w:t>年8月</w:t>
      </w:r>
      <w:r>
        <w:rPr>
          <w:rFonts w:hint="eastAsia"/>
          <w:sz w:val="24"/>
          <w:szCs w:val="24"/>
          <w:lang w:val="en-US" w:eastAsia="zh-CN"/>
        </w:rPr>
        <w:t>13</w:t>
      </w:r>
      <w:r>
        <w:rPr>
          <w:rFonts w:hint="eastAsia"/>
          <w:sz w:val="24"/>
          <w:szCs w:val="24"/>
        </w:rPr>
        <w:t>日以</w:t>
      </w:r>
      <w:r>
        <w:rPr>
          <w:rFonts w:hint="eastAsia"/>
          <w:sz w:val="24"/>
          <w:szCs w:val="24"/>
          <w:lang w:eastAsia="zh-CN"/>
        </w:rPr>
        <w:t>书面表决</w:t>
      </w:r>
      <w:r>
        <w:rPr>
          <w:rFonts w:hint="eastAsia"/>
          <w:sz w:val="24"/>
          <w:szCs w:val="24"/>
        </w:rPr>
        <w:t>方式</w:t>
      </w:r>
      <w:r>
        <w:rPr>
          <w:sz w:val="24"/>
        </w:rPr>
        <w:t>召开</w:t>
      </w:r>
      <w:r>
        <w:rPr>
          <w:rFonts w:hint="eastAsia"/>
          <w:sz w:val="24"/>
        </w:rPr>
        <w:t>。</w:t>
      </w:r>
      <w:r>
        <w:rPr>
          <w:sz w:val="24"/>
        </w:rPr>
        <w:t>本次会</w:t>
      </w:r>
      <w:r>
        <w:rPr>
          <w:rFonts w:hint="eastAsia"/>
          <w:sz w:val="24"/>
        </w:rPr>
        <w:t>议应参会董事8</w:t>
      </w:r>
      <w:r>
        <w:rPr>
          <w:sz w:val="24"/>
        </w:rPr>
        <w:t>名，</w:t>
      </w:r>
      <w:r>
        <w:rPr>
          <w:rFonts w:hint="eastAsia"/>
          <w:sz w:val="24"/>
        </w:rPr>
        <w:t>实际参会董事8名。会议的召开符合有关法律、法规、规章及公司章程</w:t>
      </w:r>
      <w:r>
        <w:rPr>
          <w:sz w:val="24"/>
        </w:rPr>
        <w:t>的规定。</w:t>
      </w:r>
    </w:p>
    <w:p>
      <w:pPr>
        <w:widowControl/>
        <w:spacing w:line="288" w:lineRule="auto"/>
        <w:ind w:firstLine="480" w:firstLineChars="200"/>
        <w:rPr>
          <w:sz w:val="24"/>
        </w:rPr>
      </w:pPr>
    </w:p>
    <w:p>
      <w:pPr>
        <w:widowControl/>
        <w:spacing w:line="288" w:lineRule="auto"/>
        <w:ind w:firstLine="480" w:firstLineChars="200"/>
        <w:rPr>
          <w:sz w:val="24"/>
        </w:rPr>
      </w:pPr>
      <w:r>
        <w:rPr>
          <w:rFonts w:hint="eastAsia"/>
          <w:sz w:val="24"/>
        </w:rPr>
        <w:t>本次</w:t>
      </w:r>
      <w:r>
        <w:rPr>
          <w:sz w:val="24"/>
        </w:rPr>
        <w:t>会议审议通过了</w:t>
      </w:r>
      <w:r>
        <w:rPr>
          <w:rFonts w:hint="eastAsia"/>
          <w:sz w:val="24"/>
        </w:rPr>
        <w:t>以</w:t>
      </w:r>
      <w:r>
        <w:rPr>
          <w:sz w:val="24"/>
        </w:rPr>
        <w:t>下议案并</w:t>
      </w:r>
      <w:r>
        <w:rPr>
          <w:rFonts w:hint="eastAsia"/>
          <w:sz w:val="24"/>
        </w:rPr>
        <w:t>形成以下决议</w:t>
      </w:r>
      <w:r>
        <w:rPr>
          <w:sz w:val="24"/>
        </w:rPr>
        <w:t>：</w:t>
      </w:r>
    </w:p>
    <w:p>
      <w:pPr>
        <w:widowControl/>
        <w:spacing w:line="288" w:lineRule="auto"/>
        <w:ind w:firstLine="482" w:firstLineChars="200"/>
        <w:rPr>
          <w:b/>
          <w:sz w:val="24"/>
        </w:rPr>
      </w:pPr>
    </w:p>
    <w:p>
      <w:pPr>
        <w:widowControl/>
        <w:spacing w:line="288" w:lineRule="auto"/>
        <w:ind w:firstLine="482" w:firstLineChars="200"/>
        <w:rPr>
          <w:rFonts w:cs="黑体"/>
          <w:b/>
          <w:color w:val="000000"/>
          <w:kern w:val="0"/>
          <w:sz w:val="24"/>
          <w:szCs w:val="32"/>
        </w:rPr>
      </w:pPr>
      <w:r>
        <w:rPr>
          <w:rFonts w:cs="黑体"/>
          <w:b/>
          <w:color w:val="000000"/>
          <w:kern w:val="0"/>
          <w:sz w:val="24"/>
          <w:szCs w:val="32"/>
        </w:rPr>
        <w:t>1</w:t>
      </w:r>
      <w:r>
        <w:rPr>
          <w:rFonts w:hint="eastAsia" w:cs="黑体"/>
          <w:b/>
          <w:color w:val="000000"/>
          <w:kern w:val="0"/>
          <w:sz w:val="24"/>
          <w:szCs w:val="32"/>
        </w:rPr>
        <w:t>、</w:t>
      </w:r>
      <w:r>
        <w:rPr>
          <w:b/>
          <w:sz w:val="24"/>
        </w:rPr>
        <w:t>关于公司</w:t>
      </w:r>
      <w:r>
        <w:rPr>
          <w:rFonts w:hint="eastAsia"/>
          <w:b/>
          <w:sz w:val="24"/>
        </w:rPr>
        <w:t>调整</w:t>
      </w:r>
      <w:r>
        <w:rPr>
          <w:b/>
          <w:sz w:val="24"/>
        </w:rPr>
        <w:t>非公开发行</w:t>
      </w:r>
      <w:r>
        <w:rPr>
          <w:rFonts w:hint="eastAsia"/>
          <w:b/>
          <w:sz w:val="24"/>
        </w:rPr>
        <w:t>A股股票</w:t>
      </w:r>
      <w:r>
        <w:rPr>
          <w:b/>
          <w:sz w:val="24"/>
        </w:rPr>
        <w:t>方案</w:t>
      </w:r>
      <w:r>
        <w:rPr>
          <w:rFonts w:hint="eastAsia"/>
          <w:b/>
          <w:sz w:val="24"/>
        </w:rPr>
        <w:t>的议案</w:t>
      </w:r>
    </w:p>
    <w:p>
      <w:pPr>
        <w:widowControl/>
        <w:spacing w:line="288" w:lineRule="auto"/>
        <w:ind w:firstLine="482" w:firstLineChars="200"/>
        <w:rPr>
          <w:rFonts w:cs="黑体"/>
          <w:b/>
          <w:color w:val="000000"/>
          <w:kern w:val="0"/>
          <w:sz w:val="24"/>
          <w:szCs w:val="32"/>
        </w:rPr>
      </w:pPr>
    </w:p>
    <w:p>
      <w:pPr>
        <w:widowControl/>
        <w:spacing w:line="288" w:lineRule="auto"/>
        <w:ind w:firstLine="480" w:firstLineChars="200"/>
        <w:rPr>
          <w:sz w:val="24"/>
        </w:rPr>
      </w:pPr>
      <w:r>
        <w:rPr>
          <w:rFonts w:hint="eastAsia"/>
          <w:sz w:val="24"/>
          <w:szCs w:val="24"/>
        </w:rPr>
        <w:t>公司</w:t>
      </w:r>
      <w:r>
        <w:rPr>
          <w:rFonts w:hint="eastAsia"/>
          <w:sz w:val="24"/>
        </w:rPr>
        <w:t>第十届董事会20</w:t>
      </w:r>
      <w:r>
        <w:rPr>
          <w:sz w:val="24"/>
        </w:rPr>
        <w:t>21</w:t>
      </w:r>
      <w:r>
        <w:rPr>
          <w:rFonts w:hint="eastAsia"/>
          <w:sz w:val="24"/>
        </w:rPr>
        <w:t>年第二次临时会议</w:t>
      </w:r>
      <w:r>
        <w:rPr>
          <w:rFonts w:hint="eastAsia"/>
          <w:sz w:val="24"/>
          <w:szCs w:val="24"/>
        </w:rPr>
        <w:t>和20</w:t>
      </w:r>
      <w:r>
        <w:rPr>
          <w:sz w:val="24"/>
          <w:szCs w:val="24"/>
        </w:rPr>
        <w:t>20</w:t>
      </w:r>
      <w:r>
        <w:rPr>
          <w:rFonts w:hint="eastAsia"/>
          <w:sz w:val="24"/>
          <w:szCs w:val="24"/>
        </w:rPr>
        <w:t>年周年股东大会、20</w:t>
      </w:r>
      <w:r>
        <w:rPr>
          <w:sz w:val="24"/>
          <w:szCs w:val="24"/>
        </w:rPr>
        <w:t>21</w:t>
      </w:r>
      <w:r>
        <w:rPr>
          <w:rFonts w:hint="eastAsia"/>
          <w:sz w:val="24"/>
          <w:szCs w:val="24"/>
        </w:rPr>
        <w:t>年第一次A股类别股东会议及20</w:t>
      </w:r>
      <w:r>
        <w:rPr>
          <w:sz w:val="24"/>
          <w:szCs w:val="24"/>
        </w:rPr>
        <w:t>21</w:t>
      </w:r>
      <w:r>
        <w:rPr>
          <w:rFonts w:hint="eastAsia"/>
          <w:sz w:val="24"/>
          <w:szCs w:val="24"/>
        </w:rPr>
        <w:t>年第一次H股类别股东会议审议通过了《关于公司非公开发行A股股票方案的议案》。鉴于公司</w:t>
      </w:r>
      <w:r>
        <w:rPr>
          <w:sz w:val="24"/>
          <w:szCs w:val="24"/>
        </w:rPr>
        <w:t>2020</w:t>
      </w:r>
      <w:r>
        <w:rPr>
          <w:rFonts w:hint="eastAsia"/>
          <w:sz w:val="24"/>
          <w:szCs w:val="24"/>
        </w:rPr>
        <w:t>年</w:t>
      </w:r>
      <w:r>
        <w:rPr>
          <w:rFonts w:hint="eastAsia"/>
          <w:sz w:val="24"/>
        </w:rPr>
        <w:t>年度权益分派方案已实施完毕</w:t>
      </w:r>
      <w:r>
        <w:rPr>
          <w:rFonts w:hint="eastAsia"/>
          <w:sz w:val="24"/>
          <w:szCs w:val="24"/>
        </w:rPr>
        <w:t>，同时按照中国证监会监管审核要求，根据股东大会对公司董事会的授权，同意公司对本次非公开发行股票的发行方案有关发行价格、发行数量的内容进行调整。</w:t>
      </w:r>
    </w:p>
    <w:p>
      <w:pPr>
        <w:widowControl/>
        <w:spacing w:line="288" w:lineRule="auto"/>
        <w:ind w:firstLine="480" w:firstLineChars="200"/>
        <w:rPr>
          <w:sz w:val="24"/>
        </w:rPr>
      </w:pPr>
    </w:p>
    <w:p>
      <w:pPr>
        <w:widowControl/>
        <w:spacing w:line="288" w:lineRule="auto"/>
        <w:ind w:firstLine="480" w:firstLineChars="200"/>
        <w:rPr>
          <w:sz w:val="24"/>
        </w:rPr>
      </w:pPr>
      <w:r>
        <w:rPr>
          <w:sz w:val="24"/>
        </w:rPr>
        <w:t>表决结果：</w:t>
      </w:r>
      <w:r>
        <w:rPr>
          <w:rFonts w:hint="eastAsia"/>
          <w:sz w:val="24"/>
        </w:rPr>
        <w:t>关联董事丛克春回避表决，7人同意</w:t>
      </w:r>
      <w:r>
        <w:rPr>
          <w:sz w:val="24"/>
        </w:rPr>
        <w:t>，</w:t>
      </w:r>
      <w:r>
        <w:rPr>
          <w:rFonts w:cs="宋体"/>
          <w:sz w:val="24"/>
          <w:szCs w:val="24"/>
          <w:lang w:val="zh-TW"/>
        </w:rPr>
        <w:t>占公司无关联关系董事人数的</w:t>
      </w:r>
      <w:r>
        <w:rPr>
          <w:sz w:val="24"/>
          <w:szCs w:val="24"/>
        </w:rPr>
        <w:t>100%</w:t>
      </w:r>
      <w:r>
        <w:rPr>
          <w:rFonts w:hint="eastAsia"/>
          <w:sz w:val="24"/>
        </w:rPr>
        <w:t>；</w:t>
      </w:r>
      <w:r>
        <w:rPr>
          <w:sz w:val="24"/>
        </w:rPr>
        <w:t>0</w:t>
      </w:r>
      <w:r>
        <w:rPr>
          <w:rFonts w:hint="eastAsia"/>
          <w:sz w:val="24"/>
        </w:rPr>
        <w:t>人</w:t>
      </w:r>
      <w:r>
        <w:rPr>
          <w:sz w:val="24"/>
        </w:rPr>
        <w:t>反对</w:t>
      </w:r>
      <w:r>
        <w:rPr>
          <w:rFonts w:hint="eastAsia"/>
          <w:sz w:val="24"/>
        </w:rPr>
        <w:t>；</w:t>
      </w:r>
      <w:r>
        <w:rPr>
          <w:sz w:val="24"/>
        </w:rPr>
        <w:t>0</w:t>
      </w:r>
      <w:r>
        <w:rPr>
          <w:rFonts w:hint="eastAsia"/>
          <w:sz w:val="24"/>
        </w:rPr>
        <w:t>人</w:t>
      </w:r>
      <w:r>
        <w:rPr>
          <w:sz w:val="24"/>
        </w:rPr>
        <w:t>弃权。</w:t>
      </w:r>
    </w:p>
    <w:p>
      <w:pPr>
        <w:widowControl/>
        <w:spacing w:line="288" w:lineRule="auto"/>
        <w:ind w:firstLine="482" w:firstLineChars="200"/>
        <w:rPr>
          <w:b/>
          <w:sz w:val="24"/>
        </w:rPr>
      </w:pPr>
    </w:p>
    <w:p>
      <w:pPr>
        <w:widowControl/>
        <w:spacing w:line="288" w:lineRule="auto"/>
        <w:ind w:firstLine="480" w:firstLineChars="200"/>
        <w:rPr>
          <w:sz w:val="24"/>
        </w:rPr>
      </w:pPr>
      <w:r>
        <w:rPr>
          <w:sz w:val="24"/>
        </w:rPr>
        <w:t>上述方案将按照有关程序向</w:t>
      </w:r>
      <w:r>
        <w:rPr>
          <w:rFonts w:hint="eastAsia"/>
          <w:sz w:val="24"/>
        </w:rPr>
        <w:t>中国证券监督管理委员会</w:t>
      </w:r>
      <w:r>
        <w:rPr>
          <w:sz w:val="24"/>
        </w:rPr>
        <w:t>申请核准，并最终以</w:t>
      </w:r>
      <w:r>
        <w:rPr>
          <w:rFonts w:hint="eastAsia"/>
          <w:sz w:val="24"/>
        </w:rPr>
        <w:t>中国证券监督管理委员会</w:t>
      </w:r>
      <w:r>
        <w:rPr>
          <w:sz w:val="24"/>
        </w:rPr>
        <w:t>核准的方案为准。</w:t>
      </w:r>
    </w:p>
    <w:p>
      <w:pPr>
        <w:widowControl/>
        <w:spacing w:line="288" w:lineRule="auto"/>
        <w:ind w:firstLine="480" w:firstLineChars="200"/>
        <w:rPr>
          <w:sz w:val="24"/>
        </w:rPr>
      </w:pPr>
    </w:p>
    <w:p>
      <w:pPr>
        <w:widowControl/>
        <w:spacing w:line="288" w:lineRule="auto"/>
        <w:ind w:firstLine="480" w:firstLineChars="200"/>
        <w:rPr>
          <w:sz w:val="24"/>
        </w:rPr>
      </w:pPr>
      <w:r>
        <w:rPr>
          <w:sz w:val="24"/>
        </w:rPr>
        <w:t>公司独立董事已对本议案发表独立意见，内容详见</w:t>
      </w:r>
      <w:r>
        <w:rPr>
          <w:rFonts w:hint="eastAsia"/>
          <w:sz w:val="24"/>
        </w:rPr>
        <w:t>同日刊登于巨潮资讯网（</w:t>
      </w:r>
      <w:r>
        <w:rPr>
          <w:sz w:val="24"/>
        </w:rPr>
        <w:t>http://www.cninfo.com.cn</w:t>
      </w:r>
      <w:r>
        <w:rPr>
          <w:rFonts w:hint="eastAsia"/>
          <w:sz w:val="24"/>
        </w:rPr>
        <w:t>）上的相关公告。</w:t>
      </w:r>
    </w:p>
    <w:p>
      <w:pPr>
        <w:widowControl/>
        <w:spacing w:line="288" w:lineRule="auto"/>
        <w:ind w:firstLine="482" w:firstLineChars="200"/>
        <w:rPr>
          <w:b/>
          <w:sz w:val="24"/>
        </w:rPr>
      </w:pPr>
    </w:p>
    <w:p>
      <w:pPr>
        <w:widowControl/>
        <w:spacing w:line="288" w:lineRule="auto"/>
        <w:ind w:firstLine="482" w:firstLineChars="200"/>
        <w:rPr>
          <w:b/>
          <w:sz w:val="24"/>
          <w:szCs w:val="24"/>
        </w:rPr>
      </w:pPr>
      <w:r>
        <w:rPr>
          <w:b/>
          <w:sz w:val="24"/>
          <w:szCs w:val="24"/>
        </w:rPr>
        <w:t>2</w:t>
      </w:r>
      <w:r>
        <w:rPr>
          <w:rFonts w:hint="eastAsia"/>
          <w:b/>
          <w:sz w:val="24"/>
          <w:szCs w:val="24"/>
        </w:rPr>
        <w:t>、关于公司非公开发行A股股票预案（修订稿）的议案</w:t>
      </w:r>
    </w:p>
    <w:p>
      <w:pPr>
        <w:widowControl/>
        <w:spacing w:line="288" w:lineRule="auto"/>
        <w:ind w:firstLine="482" w:firstLineChars="200"/>
        <w:rPr>
          <w:b/>
          <w:sz w:val="24"/>
          <w:szCs w:val="24"/>
        </w:rPr>
      </w:pPr>
    </w:p>
    <w:p>
      <w:pPr>
        <w:widowControl/>
        <w:spacing w:line="288" w:lineRule="auto"/>
        <w:ind w:firstLine="480" w:firstLineChars="200"/>
        <w:rPr>
          <w:sz w:val="24"/>
          <w:szCs w:val="24"/>
        </w:rPr>
      </w:pPr>
      <w:r>
        <w:rPr>
          <w:sz w:val="24"/>
          <w:szCs w:val="24"/>
        </w:rPr>
        <w:t>同意通过</w:t>
      </w:r>
      <w:r>
        <w:rPr>
          <w:rFonts w:hint="eastAsia"/>
          <w:sz w:val="24"/>
          <w:szCs w:val="24"/>
        </w:rPr>
        <w:t>《山东新华制药股份有限公司2</w:t>
      </w:r>
      <w:r>
        <w:rPr>
          <w:sz w:val="24"/>
          <w:szCs w:val="24"/>
        </w:rPr>
        <w:t>021</w:t>
      </w:r>
      <w:r>
        <w:rPr>
          <w:rFonts w:hint="eastAsia"/>
          <w:sz w:val="24"/>
          <w:szCs w:val="24"/>
        </w:rPr>
        <w:t>年度非公开发行A股股票预案（修订稿）》。</w:t>
      </w:r>
    </w:p>
    <w:p>
      <w:pPr>
        <w:widowControl/>
        <w:spacing w:line="288" w:lineRule="auto"/>
        <w:rPr>
          <w:sz w:val="24"/>
          <w:szCs w:val="24"/>
        </w:rPr>
      </w:pPr>
    </w:p>
    <w:p>
      <w:pPr>
        <w:widowControl/>
        <w:spacing w:line="288" w:lineRule="auto"/>
        <w:ind w:firstLine="480" w:firstLineChars="200"/>
        <w:rPr>
          <w:sz w:val="24"/>
        </w:rPr>
      </w:pPr>
      <w:r>
        <w:rPr>
          <w:sz w:val="24"/>
        </w:rPr>
        <w:t>表决结果：</w:t>
      </w:r>
      <w:r>
        <w:rPr>
          <w:rFonts w:hint="eastAsia"/>
          <w:sz w:val="24"/>
        </w:rPr>
        <w:t>关联董事丛克春回避表决，7人同意</w:t>
      </w:r>
      <w:r>
        <w:rPr>
          <w:sz w:val="24"/>
        </w:rPr>
        <w:t>，</w:t>
      </w:r>
      <w:r>
        <w:rPr>
          <w:rFonts w:cs="宋体"/>
          <w:sz w:val="24"/>
          <w:szCs w:val="24"/>
          <w:lang w:val="zh-TW"/>
        </w:rPr>
        <w:t>占公司无关联关系董事人数的</w:t>
      </w:r>
      <w:r>
        <w:rPr>
          <w:sz w:val="24"/>
          <w:szCs w:val="24"/>
        </w:rPr>
        <w:t>100%</w:t>
      </w:r>
      <w:r>
        <w:rPr>
          <w:rFonts w:hint="eastAsia"/>
          <w:sz w:val="24"/>
        </w:rPr>
        <w:t>；</w:t>
      </w:r>
      <w:r>
        <w:rPr>
          <w:sz w:val="24"/>
        </w:rPr>
        <w:t>0</w:t>
      </w:r>
      <w:r>
        <w:rPr>
          <w:rFonts w:hint="eastAsia"/>
          <w:sz w:val="24"/>
        </w:rPr>
        <w:t>人</w:t>
      </w:r>
      <w:r>
        <w:rPr>
          <w:sz w:val="24"/>
        </w:rPr>
        <w:t>反对</w:t>
      </w:r>
      <w:r>
        <w:rPr>
          <w:rFonts w:hint="eastAsia"/>
          <w:sz w:val="24"/>
        </w:rPr>
        <w:t>；</w:t>
      </w:r>
      <w:r>
        <w:rPr>
          <w:sz w:val="24"/>
        </w:rPr>
        <w:t>0</w:t>
      </w:r>
      <w:r>
        <w:rPr>
          <w:rFonts w:hint="eastAsia"/>
          <w:sz w:val="24"/>
        </w:rPr>
        <w:t>人</w:t>
      </w:r>
      <w:r>
        <w:rPr>
          <w:sz w:val="24"/>
        </w:rPr>
        <w:t>弃权。</w:t>
      </w:r>
    </w:p>
    <w:p>
      <w:pPr>
        <w:widowControl/>
        <w:spacing w:line="288" w:lineRule="auto"/>
        <w:ind w:firstLine="480" w:firstLineChars="200"/>
        <w:rPr>
          <w:sz w:val="24"/>
          <w:szCs w:val="24"/>
        </w:rPr>
      </w:pPr>
    </w:p>
    <w:p>
      <w:pPr>
        <w:widowControl/>
        <w:spacing w:line="288" w:lineRule="auto"/>
        <w:ind w:firstLine="480" w:firstLineChars="200"/>
        <w:rPr>
          <w:sz w:val="24"/>
          <w:szCs w:val="24"/>
        </w:rPr>
      </w:pPr>
      <w:r>
        <w:rPr>
          <w:rFonts w:hint="eastAsia"/>
          <w:sz w:val="24"/>
          <w:szCs w:val="24"/>
        </w:rPr>
        <w:t>《山东新华制药股份有限公司2</w:t>
      </w:r>
      <w:r>
        <w:rPr>
          <w:sz w:val="24"/>
          <w:szCs w:val="24"/>
        </w:rPr>
        <w:t>021</w:t>
      </w:r>
      <w:r>
        <w:rPr>
          <w:rFonts w:hint="eastAsia"/>
          <w:sz w:val="24"/>
          <w:szCs w:val="24"/>
        </w:rPr>
        <w:t>年度非公开发行A股股票预案（修订稿）》详见同日刊登于巨潮资讯网（http://www.cninfo.com.cn）上的相关公告。</w:t>
      </w:r>
    </w:p>
    <w:p>
      <w:pPr>
        <w:widowControl/>
        <w:spacing w:line="288" w:lineRule="auto"/>
        <w:ind w:firstLine="482" w:firstLineChars="200"/>
        <w:rPr>
          <w:b/>
          <w:sz w:val="24"/>
          <w:szCs w:val="24"/>
        </w:rPr>
      </w:pPr>
    </w:p>
    <w:p>
      <w:pPr>
        <w:widowControl/>
        <w:spacing w:line="288" w:lineRule="auto"/>
        <w:ind w:firstLine="482" w:firstLineChars="200"/>
        <w:rPr>
          <w:b/>
          <w:sz w:val="24"/>
          <w:szCs w:val="24"/>
        </w:rPr>
      </w:pPr>
      <w:r>
        <w:rPr>
          <w:b/>
          <w:sz w:val="24"/>
          <w:szCs w:val="24"/>
        </w:rPr>
        <w:t>3</w:t>
      </w:r>
      <w:r>
        <w:rPr>
          <w:rFonts w:hint="eastAsia"/>
          <w:b/>
          <w:sz w:val="24"/>
          <w:szCs w:val="24"/>
        </w:rPr>
        <w:t>、关于公司调整非公开发行股票方案涉及关联交易的议案</w:t>
      </w:r>
    </w:p>
    <w:p>
      <w:pPr>
        <w:autoSpaceDE w:val="0"/>
        <w:autoSpaceDN w:val="0"/>
        <w:adjustRightInd w:val="0"/>
        <w:jc w:val="left"/>
        <w:rPr>
          <w:rFonts w:ascii="宋体" w:cs="宋体"/>
          <w:color w:val="000000"/>
          <w:kern w:val="0"/>
          <w:sz w:val="23"/>
          <w:szCs w:val="23"/>
        </w:rPr>
      </w:pPr>
    </w:p>
    <w:p>
      <w:pPr>
        <w:widowControl/>
        <w:spacing w:line="288" w:lineRule="auto"/>
        <w:ind w:firstLine="480" w:firstLineChars="200"/>
        <w:rPr>
          <w:sz w:val="24"/>
          <w:szCs w:val="24"/>
        </w:rPr>
      </w:pPr>
      <w:r>
        <w:rPr>
          <w:rFonts w:hint="eastAsia"/>
          <w:sz w:val="24"/>
          <w:szCs w:val="24"/>
        </w:rPr>
        <w:t>同意公司调整非公开发行股票方案涉及</w:t>
      </w:r>
      <w:r>
        <w:rPr>
          <w:rFonts w:hint="eastAsia"/>
          <w:sz w:val="24"/>
        </w:rPr>
        <w:t>的</w:t>
      </w:r>
      <w:r>
        <w:rPr>
          <w:rFonts w:hint="eastAsia"/>
          <w:sz w:val="24"/>
          <w:szCs w:val="24"/>
        </w:rPr>
        <w:t>关联交易。</w:t>
      </w:r>
    </w:p>
    <w:p>
      <w:pPr>
        <w:widowControl/>
        <w:spacing w:line="288" w:lineRule="auto"/>
        <w:ind w:firstLine="480" w:firstLineChars="200"/>
        <w:rPr>
          <w:sz w:val="24"/>
          <w:szCs w:val="24"/>
        </w:rPr>
      </w:pPr>
    </w:p>
    <w:p>
      <w:pPr>
        <w:widowControl/>
        <w:spacing w:line="288" w:lineRule="auto"/>
        <w:ind w:firstLine="480" w:firstLineChars="200"/>
        <w:rPr>
          <w:sz w:val="24"/>
        </w:rPr>
      </w:pPr>
      <w:r>
        <w:rPr>
          <w:sz w:val="24"/>
        </w:rPr>
        <w:t>表决结果：</w:t>
      </w:r>
      <w:r>
        <w:rPr>
          <w:rFonts w:hint="eastAsia"/>
          <w:sz w:val="24"/>
        </w:rPr>
        <w:t>关联董事丛克春回避表决，7人同意</w:t>
      </w:r>
      <w:r>
        <w:rPr>
          <w:sz w:val="24"/>
        </w:rPr>
        <w:t>，</w:t>
      </w:r>
      <w:r>
        <w:rPr>
          <w:rFonts w:cs="宋体"/>
          <w:sz w:val="24"/>
          <w:szCs w:val="24"/>
          <w:lang w:val="zh-TW"/>
        </w:rPr>
        <w:t>占公司无关联关系董事人数的</w:t>
      </w:r>
      <w:r>
        <w:rPr>
          <w:sz w:val="24"/>
          <w:szCs w:val="24"/>
        </w:rPr>
        <w:t>100%</w:t>
      </w:r>
      <w:r>
        <w:rPr>
          <w:rFonts w:hint="eastAsia"/>
          <w:sz w:val="24"/>
        </w:rPr>
        <w:t>；</w:t>
      </w:r>
      <w:r>
        <w:rPr>
          <w:sz w:val="24"/>
        </w:rPr>
        <w:t>0</w:t>
      </w:r>
      <w:r>
        <w:rPr>
          <w:rFonts w:hint="eastAsia"/>
          <w:sz w:val="24"/>
        </w:rPr>
        <w:t>人</w:t>
      </w:r>
      <w:r>
        <w:rPr>
          <w:sz w:val="24"/>
        </w:rPr>
        <w:t>反对</w:t>
      </w:r>
      <w:r>
        <w:rPr>
          <w:rFonts w:hint="eastAsia"/>
          <w:sz w:val="24"/>
        </w:rPr>
        <w:t>；</w:t>
      </w:r>
      <w:r>
        <w:rPr>
          <w:sz w:val="24"/>
        </w:rPr>
        <w:t>0</w:t>
      </w:r>
      <w:r>
        <w:rPr>
          <w:rFonts w:hint="eastAsia"/>
          <w:sz w:val="24"/>
        </w:rPr>
        <w:t>人</w:t>
      </w:r>
      <w:r>
        <w:rPr>
          <w:sz w:val="24"/>
        </w:rPr>
        <w:t>弃权。</w:t>
      </w:r>
    </w:p>
    <w:p>
      <w:pPr>
        <w:widowControl/>
        <w:spacing w:line="288" w:lineRule="auto"/>
        <w:ind w:firstLine="480" w:firstLineChars="200"/>
        <w:rPr>
          <w:sz w:val="24"/>
          <w:szCs w:val="24"/>
        </w:rPr>
      </w:pPr>
    </w:p>
    <w:p>
      <w:pPr>
        <w:widowControl/>
        <w:spacing w:line="288" w:lineRule="auto"/>
        <w:ind w:firstLine="480" w:firstLineChars="200"/>
        <w:rPr>
          <w:sz w:val="24"/>
          <w:szCs w:val="24"/>
        </w:rPr>
      </w:pPr>
      <w:r>
        <w:rPr>
          <w:rFonts w:hint="eastAsia"/>
          <w:sz w:val="24"/>
          <w:szCs w:val="24"/>
        </w:rPr>
        <w:t>公司独立董事已对本议案发表事前认可意见及独立意见，内容详见同日刊登于巨潮资讯网（</w:t>
      </w:r>
      <w:r>
        <w:rPr>
          <w:sz w:val="24"/>
          <w:szCs w:val="24"/>
        </w:rPr>
        <w:t>http://www.coninfo.com.cn</w:t>
      </w:r>
      <w:r>
        <w:rPr>
          <w:rFonts w:hint="eastAsia"/>
          <w:sz w:val="24"/>
          <w:szCs w:val="24"/>
        </w:rPr>
        <w:t>）上的相关公告。</w:t>
      </w:r>
    </w:p>
    <w:p>
      <w:pPr>
        <w:widowControl/>
        <w:spacing w:line="288" w:lineRule="auto"/>
        <w:ind w:firstLine="480" w:firstLineChars="200"/>
        <w:rPr>
          <w:sz w:val="24"/>
          <w:szCs w:val="24"/>
        </w:rPr>
      </w:pPr>
    </w:p>
    <w:p>
      <w:pPr>
        <w:widowControl/>
        <w:spacing w:line="288" w:lineRule="auto"/>
        <w:ind w:firstLine="480" w:firstLineChars="200"/>
        <w:rPr>
          <w:sz w:val="24"/>
          <w:szCs w:val="24"/>
        </w:rPr>
      </w:pPr>
      <w:r>
        <w:rPr>
          <w:rFonts w:hint="eastAsia"/>
          <w:sz w:val="24"/>
          <w:szCs w:val="24"/>
        </w:rPr>
        <w:t>《关于公司调整非公开发行股票方案涉及关联交易的公告》详见同日刊登于巨潮资讯网（</w:t>
      </w:r>
      <w:r>
        <w:rPr>
          <w:sz w:val="24"/>
          <w:szCs w:val="24"/>
        </w:rPr>
        <w:t>http://www.coninfo.com.cn</w:t>
      </w:r>
      <w:r>
        <w:rPr>
          <w:rFonts w:hint="eastAsia"/>
          <w:sz w:val="24"/>
          <w:szCs w:val="24"/>
        </w:rPr>
        <w:t>）上的相关公告。</w:t>
      </w:r>
    </w:p>
    <w:p>
      <w:pPr>
        <w:widowControl/>
        <w:spacing w:line="288" w:lineRule="auto"/>
        <w:ind w:firstLine="482" w:firstLineChars="200"/>
        <w:rPr>
          <w:rFonts w:hint="eastAsia"/>
          <w:b/>
          <w:sz w:val="24"/>
          <w:szCs w:val="24"/>
        </w:rPr>
      </w:pPr>
    </w:p>
    <w:p>
      <w:pPr>
        <w:widowControl/>
        <w:spacing w:line="288" w:lineRule="auto"/>
        <w:ind w:firstLine="482" w:firstLineChars="200"/>
        <w:rPr>
          <w:b/>
          <w:sz w:val="24"/>
          <w:szCs w:val="24"/>
        </w:rPr>
      </w:pPr>
      <w:r>
        <w:rPr>
          <w:b/>
          <w:sz w:val="24"/>
          <w:szCs w:val="24"/>
        </w:rPr>
        <w:t>4</w:t>
      </w:r>
      <w:r>
        <w:rPr>
          <w:rFonts w:hint="eastAsia"/>
          <w:b/>
          <w:sz w:val="24"/>
          <w:szCs w:val="24"/>
        </w:rPr>
        <w:t>、</w:t>
      </w:r>
      <w:r>
        <w:rPr>
          <w:b/>
          <w:sz w:val="24"/>
        </w:rPr>
        <w:t>关于公司</w:t>
      </w:r>
      <w:r>
        <w:rPr>
          <w:rFonts w:hint="eastAsia"/>
          <w:b/>
          <w:sz w:val="24"/>
        </w:rPr>
        <w:t>与特定</w:t>
      </w:r>
      <w:r>
        <w:rPr>
          <w:b/>
          <w:sz w:val="24"/>
        </w:rPr>
        <w:t>对象签订</w:t>
      </w:r>
      <w:r>
        <w:rPr>
          <w:rFonts w:hint="eastAsia"/>
          <w:b/>
          <w:sz w:val="24"/>
        </w:rPr>
        <w:t>附条件生效的股份认购合同之补充合同的议案</w:t>
      </w:r>
    </w:p>
    <w:p>
      <w:pPr>
        <w:widowControl/>
        <w:spacing w:line="288" w:lineRule="auto"/>
        <w:ind w:firstLine="480" w:firstLineChars="200"/>
        <w:rPr>
          <w:sz w:val="24"/>
        </w:rPr>
      </w:pPr>
    </w:p>
    <w:p>
      <w:pPr>
        <w:widowControl/>
        <w:spacing w:line="288" w:lineRule="auto"/>
        <w:ind w:firstLine="480" w:firstLineChars="200"/>
        <w:rPr>
          <w:sz w:val="24"/>
        </w:rPr>
      </w:pPr>
      <w:r>
        <w:rPr>
          <w:sz w:val="24"/>
        </w:rPr>
        <w:t>鉴于本次非公开发行</w:t>
      </w:r>
      <w:r>
        <w:rPr>
          <w:rFonts w:hint="eastAsia"/>
          <w:sz w:val="24"/>
        </w:rPr>
        <w:t>A股</w:t>
      </w:r>
      <w:r>
        <w:rPr>
          <w:sz w:val="24"/>
        </w:rPr>
        <w:t>股票发行方案做出调整</w:t>
      </w:r>
      <w:r>
        <w:rPr>
          <w:rFonts w:hint="eastAsia"/>
          <w:sz w:val="24"/>
        </w:rPr>
        <w:t>，同意</w:t>
      </w:r>
      <w:r>
        <w:rPr>
          <w:sz w:val="24"/>
        </w:rPr>
        <w:t>公司</w:t>
      </w:r>
      <w:r>
        <w:rPr>
          <w:rFonts w:hint="eastAsia"/>
          <w:sz w:val="24"/>
        </w:rPr>
        <w:t>与华鲁投资发展有限公司签订附条件生效的股份认购合同之补充合同。</w:t>
      </w:r>
    </w:p>
    <w:p>
      <w:pPr>
        <w:widowControl/>
        <w:spacing w:line="288" w:lineRule="auto"/>
        <w:ind w:firstLine="480" w:firstLineChars="200"/>
        <w:rPr>
          <w:sz w:val="24"/>
        </w:rPr>
      </w:pPr>
    </w:p>
    <w:p>
      <w:pPr>
        <w:widowControl/>
        <w:spacing w:line="288" w:lineRule="auto"/>
        <w:ind w:firstLine="480" w:firstLineChars="200"/>
        <w:rPr>
          <w:sz w:val="24"/>
        </w:rPr>
      </w:pPr>
      <w:r>
        <w:rPr>
          <w:sz w:val="24"/>
        </w:rPr>
        <w:t>表决结果：</w:t>
      </w:r>
      <w:r>
        <w:rPr>
          <w:rFonts w:hint="eastAsia"/>
          <w:sz w:val="24"/>
        </w:rPr>
        <w:t>关联董事丛克春回避表决，7人同意</w:t>
      </w:r>
      <w:r>
        <w:rPr>
          <w:sz w:val="24"/>
        </w:rPr>
        <w:t>，</w:t>
      </w:r>
      <w:r>
        <w:rPr>
          <w:rFonts w:cs="宋体"/>
          <w:sz w:val="24"/>
          <w:szCs w:val="24"/>
          <w:lang w:val="zh-TW"/>
        </w:rPr>
        <w:t>占公司无关联关系董事人数的</w:t>
      </w:r>
      <w:r>
        <w:rPr>
          <w:sz w:val="24"/>
          <w:szCs w:val="24"/>
        </w:rPr>
        <w:t>100%</w:t>
      </w:r>
      <w:r>
        <w:rPr>
          <w:rFonts w:hint="eastAsia"/>
          <w:sz w:val="24"/>
        </w:rPr>
        <w:t>；</w:t>
      </w:r>
      <w:r>
        <w:rPr>
          <w:sz w:val="24"/>
        </w:rPr>
        <w:t>0</w:t>
      </w:r>
      <w:r>
        <w:rPr>
          <w:rFonts w:hint="eastAsia"/>
          <w:sz w:val="24"/>
        </w:rPr>
        <w:t>人</w:t>
      </w:r>
      <w:r>
        <w:rPr>
          <w:sz w:val="24"/>
        </w:rPr>
        <w:t>反对</w:t>
      </w:r>
      <w:r>
        <w:rPr>
          <w:rFonts w:hint="eastAsia"/>
          <w:sz w:val="24"/>
        </w:rPr>
        <w:t>；</w:t>
      </w:r>
      <w:r>
        <w:rPr>
          <w:sz w:val="24"/>
        </w:rPr>
        <w:t>0</w:t>
      </w:r>
      <w:r>
        <w:rPr>
          <w:rFonts w:hint="eastAsia"/>
          <w:sz w:val="24"/>
        </w:rPr>
        <w:t>人</w:t>
      </w:r>
      <w:r>
        <w:rPr>
          <w:sz w:val="24"/>
        </w:rPr>
        <w:t>弃权。</w:t>
      </w:r>
    </w:p>
    <w:p>
      <w:pPr>
        <w:widowControl/>
        <w:spacing w:line="288" w:lineRule="auto"/>
        <w:ind w:firstLine="480" w:firstLineChars="200"/>
        <w:rPr>
          <w:sz w:val="24"/>
        </w:rPr>
      </w:pPr>
    </w:p>
    <w:p>
      <w:pPr>
        <w:widowControl/>
        <w:spacing w:line="288" w:lineRule="auto"/>
        <w:ind w:firstLine="482" w:firstLineChars="200"/>
        <w:rPr>
          <w:b/>
          <w:sz w:val="24"/>
        </w:rPr>
      </w:pPr>
      <w:r>
        <w:rPr>
          <w:b/>
          <w:sz w:val="24"/>
        </w:rPr>
        <w:t>5</w:t>
      </w:r>
      <w:r>
        <w:rPr>
          <w:rFonts w:hint="eastAsia"/>
          <w:b/>
          <w:sz w:val="24"/>
        </w:rPr>
        <w:t>、关于公司非公开发行A股股票摊薄即期回报填补措施（修订稿）的议案</w:t>
      </w:r>
    </w:p>
    <w:p>
      <w:pPr>
        <w:widowControl/>
        <w:spacing w:line="288" w:lineRule="auto"/>
        <w:ind w:firstLine="480" w:firstLineChars="200"/>
        <w:rPr>
          <w:sz w:val="24"/>
        </w:rPr>
      </w:pPr>
    </w:p>
    <w:p>
      <w:pPr>
        <w:widowControl/>
        <w:spacing w:line="288" w:lineRule="auto"/>
        <w:ind w:firstLine="480" w:firstLineChars="200"/>
        <w:rPr>
          <w:sz w:val="24"/>
        </w:rPr>
      </w:pPr>
      <w:r>
        <w:rPr>
          <w:rFonts w:hint="eastAsia"/>
          <w:sz w:val="24"/>
        </w:rPr>
        <w:t>同意通过《山东新华制药股份有限公司非公开发行A股股票摊薄即期回报填补措施（修订稿）》。</w:t>
      </w:r>
    </w:p>
    <w:p>
      <w:pPr>
        <w:widowControl/>
        <w:spacing w:line="288" w:lineRule="auto"/>
        <w:ind w:firstLine="480" w:firstLineChars="200"/>
        <w:rPr>
          <w:sz w:val="24"/>
        </w:rPr>
      </w:pPr>
    </w:p>
    <w:p>
      <w:pPr>
        <w:widowControl/>
        <w:spacing w:line="288" w:lineRule="auto"/>
        <w:ind w:firstLine="480" w:firstLineChars="200"/>
        <w:rPr>
          <w:sz w:val="24"/>
        </w:rPr>
      </w:pPr>
      <w:r>
        <w:rPr>
          <w:rFonts w:hint="eastAsia"/>
          <w:sz w:val="24"/>
        </w:rPr>
        <w:t>表决结果：8人同意，占公司全体董事人数的100%；0人反对；0人弃权。</w:t>
      </w:r>
    </w:p>
    <w:p>
      <w:pPr>
        <w:widowControl/>
        <w:spacing w:line="288" w:lineRule="auto"/>
        <w:ind w:firstLine="480" w:firstLineChars="200"/>
        <w:rPr>
          <w:sz w:val="24"/>
        </w:rPr>
      </w:pPr>
    </w:p>
    <w:p>
      <w:pPr>
        <w:widowControl/>
        <w:spacing w:line="288" w:lineRule="auto"/>
        <w:ind w:firstLine="480" w:firstLineChars="200"/>
        <w:rPr>
          <w:sz w:val="24"/>
        </w:rPr>
      </w:pPr>
      <w:r>
        <w:rPr>
          <w:rFonts w:hint="eastAsia"/>
          <w:sz w:val="24"/>
        </w:rPr>
        <w:t>《山东新华制药股份有限公司非公开发行A股股票摊薄即期回报填补措施（修订稿）》详见同日刊登于巨潮资讯网（http://www.cninfo.com.cn）上的相关公告。</w:t>
      </w:r>
    </w:p>
    <w:p>
      <w:pPr>
        <w:widowControl/>
        <w:spacing w:line="288" w:lineRule="auto"/>
        <w:ind w:firstLine="480" w:firstLineChars="200"/>
        <w:rPr>
          <w:sz w:val="24"/>
        </w:rPr>
      </w:pPr>
    </w:p>
    <w:p>
      <w:pPr>
        <w:widowControl/>
        <w:spacing w:line="288" w:lineRule="auto"/>
        <w:ind w:firstLine="480" w:firstLineChars="200"/>
        <w:rPr>
          <w:sz w:val="24"/>
        </w:rPr>
      </w:pPr>
      <w:r>
        <w:rPr>
          <w:sz w:val="24"/>
        </w:rPr>
        <w:t>特此公告</w:t>
      </w:r>
      <w:r>
        <w:rPr>
          <w:rFonts w:hint="eastAsia"/>
          <w:sz w:val="24"/>
        </w:rPr>
        <w:t>！</w:t>
      </w:r>
    </w:p>
    <w:p>
      <w:pPr>
        <w:widowControl/>
        <w:spacing w:line="288" w:lineRule="auto"/>
        <w:rPr>
          <w:sz w:val="24"/>
        </w:rPr>
      </w:pPr>
    </w:p>
    <w:p>
      <w:pPr>
        <w:widowControl/>
        <w:spacing w:line="288" w:lineRule="auto"/>
        <w:ind w:firstLine="480" w:firstLineChars="200"/>
        <w:jc w:val="right"/>
        <w:rPr>
          <w:sz w:val="24"/>
        </w:rPr>
      </w:pPr>
      <w:r>
        <w:rPr>
          <w:sz w:val="24"/>
        </w:rPr>
        <w:t>山东新华制药股份有限公司董事会</w:t>
      </w:r>
    </w:p>
    <w:p>
      <w:pPr>
        <w:widowControl/>
        <w:spacing w:line="288" w:lineRule="auto"/>
        <w:ind w:firstLine="480" w:firstLineChars="200"/>
        <w:jc w:val="right"/>
        <w:rPr>
          <w:sz w:val="24"/>
        </w:rPr>
      </w:pPr>
    </w:p>
    <w:p>
      <w:pPr>
        <w:widowControl/>
        <w:spacing w:line="288" w:lineRule="auto"/>
        <w:ind w:right="-58"/>
        <w:jc w:val="center"/>
      </w:pPr>
      <w:r>
        <w:rPr>
          <w:rFonts w:hint="eastAsia"/>
          <w:sz w:val="24"/>
          <w:lang w:val="en-US" w:eastAsia="zh-CN"/>
        </w:rPr>
        <w:t xml:space="preserve">                                             </w:t>
      </w:r>
      <w:r>
        <w:rPr>
          <w:rFonts w:hint="eastAsia"/>
          <w:sz w:val="24"/>
        </w:rPr>
        <w:t>2</w:t>
      </w:r>
      <w:r>
        <w:rPr>
          <w:sz w:val="24"/>
        </w:rPr>
        <w:t>021</w:t>
      </w:r>
      <w:r>
        <w:rPr>
          <w:rFonts w:hint="eastAsia"/>
          <w:sz w:val="24"/>
        </w:rPr>
        <w:t>年8月</w:t>
      </w:r>
      <w:r>
        <w:rPr>
          <w:rFonts w:hint="eastAsia"/>
          <w:sz w:val="24"/>
          <w:lang w:val="en-US" w:eastAsia="zh-CN"/>
        </w:rPr>
        <w:t>13</w:t>
      </w:r>
      <w:r>
        <w:rPr>
          <w:rFonts w:hint="eastAsia"/>
          <w:sz w:val="24"/>
        </w:rPr>
        <w:t>日</w:t>
      </w: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widowControl/>
        <w:spacing w:line="288" w:lineRule="auto"/>
        <w:jc w:val="center"/>
        <w:rPr>
          <w:sz w:val="24"/>
        </w:rPr>
      </w:pPr>
    </w:p>
    <w:p>
      <w:pPr>
        <w:widowControl/>
        <w:spacing w:line="288" w:lineRule="auto"/>
        <w:jc w:val="center"/>
        <w:rPr>
          <w:rFonts w:hint="default" w:ascii="Times New Roman" w:hAnsi="Times New Roman" w:cs="Times New Roman"/>
          <w:sz w:val="24"/>
        </w:rPr>
      </w:pPr>
    </w:p>
    <w:p>
      <w:pPr>
        <w:widowControl/>
        <w:spacing w:line="288" w:lineRule="auto"/>
        <w:jc w:val="center"/>
        <w:rPr>
          <w:rFonts w:hint="default" w:ascii="Times New Roman" w:hAnsi="Times New Roman" w:cs="Times New Roman"/>
          <w:sz w:val="24"/>
        </w:rPr>
      </w:pPr>
    </w:p>
    <w:p>
      <w:pPr>
        <w:widowControl/>
        <w:spacing w:line="288" w:lineRule="auto"/>
        <w:jc w:val="center"/>
        <w:rPr>
          <w:rFonts w:hint="default" w:ascii="Times New Roman" w:hAnsi="Times New Roman" w:cs="Times New Roman"/>
          <w:sz w:val="24"/>
        </w:rPr>
      </w:pPr>
    </w:p>
    <w:p>
      <w:pPr>
        <w:widowControl/>
        <w:spacing w:line="288" w:lineRule="auto"/>
        <w:jc w:val="both"/>
        <w:rPr>
          <w:rFonts w:hint="default" w:ascii="Times New Roman" w:hAnsi="Times New Roman" w:cs="Times New Roman"/>
          <w:sz w:val="24"/>
        </w:rPr>
      </w:pPr>
    </w:p>
    <w:p>
      <w:pPr>
        <w:widowControl/>
        <w:spacing w:line="288" w:lineRule="auto"/>
        <w:jc w:val="center"/>
        <w:rPr>
          <w:sz w:val="24"/>
        </w:rPr>
      </w:pPr>
    </w:p>
    <w:p>
      <w:pPr>
        <w:widowControl/>
        <w:spacing w:line="288" w:lineRule="auto"/>
        <w:jc w:val="center"/>
        <w:rPr>
          <w:sz w:val="24"/>
        </w:rPr>
      </w:pPr>
    </w:p>
    <w:p>
      <w:pPr>
        <w:widowControl/>
        <w:spacing w:line="288" w:lineRule="auto"/>
        <w:jc w:val="center"/>
        <w:rPr>
          <w:sz w:val="24"/>
        </w:rPr>
      </w:pPr>
    </w:p>
    <w:p>
      <w:pPr>
        <w:widowControl/>
        <w:spacing w:line="288" w:lineRule="auto"/>
        <w:jc w:val="center"/>
        <w:rPr>
          <w:sz w:val="24"/>
        </w:rPr>
      </w:pPr>
    </w:p>
    <w:p>
      <w:pPr>
        <w:widowControl/>
        <w:spacing w:line="288" w:lineRule="auto"/>
        <w:jc w:val="center"/>
        <w:rPr>
          <w:sz w:val="24"/>
        </w:rPr>
      </w:pPr>
      <w:r>
        <w:rPr>
          <w:sz w:val="24"/>
        </w:rPr>
        <w:t xml:space="preserve">证券代码：000756     </w:t>
      </w:r>
      <w:r>
        <w:rPr>
          <w:rFonts w:hint="eastAsia"/>
          <w:sz w:val="24"/>
          <w:lang w:val="en-US" w:eastAsia="zh-CN"/>
        </w:rPr>
        <w:t xml:space="preserve">  </w:t>
      </w:r>
      <w:r>
        <w:rPr>
          <w:sz w:val="24"/>
        </w:rPr>
        <w:t xml:space="preserve">  </w:t>
      </w:r>
      <w:r>
        <w:rPr>
          <w:rFonts w:hint="eastAsia"/>
          <w:sz w:val="24"/>
          <w:lang w:val="en-US" w:eastAsia="zh-CN"/>
        </w:rPr>
        <w:t xml:space="preserve"> </w:t>
      </w:r>
      <w:r>
        <w:rPr>
          <w:sz w:val="24"/>
        </w:rPr>
        <w:t xml:space="preserve"> 证券简称：新华制药       </w:t>
      </w:r>
      <w:r>
        <w:rPr>
          <w:rFonts w:hint="eastAsia"/>
          <w:sz w:val="24"/>
          <w:lang w:val="en-US" w:eastAsia="zh-CN"/>
        </w:rPr>
        <w:t xml:space="preserve">  </w:t>
      </w:r>
      <w:r>
        <w:rPr>
          <w:sz w:val="24"/>
        </w:rPr>
        <w:t xml:space="preserve"> 公告编号：2021-</w:t>
      </w:r>
      <w:r>
        <w:rPr>
          <w:rFonts w:hint="eastAsia"/>
          <w:sz w:val="24"/>
          <w:lang w:val="en-US" w:eastAsia="zh-CN"/>
        </w:rPr>
        <w:t>41</w:t>
      </w:r>
    </w:p>
    <w:p>
      <w:pPr>
        <w:widowControl/>
        <w:spacing w:line="288" w:lineRule="auto"/>
        <w:rPr>
          <w:sz w:val="24"/>
        </w:rPr>
      </w:pPr>
    </w:p>
    <w:p>
      <w:pPr>
        <w:widowControl/>
        <w:spacing w:line="288" w:lineRule="auto"/>
        <w:jc w:val="center"/>
        <w:outlineLvl w:val="0"/>
        <w:rPr>
          <w:sz w:val="28"/>
          <w:szCs w:val="28"/>
        </w:rPr>
      </w:pPr>
      <w:r>
        <w:rPr>
          <w:rFonts w:hint="eastAsia"/>
          <w:b/>
          <w:sz w:val="28"/>
          <w:szCs w:val="28"/>
        </w:rPr>
        <w:t>山东新华制药股份有限公司</w:t>
      </w:r>
    </w:p>
    <w:p>
      <w:pPr>
        <w:widowControl/>
        <w:spacing w:line="288" w:lineRule="auto"/>
        <w:jc w:val="center"/>
        <w:rPr>
          <w:b/>
          <w:sz w:val="28"/>
          <w:szCs w:val="28"/>
        </w:rPr>
      </w:pPr>
      <w:r>
        <w:rPr>
          <w:rFonts w:hint="eastAsia"/>
          <w:b/>
          <w:sz w:val="28"/>
          <w:szCs w:val="28"/>
        </w:rPr>
        <w:t>第十届监事会20</w:t>
      </w:r>
      <w:r>
        <w:rPr>
          <w:b/>
          <w:sz w:val="28"/>
          <w:szCs w:val="28"/>
        </w:rPr>
        <w:t>21</w:t>
      </w:r>
      <w:r>
        <w:rPr>
          <w:rFonts w:hint="eastAsia"/>
          <w:b/>
          <w:sz w:val="28"/>
          <w:szCs w:val="28"/>
        </w:rPr>
        <w:t>年第二次临时会议决议</w:t>
      </w:r>
      <w:r>
        <w:rPr>
          <w:b/>
          <w:sz w:val="28"/>
          <w:szCs w:val="28"/>
        </w:rPr>
        <w:t>公告</w:t>
      </w:r>
    </w:p>
    <w:p>
      <w:pPr>
        <w:widowControl/>
        <w:spacing w:line="288" w:lineRule="auto"/>
        <w:jc w:val="center"/>
        <w:rPr>
          <w:sz w:val="24"/>
        </w:rPr>
      </w:pPr>
    </w:p>
    <w:p>
      <w:pPr>
        <w:widowControl/>
        <w:spacing w:line="288" w:lineRule="auto"/>
        <w:ind w:firstLine="482" w:firstLineChars="200"/>
        <w:rPr>
          <w:b/>
          <w:bCs/>
          <w:sz w:val="24"/>
          <w:szCs w:val="24"/>
        </w:rPr>
      </w:pPr>
      <w:r>
        <w:rPr>
          <w:rFonts w:hint="eastAsia"/>
          <w:b/>
          <w:bCs/>
          <w:sz w:val="24"/>
          <w:szCs w:val="24"/>
        </w:rPr>
        <w:t>本公司及监事会全体成员保证信息披露的内容真实、准确、完整，没有虚假记载、误导性陈述或重大遗漏。</w:t>
      </w:r>
    </w:p>
    <w:p>
      <w:pPr>
        <w:widowControl/>
        <w:spacing w:line="288" w:lineRule="auto"/>
        <w:jc w:val="center"/>
        <w:rPr>
          <w:sz w:val="24"/>
        </w:rPr>
      </w:pPr>
    </w:p>
    <w:p>
      <w:pPr>
        <w:widowControl/>
        <w:spacing w:line="288" w:lineRule="auto"/>
        <w:ind w:firstLine="480" w:firstLineChars="200"/>
        <w:rPr>
          <w:sz w:val="24"/>
        </w:rPr>
      </w:pPr>
      <w:r>
        <w:rPr>
          <w:rFonts w:hint="eastAsia"/>
          <w:sz w:val="24"/>
        </w:rPr>
        <w:t>山东新华制药</w:t>
      </w:r>
      <w:r>
        <w:rPr>
          <w:sz w:val="24"/>
        </w:rPr>
        <w:t>股份有限公司（</w:t>
      </w:r>
      <w:r>
        <w:rPr>
          <w:rFonts w:hint="eastAsia"/>
          <w:sz w:val="24"/>
        </w:rPr>
        <w:t>“本</w:t>
      </w:r>
      <w:r>
        <w:rPr>
          <w:sz w:val="24"/>
        </w:rPr>
        <w:t>公司</w:t>
      </w:r>
      <w:r>
        <w:rPr>
          <w:rFonts w:hint="eastAsia"/>
          <w:sz w:val="24"/>
        </w:rPr>
        <w:t>”或“公司”</w:t>
      </w:r>
      <w:r>
        <w:rPr>
          <w:sz w:val="24"/>
        </w:rPr>
        <w:t>）</w:t>
      </w:r>
      <w:r>
        <w:rPr>
          <w:rFonts w:hint="eastAsia"/>
        </w:rPr>
        <w:t xml:space="preserve"> </w:t>
      </w:r>
      <w:r>
        <w:rPr>
          <w:rFonts w:hint="eastAsia"/>
          <w:sz w:val="24"/>
        </w:rPr>
        <w:t>第十届监事会2021年第二次临时会议通知</w:t>
      </w:r>
      <w:r>
        <w:rPr>
          <w:sz w:val="24"/>
        </w:rPr>
        <w:t>于</w:t>
      </w:r>
      <w:r>
        <w:rPr>
          <w:rFonts w:hint="eastAsia"/>
          <w:sz w:val="24"/>
          <w:szCs w:val="24"/>
        </w:rPr>
        <w:t>2</w:t>
      </w:r>
      <w:r>
        <w:rPr>
          <w:sz w:val="24"/>
          <w:szCs w:val="24"/>
        </w:rPr>
        <w:t>021</w:t>
      </w:r>
      <w:r>
        <w:rPr>
          <w:rFonts w:hint="eastAsia"/>
          <w:sz w:val="24"/>
          <w:szCs w:val="24"/>
        </w:rPr>
        <w:t>年8月</w:t>
      </w:r>
      <w:r>
        <w:rPr>
          <w:rFonts w:hint="eastAsia"/>
          <w:sz w:val="24"/>
          <w:szCs w:val="24"/>
          <w:lang w:val="en-US" w:eastAsia="zh-CN"/>
        </w:rPr>
        <w:t>10</w:t>
      </w:r>
      <w:r>
        <w:rPr>
          <w:rFonts w:hint="eastAsia"/>
          <w:sz w:val="24"/>
          <w:szCs w:val="24"/>
        </w:rPr>
        <w:t>日以邮件形式发出，会议于2</w:t>
      </w:r>
      <w:r>
        <w:rPr>
          <w:sz w:val="24"/>
          <w:szCs w:val="24"/>
        </w:rPr>
        <w:t>021</w:t>
      </w:r>
      <w:r>
        <w:rPr>
          <w:rFonts w:hint="eastAsia"/>
          <w:sz w:val="24"/>
          <w:szCs w:val="24"/>
        </w:rPr>
        <w:t>年8月</w:t>
      </w:r>
      <w:r>
        <w:rPr>
          <w:rFonts w:hint="eastAsia"/>
          <w:sz w:val="24"/>
          <w:szCs w:val="24"/>
          <w:lang w:val="en-US" w:eastAsia="zh-CN"/>
        </w:rPr>
        <w:t>13</w:t>
      </w:r>
      <w:r>
        <w:rPr>
          <w:rFonts w:hint="eastAsia"/>
          <w:sz w:val="24"/>
          <w:szCs w:val="24"/>
        </w:rPr>
        <w:t>日</w:t>
      </w:r>
      <w:r>
        <w:rPr>
          <w:rFonts w:hint="eastAsia" w:hAnsi="宋体"/>
          <w:sz w:val="24"/>
          <w:szCs w:val="24"/>
        </w:rPr>
        <w:t>以</w:t>
      </w:r>
      <w:r>
        <w:rPr>
          <w:rFonts w:hint="eastAsia" w:hAnsi="宋体"/>
          <w:sz w:val="24"/>
          <w:szCs w:val="24"/>
          <w:lang w:eastAsia="zh-CN"/>
        </w:rPr>
        <w:t>书面表决</w:t>
      </w:r>
      <w:r>
        <w:rPr>
          <w:rFonts w:hint="eastAsia" w:hAnsi="宋体"/>
          <w:sz w:val="24"/>
          <w:szCs w:val="24"/>
        </w:rPr>
        <w:t>方式</w:t>
      </w:r>
      <w:r>
        <w:rPr>
          <w:sz w:val="24"/>
        </w:rPr>
        <w:t>召开</w:t>
      </w:r>
      <w:r>
        <w:rPr>
          <w:rFonts w:hint="eastAsia"/>
          <w:sz w:val="24"/>
        </w:rPr>
        <w:t>。</w:t>
      </w:r>
      <w:r>
        <w:rPr>
          <w:sz w:val="24"/>
        </w:rPr>
        <w:t>本次会</w:t>
      </w:r>
      <w:r>
        <w:rPr>
          <w:rFonts w:hint="eastAsia"/>
          <w:sz w:val="24"/>
        </w:rPr>
        <w:t>议应参会监事</w:t>
      </w:r>
      <w:r>
        <w:rPr>
          <w:sz w:val="24"/>
        </w:rPr>
        <w:t>5名，</w:t>
      </w:r>
      <w:r>
        <w:rPr>
          <w:rFonts w:hint="eastAsia"/>
          <w:sz w:val="24"/>
        </w:rPr>
        <w:t>实际参会监事</w:t>
      </w:r>
      <w:r>
        <w:rPr>
          <w:sz w:val="24"/>
        </w:rPr>
        <w:t>5</w:t>
      </w:r>
      <w:r>
        <w:rPr>
          <w:rFonts w:hint="eastAsia"/>
          <w:sz w:val="24"/>
        </w:rPr>
        <w:t>名。会议的召开符合有关法律、法规、规章及公司章程</w:t>
      </w:r>
      <w:r>
        <w:rPr>
          <w:sz w:val="24"/>
        </w:rPr>
        <w:t>的规定。</w:t>
      </w:r>
    </w:p>
    <w:p>
      <w:pPr>
        <w:widowControl/>
        <w:spacing w:line="288" w:lineRule="auto"/>
        <w:ind w:firstLine="480" w:firstLineChars="200"/>
        <w:rPr>
          <w:sz w:val="24"/>
        </w:rPr>
      </w:pPr>
    </w:p>
    <w:p>
      <w:pPr>
        <w:widowControl/>
        <w:spacing w:line="288" w:lineRule="auto"/>
        <w:ind w:firstLine="480" w:firstLineChars="200"/>
        <w:rPr>
          <w:sz w:val="24"/>
        </w:rPr>
      </w:pPr>
      <w:r>
        <w:rPr>
          <w:rFonts w:hint="eastAsia"/>
          <w:sz w:val="24"/>
        </w:rPr>
        <w:t>本次</w:t>
      </w:r>
      <w:r>
        <w:rPr>
          <w:sz w:val="24"/>
        </w:rPr>
        <w:t>会议审议通过了</w:t>
      </w:r>
      <w:r>
        <w:rPr>
          <w:rFonts w:hint="eastAsia"/>
          <w:sz w:val="24"/>
        </w:rPr>
        <w:t>以</w:t>
      </w:r>
      <w:r>
        <w:rPr>
          <w:sz w:val="24"/>
        </w:rPr>
        <w:t>下议案并</w:t>
      </w:r>
      <w:r>
        <w:rPr>
          <w:rFonts w:hint="eastAsia"/>
          <w:sz w:val="24"/>
        </w:rPr>
        <w:t>形成以下决议</w:t>
      </w:r>
      <w:r>
        <w:rPr>
          <w:sz w:val="24"/>
        </w:rPr>
        <w:t>：</w:t>
      </w:r>
    </w:p>
    <w:p>
      <w:pPr>
        <w:widowControl/>
        <w:spacing w:line="288" w:lineRule="auto"/>
        <w:ind w:firstLine="482" w:firstLineChars="200"/>
        <w:rPr>
          <w:b/>
          <w:sz w:val="24"/>
        </w:rPr>
      </w:pPr>
    </w:p>
    <w:p>
      <w:pPr>
        <w:widowControl/>
        <w:spacing w:line="288" w:lineRule="auto"/>
        <w:ind w:firstLine="482" w:firstLineChars="200"/>
        <w:rPr>
          <w:rFonts w:cs="黑体"/>
          <w:b/>
          <w:color w:val="000000"/>
          <w:kern w:val="0"/>
          <w:sz w:val="24"/>
          <w:szCs w:val="32"/>
        </w:rPr>
      </w:pPr>
      <w:r>
        <w:rPr>
          <w:rFonts w:cs="黑体"/>
          <w:b/>
          <w:color w:val="000000"/>
          <w:kern w:val="0"/>
          <w:sz w:val="24"/>
          <w:szCs w:val="32"/>
        </w:rPr>
        <w:t>1</w:t>
      </w:r>
      <w:r>
        <w:rPr>
          <w:rFonts w:hint="eastAsia" w:cs="黑体"/>
          <w:b/>
          <w:color w:val="000000"/>
          <w:kern w:val="0"/>
          <w:sz w:val="24"/>
          <w:szCs w:val="32"/>
        </w:rPr>
        <w:t>、</w:t>
      </w:r>
      <w:r>
        <w:rPr>
          <w:b/>
          <w:sz w:val="24"/>
        </w:rPr>
        <w:t>关于公司</w:t>
      </w:r>
      <w:r>
        <w:rPr>
          <w:rFonts w:hint="eastAsia"/>
          <w:b/>
          <w:sz w:val="24"/>
        </w:rPr>
        <w:t>调整</w:t>
      </w:r>
      <w:r>
        <w:rPr>
          <w:b/>
          <w:sz w:val="24"/>
        </w:rPr>
        <w:t>非公开发行</w:t>
      </w:r>
      <w:r>
        <w:rPr>
          <w:rFonts w:hint="eastAsia"/>
          <w:b/>
          <w:sz w:val="24"/>
        </w:rPr>
        <w:t>A股股票</w:t>
      </w:r>
      <w:r>
        <w:rPr>
          <w:b/>
          <w:sz w:val="24"/>
        </w:rPr>
        <w:t>方案</w:t>
      </w:r>
      <w:r>
        <w:rPr>
          <w:rFonts w:hint="eastAsia"/>
          <w:b/>
          <w:sz w:val="24"/>
        </w:rPr>
        <w:t>的议案</w:t>
      </w:r>
    </w:p>
    <w:p>
      <w:pPr>
        <w:widowControl/>
        <w:spacing w:line="288" w:lineRule="auto"/>
        <w:ind w:firstLine="482" w:firstLineChars="200"/>
        <w:rPr>
          <w:rFonts w:cs="黑体"/>
          <w:b/>
          <w:color w:val="000000"/>
          <w:kern w:val="0"/>
          <w:sz w:val="24"/>
          <w:szCs w:val="32"/>
        </w:rPr>
      </w:pPr>
    </w:p>
    <w:p>
      <w:pPr>
        <w:widowControl/>
        <w:spacing w:line="288" w:lineRule="auto"/>
        <w:ind w:firstLine="480" w:firstLineChars="200"/>
        <w:rPr>
          <w:sz w:val="24"/>
        </w:rPr>
      </w:pPr>
      <w:r>
        <w:rPr>
          <w:rFonts w:hint="eastAsia"/>
          <w:sz w:val="24"/>
          <w:szCs w:val="24"/>
        </w:rPr>
        <w:t>公司</w:t>
      </w:r>
      <w:r>
        <w:rPr>
          <w:rFonts w:hint="eastAsia"/>
          <w:sz w:val="24"/>
        </w:rPr>
        <w:t>第十届董事会20</w:t>
      </w:r>
      <w:r>
        <w:rPr>
          <w:sz w:val="24"/>
        </w:rPr>
        <w:t>21</w:t>
      </w:r>
      <w:r>
        <w:rPr>
          <w:rFonts w:hint="eastAsia"/>
          <w:sz w:val="24"/>
        </w:rPr>
        <w:t>年第二次临时会议</w:t>
      </w:r>
      <w:r>
        <w:rPr>
          <w:rFonts w:hint="eastAsia"/>
          <w:sz w:val="24"/>
          <w:szCs w:val="24"/>
        </w:rPr>
        <w:t>和20</w:t>
      </w:r>
      <w:r>
        <w:rPr>
          <w:sz w:val="24"/>
          <w:szCs w:val="24"/>
        </w:rPr>
        <w:t>20</w:t>
      </w:r>
      <w:r>
        <w:rPr>
          <w:rFonts w:hint="eastAsia"/>
          <w:sz w:val="24"/>
          <w:szCs w:val="24"/>
        </w:rPr>
        <w:t>年周年股东大会、20</w:t>
      </w:r>
      <w:r>
        <w:rPr>
          <w:sz w:val="24"/>
          <w:szCs w:val="24"/>
        </w:rPr>
        <w:t>21</w:t>
      </w:r>
      <w:r>
        <w:rPr>
          <w:rFonts w:hint="eastAsia"/>
          <w:sz w:val="24"/>
          <w:szCs w:val="24"/>
        </w:rPr>
        <w:t>年第一次A股类别股东会议及20</w:t>
      </w:r>
      <w:r>
        <w:rPr>
          <w:sz w:val="24"/>
          <w:szCs w:val="24"/>
        </w:rPr>
        <w:t>21</w:t>
      </w:r>
      <w:r>
        <w:rPr>
          <w:rFonts w:hint="eastAsia"/>
          <w:sz w:val="24"/>
          <w:szCs w:val="24"/>
        </w:rPr>
        <w:t>年第一次H股类别股东会议审议通过了《关于公司非公开发行A股股票方案的议案》。鉴于公司</w:t>
      </w:r>
      <w:r>
        <w:rPr>
          <w:sz w:val="24"/>
          <w:szCs w:val="24"/>
        </w:rPr>
        <w:t>2020</w:t>
      </w:r>
      <w:r>
        <w:rPr>
          <w:rFonts w:hint="eastAsia"/>
          <w:sz w:val="24"/>
          <w:szCs w:val="24"/>
        </w:rPr>
        <w:t>年</w:t>
      </w:r>
      <w:r>
        <w:rPr>
          <w:rFonts w:hint="eastAsia"/>
          <w:sz w:val="24"/>
        </w:rPr>
        <w:t>年度权益分派方案已实施完毕</w:t>
      </w:r>
      <w:r>
        <w:rPr>
          <w:rFonts w:hint="eastAsia"/>
          <w:sz w:val="24"/>
          <w:szCs w:val="24"/>
        </w:rPr>
        <w:t>，同时按照中国证监会监管审核要求，根据股东大会对公司董事会的授权，同意</w:t>
      </w:r>
      <w:r>
        <w:rPr>
          <w:rFonts w:hint="eastAsia"/>
          <w:sz w:val="24"/>
          <w:szCs w:val="24"/>
          <w:lang w:eastAsia="zh-CN"/>
        </w:rPr>
        <w:t>董事会</w:t>
      </w:r>
      <w:r>
        <w:rPr>
          <w:rFonts w:hint="eastAsia"/>
          <w:sz w:val="24"/>
          <w:szCs w:val="24"/>
        </w:rPr>
        <w:t>对本次非公开发行股票的发行方案有关发行价格、发行数量的内容进行调整。</w:t>
      </w:r>
    </w:p>
    <w:p>
      <w:pPr>
        <w:widowControl/>
        <w:spacing w:line="288" w:lineRule="auto"/>
        <w:ind w:firstLine="480" w:firstLineChars="200"/>
        <w:rPr>
          <w:sz w:val="24"/>
        </w:rPr>
      </w:pPr>
    </w:p>
    <w:p>
      <w:pPr>
        <w:widowControl/>
        <w:spacing w:line="288" w:lineRule="auto"/>
        <w:ind w:firstLine="480" w:firstLineChars="200"/>
        <w:rPr>
          <w:sz w:val="24"/>
        </w:rPr>
      </w:pPr>
      <w:r>
        <w:rPr>
          <w:sz w:val="24"/>
        </w:rPr>
        <w:t>表决结果：</w:t>
      </w:r>
      <w:r>
        <w:rPr>
          <w:rFonts w:hint="eastAsia"/>
          <w:sz w:val="24"/>
        </w:rPr>
        <w:t>关联监事刘承通回避表决，</w:t>
      </w:r>
      <w:r>
        <w:rPr>
          <w:sz w:val="24"/>
        </w:rPr>
        <w:t>4</w:t>
      </w:r>
      <w:r>
        <w:rPr>
          <w:rFonts w:hint="eastAsia"/>
          <w:sz w:val="24"/>
        </w:rPr>
        <w:t>人同意</w:t>
      </w:r>
      <w:r>
        <w:rPr>
          <w:sz w:val="24"/>
        </w:rPr>
        <w:t>，</w:t>
      </w:r>
      <w:r>
        <w:rPr>
          <w:rFonts w:cs="宋体"/>
          <w:sz w:val="24"/>
          <w:szCs w:val="24"/>
          <w:lang w:val="zh-TW"/>
        </w:rPr>
        <w:t>占公司无关联关系</w:t>
      </w:r>
      <w:r>
        <w:rPr>
          <w:rFonts w:hint="eastAsia" w:cs="宋体"/>
          <w:sz w:val="24"/>
          <w:szCs w:val="24"/>
          <w:lang w:val="zh-TW"/>
        </w:rPr>
        <w:t>监事</w:t>
      </w:r>
      <w:r>
        <w:rPr>
          <w:rFonts w:cs="宋体"/>
          <w:sz w:val="24"/>
          <w:szCs w:val="24"/>
          <w:lang w:val="zh-TW"/>
        </w:rPr>
        <w:t>人数的</w:t>
      </w:r>
      <w:r>
        <w:rPr>
          <w:sz w:val="24"/>
          <w:szCs w:val="24"/>
        </w:rPr>
        <w:t>100%</w:t>
      </w:r>
      <w:r>
        <w:rPr>
          <w:rFonts w:hint="eastAsia"/>
          <w:sz w:val="24"/>
        </w:rPr>
        <w:t>；</w:t>
      </w:r>
      <w:r>
        <w:rPr>
          <w:sz w:val="24"/>
        </w:rPr>
        <w:t>0</w:t>
      </w:r>
      <w:r>
        <w:rPr>
          <w:rFonts w:hint="eastAsia"/>
          <w:sz w:val="24"/>
        </w:rPr>
        <w:t>人</w:t>
      </w:r>
      <w:r>
        <w:rPr>
          <w:sz w:val="24"/>
        </w:rPr>
        <w:t>反对</w:t>
      </w:r>
      <w:r>
        <w:rPr>
          <w:rFonts w:hint="eastAsia"/>
          <w:sz w:val="24"/>
        </w:rPr>
        <w:t>；</w:t>
      </w:r>
      <w:r>
        <w:rPr>
          <w:sz w:val="24"/>
        </w:rPr>
        <w:t>0</w:t>
      </w:r>
      <w:r>
        <w:rPr>
          <w:rFonts w:hint="eastAsia"/>
          <w:sz w:val="24"/>
        </w:rPr>
        <w:t>人</w:t>
      </w:r>
      <w:r>
        <w:rPr>
          <w:sz w:val="24"/>
        </w:rPr>
        <w:t>弃权。</w:t>
      </w:r>
    </w:p>
    <w:p>
      <w:pPr>
        <w:widowControl/>
        <w:spacing w:line="288" w:lineRule="auto"/>
        <w:ind w:firstLine="482" w:firstLineChars="200"/>
        <w:rPr>
          <w:b/>
          <w:sz w:val="24"/>
        </w:rPr>
      </w:pPr>
    </w:p>
    <w:p>
      <w:pPr>
        <w:widowControl/>
        <w:spacing w:line="288" w:lineRule="auto"/>
        <w:ind w:firstLine="480" w:firstLineChars="200"/>
        <w:rPr>
          <w:sz w:val="24"/>
        </w:rPr>
      </w:pPr>
      <w:r>
        <w:rPr>
          <w:sz w:val="24"/>
        </w:rPr>
        <w:t>上述方案将按照有关程序向</w:t>
      </w:r>
      <w:r>
        <w:rPr>
          <w:rFonts w:hint="eastAsia"/>
          <w:sz w:val="24"/>
        </w:rPr>
        <w:t>中国证券监督管理委员会</w:t>
      </w:r>
      <w:r>
        <w:rPr>
          <w:sz w:val="24"/>
        </w:rPr>
        <w:t>申请核准，并最终以</w:t>
      </w:r>
      <w:r>
        <w:rPr>
          <w:rFonts w:hint="eastAsia"/>
          <w:sz w:val="24"/>
        </w:rPr>
        <w:t>中国证券监督管理委员会</w:t>
      </w:r>
      <w:r>
        <w:rPr>
          <w:sz w:val="24"/>
        </w:rPr>
        <w:t>核准的方案为准。</w:t>
      </w:r>
    </w:p>
    <w:p>
      <w:pPr>
        <w:widowControl/>
        <w:spacing w:line="288" w:lineRule="auto"/>
        <w:ind w:firstLine="480" w:firstLineChars="200"/>
        <w:rPr>
          <w:sz w:val="24"/>
        </w:rPr>
      </w:pPr>
    </w:p>
    <w:p>
      <w:pPr>
        <w:widowControl/>
        <w:spacing w:line="288" w:lineRule="auto"/>
        <w:ind w:firstLine="482" w:firstLineChars="200"/>
        <w:rPr>
          <w:b/>
          <w:sz w:val="24"/>
          <w:szCs w:val="24"/>
        </w:rPr>
      </w:pPr>
      <w:r>
        <w:rPr>
          <w:b/>
          <w:sz w:val="24"/>
          <w:szCs w:val="24"/>
        </w:rPr>
        <w:t>2</w:t>
      </w:r>
      <w:r>
        <w:rPr>
          <w:rFonts w:hint="eastAsia"/>
          <w:b/>
          <w:sz w:val="24"/>
          <w:szCs w:val="24"/>
        </w:rPr>
        <w:t>、关于公司非公开发行A股股票预案（修订稿）的议案</w:t>
      </w:r>
    </w:p>
    <w:p>
      <w:pPr>
        <w:widowControl/>
        <w:spacing w:line="288" w:lineRule="auto"/>
        <w:ind w:firstLine="482" w:firstLineChars="200"/>
        <w:rPr>
          <w:b/>
          <w:sz w:val="24"/>
          <w:szCs w:val="24"/>
        </w:rPr>
      </w:pPr>
    </w:p>
    <w:p>
      <w:pPr>
        <w:widowControl/>
        <w:spacing w:line="288" w:lineRule="auto"/>
        <w:ind w:firstLine="480" w:firstLineChars="200"/>
        <w:rPr>
          <w:sz w:val="24"/>
          <w:szCs w:val="24"/>
        </w:rPr>
      </w:pPr>
      <w:r>
        <w:rPr>
          <w:sz w:val="24"/>
          <w:szCs w:val="24"/>
        </w:rPr>
        <w:t>同意通过</w:t>
      </w:r>
      <w:r>
        <w:rPr>
          <w:rFonts w:hint="eastAsia"/>
          <w:sz w:val="24"/>
          <w:szCs w:val="24"/>
        </w:rPr>
        <w:t>《山东新华制药股份有限公司2</w:t>
      </w:r>
      <w:r>
        <w:rPr>
          <w:sz w:val="24"/>
          <w:szCs w:val="24"/>
        </w:rPr>
        <w:t>021</w:t>
      </w:r>
      <w:r>
        <w:rPr>
          <w:rFonts w:hint="eastAsia"/>
          <w:sz w:val="24"/>
          <w:szCs w:val="24"/>
        </w:rPr>
        <w:t>年度非公开发行A股股票预案（修订稿）》。</w:t>
      </w:r>
    </w:p>
    <w:p>
      <w:pPr>
        <w:widowControl/>
        <w:spacing w:line="288" w:lineRule="auto"/>
        <w:ind w:firstLine="480" w:firstLineChars="200"/>
        <w:rPr>
          <w:sz w:val="24"/>
          <w:szCs w:val="24"/>
        </w:rPr>
      </w:pPr>
    </w:p>
    <w:p>
      <w:pPr>
        <w:widowControl/>
        <w:spacing w:line="288" w:lineRule="auto"/>
        <w:ind w:firstLine="480" w:firstLineChars="200"/>
        <w:rPr>
          <w:sz w:val="24"/>
        </w:rPr>
      </w:pPr>
      <w:r>
        <w:rPr>
          <w:sz w:val="24"/>
        </w:rPr>
        <w:t>表决结果：</w:t>
      </w:r>
      <w:r>
        <w:rPr>
          <w:rFonts w:hint="eastAsia"/>
          <w:sz w:val="24"/>
        </w:rPr>
        <w:t>关联监事刘承通回避表决，</w:t>
      </w:r>
      <w:r>
        <w:rPr>
          <w:sz w:val="24"/>
        </w:rPr>
        <w:t>4</w:t>
      </w:r>
      <w:r>
        <w:rPr>
          <w:rFonts w:hint="eastAsia"/>
          <w:sz w:val="24"/>
        </w:rPr>
        <w:t>人同意</w:t>
      </w:r>
      <w:r>
        <w:rPr>
          <w:sz w:val="24"/>
        </w:rPr>
        <w:t>，</w:t>
      </w:r>
      <w:r>
        <w:rPr>
          <w:rFonts w:cs="宋体"/>
          <w:sz w:val="24"/>
          <w:szCs w:val="24"/>
          <w:lang w:val="zh-TW"/>
        </w:rPr>
        <w:t>占公司无关联关系</w:t>
      </w:r>
      <w:r>
        <w:rPr>
          <w:rFonts w:hint="eastAsia" w:cs="宋体"/>
          <w:sz w:val="24"/>
          <w:szCs w:val="24"/>
          <w:lang w:val="zh-TW"/>
        </w:rPr>
        <w:t>监事</w:t>
      </w:r>
      <w:r>
        <w:rPr>
          <w:rFonts w:cs="宋体"/>
          <w:sz w:val="24"/>
          <w:szCs w:val="24"/>
          <w:lang w:val="zh-TW"/>
        </w:rPr>
        <w:t>人数的</w:t>
      </w:r>
      <w:r>
        <w:rPr>
          <w:sz w:val="24"/>
          <w:szCs w:val="24"/>
        </w:rPr>
        <w:t>100%</w:t>
      </w:r>
      <w:r>
        <w:rPr>
          <w:rFonts w:hint="eastAsia"/>
          <w:sz w:val="24"/>
        </w:rPr>
        <w:t>；</w:t>
      </w:r>
      <w:r>
        <w:rPr>
          <w:sz w:val="24"/>
        </w:rPr>
        <w:t>0</w:t>
      </w:r>
      <w:r>
        <w:rPr>
          <w:rFonts w:hint="eastAsia"/>
          <w:sz w:val="24"/>
        </w:rPr>
        <w:t>人</w:t>
      </w:r>
      <w:r>
        <w:rPr>
          <w:sz w:val="24"/>
        </w:rPr>
        <w:t>反对</w:t>
      </w:r>
      <w:r>
        <w:rPr>
          <w:rFonts w:hint="eastAsia"/>
          <w:sz w:val="24"/>
        </w:rPr>
        <w:t>；</w:t>
      </w:r>
      <w:r>
        <w:rPr>
          <w:sz w:val="24"/>
        </w:rPr>
        <w:t>0</w:t>
      </w:r>
      <w:r>
        <w:rPr>
          <w:rFonts w:hint="eastAsia"/>
          <w:sz w:val="24"/>
        </w:rPr>
        <w:t>人</w:t>
      </w:r>
      <w:r>
        <w:rPr>
          <w:sz w:val="24"/>
        </w:rPr>
        <w:t>弃权。</w:t>
      </w:r>
    </w:p>
    <w:p>
      <w:pPr>
        <w:widowControl/>
        <w:spacing w:line="288" w:lineRule="auto"/>
        <w:ind w:firstLine="480" w:firstLineChars="200"/>
        <w:rPr>
          <w:sz w:val="24"/>
          <w:szCs w:val="24"/>
        </w:rPr>
      </w:pPr>
    </w:p>
    <w:p>
      <w:pPr>
        <w:widowControl/>
        <w:spacing w:line="288" w:lineRule="auto"/>
        <w:ind w:firstLine="480" w:firstLineChars="200"/>
        <w:rPr>
          <w:sz w:val="24"/>
          <w:szCs w:val="24"/>
        </w:rPr>
      </w:pPr>
      <w:r>
        <w:rPr>
          <w:rFonts w:hint="eastAsia"/>
          <w:sz w:val="24"/>
          <w:szCs w:val="24"/>
        </w:rPr>
        <w:t>《山东新华制药股份有限公司2</w:t>
      </w:r>
      <w:r>
        <w:rPr>
          <w:sz w:val="24"/>
          <w:szCs w:val="24"/>
        </w:rPr>
        <w:t>021</w:t>
      </w:r>
      <w:r>
        <w:rPr>
          <w:rFonts w:hint="eastAsia"/>
          <w:sz w:val="24"/>
          <w:szCs w:val="24"/>
        </w:rPr>
        <w:t>年度非公开发行A股股票预案（修订稿）》详见同日刊登于巨潮资讯网（http://www.cninfo.com.cn）上的相关公告。</w:t>
      </w:r>
    </w:p>
    <w:p>
      <w:pPr>
        <w:widowControl/>
        <w:spacing w:line="288" w:lineRule="auto"/>
        <w:ind w:firstLine="482" w:firstLineChars="200"/>
        <w:rPr>
          <w:b/>
          <w:sz w:val="24"/>
          <w:szCs w:val="24"/>
        </w:rPr>
      </w:pPr>
    </w:p>
    <w:p>
      <w:pPr>
        <w:widowControl/>
        <w:spacing w:line="288" w:lineRule="auto"/>
        <w:ind w:firstLine="482" w:firstLineChars="200"/>
        <w:rPr>
          <w:b/>
          <w:sz w:val="24"/>
          <w:szCs w:val="24"/>
        </w:rPr>
      </w:pPr>
      <w:r>
        <w:rPr>
          <w:b/>
          <w:sz w:val="24"/>
          <w:szCs w:val="24"/>
        </w:rPr>
        <w:t>3</w:t>
      </w:r>
      <w:r>
        <w:rPr>
          <w:rFonts w:hint="eastAsia"/>
          <w:b/>
          <w:sz w:val="24"/>
          <w:szCs w:val="24"/>
        </w:rPr>
        <w:t>、关于公司调整非公开发行股票方案涉及关联交易的议案</w:t>
      </w:r>
    </w:p>
    <w:p>
      <w:pPr>
        <w:autoSpaceDE w:val="0"/>
        <w:autoSpaceDN w:val="0"/>
        <w:adjustRightInd w:val="0"/>
        <w:jc w:val="left"/>
        <w:rPr>
          <w:rFonts w:ascii="宋体" w:cs="宋体"/>
          <w:color w:val="000000"/>
          <w:kern w:val="0"/>
          <w:sz w:val="23"/>
          <w:szCs w:val="23"/>
        </w:rPr>
      </w:pPr>
    </w:p>
    <w:p>
      <w:pPr>
        <w:widowControl/>
        <w:spacing w:line="288" w:lineRule="auto"/>
        <w:ind w:firstLine="480" w:firstLineChars="200"/>
        <w:rPr>
          <w:sz w:val="24"/>
          <w:szCs w:val="24"/>
        </w:rPr>
      </w:pPr>
      <w:r>
        <w:rPr>
          <w:rFonts w:hint="eastAsia"/>
          <w:sz w:val="24"/>
          <w:szCs w:val="24"/>
        </w:rPr>
        <w:t>同意公司调整非公开发行股票方案涉及</w:t>
      </w:r>
      <w:r>
        <w:rPr>
          <w:rFonts w:hint="eastAsia"/>
          <w:sz w:val="24"/>
        </w:rPr>
        <w:t>的</w:t>
      </w:r>
      <w:r>
        <w:rPr>
          <w:rFonts w:hint="eastAsia"/>
          <w:sz w:val="24"/>
          <w:szCs w:val="24"/>
        </w:rPr>
        <w:t>关联交易。</w:t>
      </w:r>
    </w:p>
    <w:p>
      <w:pPr>
        <w:widowControl/>
        <w:spacing w:line="288" w:lineRule="auto"/>
        <w:ind w:firstLine="480" w:firstLineChars="200"/>
        <w:rPr>
          <w:sz w:val="24"/>
          <w:szCs w:val="24"/>
        </w:rPr>
      </w:pPr>
    </w:p>
    <w:p>
      <w:pPr>
        <w:widowControl/>
        <w:spacing w:line="288" w:lineRule="auto"/>
        <w:ind w:firstLine="480" w:firstLineChars="200"/>
        <w:rPr>
          <w:sz w:val="24"/>
        </w:rPr>
      </w:pPr>
      <w:r>
        <w:rPr>
          <w:sz w:val="24"/>
        </w:rPr>
        <w:t>表决结果：</w:t>
      </w:r>
      <w:r>
        <w:rPr>
          <w:rFonts w:hint="eastAsia"/>
          <w:sz w:val="24"/>
        </w:rPr>
        <w:t>关联监事刘承通回避表决，</w:t>
      </w:r>
      <w:r>
        <w:rPr>
          <w:sz w:val="24"/>
        </w:rPr>
        <w:t>4</w:t>
      </w:r>
      <w:r>
        <w:rPr>
          <w:rFonts w:hint="eastAsia"/>
          <w:sz w:val="24"/>
        </w:rPr>
        <w:t>人同意</w:t>
      </w:r>
      <w:r>
        <w:rPr>
          <w:sz w:val="24"/>
        </w:rPr>
        <w:t>，</w:t>
      </w:r>
      <w:r>
        <w:rPr>
          <w:rFonts w:cs="宋体"/>
          <w:sz w:val="24"/>
          <w:szCs w:val="24"/>
          <w:lang w:val="zh-TW"/>
        </w:rPr>
        <w:t>占公司无关联关系</w:t>
      </w:r>
      <w:r>
        <w:rPr>
          <w:rFonts w:hint="eastAsia" w:cs="宋体"/>
          <w:sz w:val="24"/>
          <w:szCs w:val="24"/>
          <w:lang w:val="zh-TW"/>
        </w:rPr>
        <w:t>监事</w:t>
      </w:r>
      <w:r>
        <w:rPr>
          <w:rFonts w:cs="宋体"/>
          <w:sz w:val="24"/>
          <w:szCs w:val="24"/>
          <w:lang w:val="zh-TW"/>
        </w:rPr>
        <w:t>人数的</w:t>
      </w:r>
      <w:r>
        <w:rPr>
          <w:sz w:val="24"/>
          <w:szCs w:val="24"/>
        </w:rPr>
        <w:t>100%</w:t>
      </w:r>
      <w:r>
        <w:rPr>
          <w:rFonts w:hint="eastAsia"/>
          <w:sz w:val="24"/>
        </w:rPr>
        <w:t>；</w:t>
      </w:r>
      <w:r>
        <w:rPr>
          <w:sz w:val="24"/>
        </w:rPr>
        <w:t>0</w:t>
      </w:r>
      <w:r>
        <w:rPr>
          <w:rFonts w:hint="eastAsia"/>
          <w:sz w:val="24"/>
        </w:rPr>
        <w:t>人</w:t>
      </w:r>
      <w:r>
        <w:rPr>
          <w:sz w:val="24"/>
        </w:rPr>
        <w:t>反对</w:t>
      </w:r>
      <w:r>
        <w:rPr>
          <w:rFonts w:hint="eastAsia"/>
          <w:sz w:val="24"/>
        </w:rPr>
        <w:t>；</w:t>
      </w:r>
      <w:r>
        <w:rPr>
          <w:sz w:val="24"/>
        </w:rPr>
        <w:t>0</w:t>
      </w:r>
      <w:r>
        <w:rPr>
          <w:rFonts w:hint="eastAsia"/>
          <w:sz w:val="24"/>
        </w:rPr>
        <w:t>人</w:t>
      </w:r>
      <w:r>
        <w:rPr>
          <w:sz w:val="24"/>
        </w:rPr>
        <w:t>弃权。</w:t>
      </w:r>
    </w:p>
    <w:p>
      <w:pPr>
        <w:widowControl/>
        <w:spacing w:line="288" w:lineRule="auto"/>
        <w:ind w:firstLine="480" w:firstLineChars="200"/>
        <w:rPr>
          <w:sz w:val="24"/>
          <w:szCs w:val="24"/>
        </w:rPr>
      </w:pPr>
    </w:p>
    <w:p>
      <w:pPr>
        <w:widowControl/>
        <w:spacing w:line="288" w:lineRule="auto"/>
        <w:ind w:firstLine="480" w:firstLineChars="200"/>
        <w:rPr>
          <w:sz w:val="24"/>
          <w:szCs w:val="24"/>
        </w:rPr>
      </w:pPr>
      <w:r>
        <w:rPr>
          <w:rFonts w:hint="eastAsia"/>
          <w:sz w:val="24"/>
          <w:szCs w:val="24"/>
        </w:rPr>
        <w:t>《关于公司调整非公开发行股票方案涉及关联交易的公告》详见同日刊登于巨潮资讯网（</w:t>
      </w:r>
      <w:r>
        <w:rPr>
          <w:sz w:val="24"/>
          <w:szCs w:val="24"/>
        </w:rPr>
        <w:t>http://www.coninfo.com.cn</w:t>
      </w:r>
      <w:r>
        <w:rPr>
          <w:rFonts w:hint="eastAsia"/>
          <w:sz w:val="24"/>
          <w:szCs w:val="24"/>
        </w:rPr>
        <w:t>）上的相关公告。</w:t>
      </w:r>
    </w:p>
    <w:p>
      <w:pPr>
        <w:widowControl/>
        <w:spacing w:line="288" w:lineRule="auto"/>
        <w:ind w:firstLine="480" w:firstLineChars="200"/>
        <w:rPr>
          <w:sz w:val="24"/>
        </w:rPr>
      </w:pPr>
    </w:p>
    <w:p>
      <w:pPr>
        <w:widowControl/>
        <w:spacing w:line="288" w:lineRule="auto"/>
        <w:ind w:firstLine="480" w:firstLineChars="200"/>
        <w:rPr>
          <w:sz w:val="24"/>
        </w:rPr>
      </w:pPr>
      <w:r>
        <w:rPr>
          <w:sz w:val="24"/>
        </w:rPr>
        <w:t>特此公告</w:t>
      </w:r>
      <w:r>
        <w:rPr>
          <w:rFonts w:hint="eastAsia"/>
          <w:sz w:val="24"/>
        </w:rPr>
        <w:t>！</w:t>
      </w:r>
    </w:p>
    <w:p>
      <w:pPr>
        <w:widowControl/>
        <w:spacing w:line="288" w:lineRule="auto"/>
        <w:ind w:firstLine="480" w:firstLineChars="200"/>
        <w:rPr>
          <w:sz w:val="24"/>
        </w:rPr>
      </w:pPr>
    </w:p>
    <w:p>
      <w:pPr>
        <w:widowControl/>
        <w:spacing w:line="288" w:lineRule="auto"/>
        <w:ind w:firstLine="480" w:firstLineChars="200"/>
        <w:rPr>
          <w:rFonts w:hint="eastAsia"/>
          <w:sz w:val="24"/>
        </w:rPr>
      </w:pPr>
    </w:p>
    <w:p>
      <w:pPr>
        <w:widowControl/>
        <w:spacing w:line="288" w:lineRule="auto"/>
        <w:ind w:firstLine="480" w:firstLineChars="200"/>
        <w:jc w:val="right"/>
        <w:rPr>
          <w:sz w:val="24"/>
        </w:rPr>
      </w:pPr>
      <w:r>
        <w:rPr>
          <w:sz w:val="24"/>
        </w:rPr>
        <w:t>山东新华制药股份有限公司监事会</w:t>
      </w:r>
    </w:p>
    <w:p>
      <w:pPr>
        <w:widowControl/>
        <w:spacing w:line="288" w:lineRule="auto"/>
        <w:ind w:firstLine="480" w:firstLineChars="200"/>
        <w:jc w:val="right"/>
        <w:rPr>
          <w:sz w:val="24"/>
        </w:rPr>
      </w:pPr>
    </w:p>
    <w:p>
      <w:pPr>
        <w:widowControl/>
        <w:spacing w:line="288" w:lineRule="auto"/>
        <w:ind w:firstLine="480" w:firstLineChars="200"/>
        <w:jc w:val="center"/>
        <w:rPr>
          <w:sz w:val="24"/>
        </w:rPr>
      </w:pPr>
      <w:r>
        <w:rPr>
          <w:rFonts w:hint="eastAsia"/>
          <w:sz w:val="24"/>
          <w:lang w:val="en-US" w:eastAsia="zh-CN"/>
        </w:rPr>
        <w:t xml:space="preserve">                                      </w:t>
      </w:r>
      <w:r>
        <w:rPr>
          <w:rFonts w:hint="eastAsia"/>
          <w:sz w:val="24"/>
        </w:rPr>
        <w:t>2</w:t>
      </w:r>
      <w:r>
        <w:rPr>
          <w:sz w:val="24"/>
        </w:rPr>
        <w:t>021</w:t>
      </w:r>
      <w:r>
        <w:rPr>
          <w:rFonts w:hint="eastAsia"/>
          <w:sz w:val="24"/>
        </w:rPr>
        <w:t>年8月</w:t>
      </w:r>
      <w:r>
        <w:rPr>
          <w:rFonts w:hint="eastAsia"/>
          <w:sz w:val="24"/>
          <w:lang w:val="en-US" w:eastAsia="zh-CN"/>
        </w:rPr>
        <w:t>13</w:t>
      </w:r>
      <w:r>
        <w:rPr>
          <w:rFonts w:hint="eastAsia"/>
          <w:sz w:val="24"/>
        </w:rPr>
        <w:t>日</w:t>
      </w:r>
    </w:p>
    <w:p>
      <w:pPr>
        <w:widowControl/>
        <w:spacing w:line="288" w:lineRule="auto"/>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pStyle w:val="2"/>
        <w:ind w:left="0" w:leftChars="0" w:firstLine="0" w:firstLineChars="0"/>
        <w:rPr>
          <w:rFonts w:ascii="Times New Roman" w:hAnsi="Times New Roman" w:eastAsia="宋体" w:cs="Times New Roman"/>
          <w:sz w:val="24"/>
          <w:szCs w:val="24"/>
        </w:rPr>
      </w:pPr>
    </w:p>
    <w:p>
      <w:pPr>
        <w:widowControl/>
        <w:spacing w:line="288" w:lineRule="auto"/>
        <w:jc w:val="center"/>
        <w:rPr>
          <w:sz w:val="24"/>
        </w:rPr>
      </w:pPr>
    </w:p>
    <w:p>
      <w:pPr>
        <w:widowControl/>
        <w:spacing w:line="288" w:lineRule="auto"/>
        <w:jc w:val="center"/>
        <w:rPr>
          <w:sz w:val="24"/>
        </w:rPr>
      </w:pPr>
    </w:p>
    <w:p>
      <w:pPr>
        <w:widowControl/>
        <w:spacing w:line="288" w:lineRule="auto"/>
        <w:jc w:val="center"/>
        <w:rPr>
          <w:sz w:val="24"/>
        </w:rPr>
      </w:pPr>
    </w:p>
    <w:p>
      <w:pPr>
        <w:widowControl/>
        <w:spacing w:line="288" w:lineRule="auto"/>
        <w:jc w:val="both"/>
        <w:rPr>
          <w:sz w:val="24"/>
        </w:rPr>
      </w:pPr>
    </w:p>
    <w:p>
      <w:pPr>
        <w:widowControl/>
        <w:spacing w:line="288" w:lineRule="auto"/>
        <w:jc w:val="both"/>
        <w:rPr>
          <w:sz w:val="24"/>
        </w:rPr>
      </w:pPr>
    </w:p>
    <w:p>
      <w:pPr>
        <w:widowControl/>
        <w:spacing w:line="288" w:lineRule="auto"/>
        <w:jc w:val="both"/>
        <w:rPr>
          <w:sz w:val="24"/>
        </w:rPr>
      </w:pPr>
    </w:p>
    <w:p>
      <w:pPr>
        <w:widowControl/>
        <w:spacing w:line="288" w:lineRule="auto"/>
        <w:jc w:val="center"/>
        <w:rPr>
          <w:sz w:val="24"/>
        </w:rPr>
      </w:pPr>
    </w:p>
    <w:p>
      <w:pPr>
        <w:widowControl/>
        <w:spacing w:line="288" w:lineRule="auto"/>
        <w:jc w:val="center"/>
        <w:rPr>
          <w:sz w:val="24"/>
        </w:rPr>
      </w:pPr>
    </w:p>
    <w:p>
      <w:pPr>
        <w:widowControl/>
        <w:spacing w:line="288" w:lineRule="auto"/>
        <w:jc w:val="center"/>
        <w:rPr>
          <w:rFonts w:hint="eastAsia"/>
          <w:sz w:val="24"/>
        </w:rPr>
      </w:pPr>
      <w:r>
        <w:rPr>
          <w:sz w:val="24"/>
        </w:rPr>
        <w:t xml:space="preserve">证券代码：000756      </w:t>
      </w:r>
      <w:r>
        <w:rPr>
          <w:rFonts w:hint="eastAsia"/>
          <w:sz w:val="24"/>
          <w:lang w:val="en-US" w:eastAsia="zh-CN"/>
        </w:rPr>
        <w:t xml:space="preserve">   </w:t>
      </w:r>
      <w:r>
        <w:rPr>
          <w:sz w:val="24"/>
        </w:rPr>
        <w:t xml:space="preserve">  证券简称：新华制药   </w:t>
      </w:r>
      <w:r>
        <w:rPr>
          <w:rFonts w:hint="eastAsia"/>
          <w:sz w:val="24"/>
          <w:lang w:val="en-US" w:eastAsia="zh-CN"/>
        </w:rPr>
        <w:t xml:space="preserve">  </w:t>
      </w:r>
      <w:r>
        <w:rPr>
          <w:sz w:val="24"/>
        </w:rPr>
        <w:t xml:space="preserve">     公告编号：2021-</w:t>
      </w:r>
      <w:r>
        <w:rPr>
          <w:rFonts w:hint="eastAsia"/>
          <w:sz w:val="24"/>
          <w:lang w:val="en-US" w:eastAsia="zh-CN"/>
        </w:rPr>
        <w:t>42</w:t>
      </w:r>
    </w:p>
    <w:p>
      <w:pPr>
        <w:widowControl/>
        <w:spacing w:line="288" w:lineRule="auto"/>
        <w:rPr>
          <w:sz w:val="24"/>
        </w:rPr>
      </w:pPr>
    </w:p>
    <w:p>
      <w:pPr>
        <w:widowControl/>
        <w:spacing w:line="288" w:lineRule="auto"/>
        <w:jc w:val="center"/>
        <w:outlineLvl w:val="0"/>
        <w:rPr>
          <w:b/>
          <w:sz w:val="28"/>
          <w:szCs w:val="28"/>
        </w:rPr>
      </w:pPr>
      <w:r>
        <w:rPr>
          <w:rFonts w:hint="eastAsia"/>
          <w:b/>
          <w:sz w:val="28"/>
          <w:szCs w:val="28"/>
        </w:rPr>
        <w:t>山东新华制药股份有限公司</w:t>
      </w:r>
    </w:p>
    <w:p>
      <w:pPr>
        <w:widowControl/>
        <w:spacing w:line="288" w:lineRule="auto"/>
        <w:jc w:val="center"/>
        <w:rPr>
          <w:b/>
          <w:sz w:val="28"/>
          <w:szCs w:val="28"/>
        </w:rPr>
      </w:pPr>
      <w:r>
        <w:rPr>
          <w:rFonts w:hint="eastAsia"/>
          <w:b/>
          <w:sz w:val="28"/>
          <w:szCs w:val="28"/>
        </w:rPr>
        <w:t>关于实施2020年度权益分派后调整2021年非公开发行A股股票</w:t>
      </w:r>
    </w:p>
    <w:p>
      <w:pPr>
        <w:widowControl/>
        <w:spacing w:line="288" w:lineRule="auto"/>
        <w:jc w:val="center"/>
        <w:rPr>
          <w:b/>
          <w:sz w:val="28"/>
          <w:szCs w:val="28"/>
        </w:rPr>
      </w:pPr>
      <w:r>
        <w:rPr>
          <w:rFonts w:hint="eastAsia"/>
          <w:b/>
          <w:sz w:val="28"/>
          <w:szCs w:val="28"/>
        </w:rPr>
        <w:t>发行价格和发行数量的公告</w:t>
      </w:r>
    </w:p>
    <w:p>
      <w:pPr>
        <w:widowControl/>
        <w:spacing w:line="288" w:lineRule="auto"/>
        <w:jc w:val="center"/>
        <w:rPr>
          <w:rFonts w:hint="eastAsia"/>
          <w:sz w:val="24"/>
        </w:rPr>
      </w:pPr>
    </w:p>
    <w:p>
      <w:pPr>
        <w:widowControl/>
        <w:spacing w:line="288" w:lineRule="auto"/>
        <w:ind w:firstLine="480" w:firstLineChars="200"/>
        <w:rPr>
          <w:sz w:val="24"/>
          <w:szCs w:val="24"/>
        </w:rPr>
      </w:pPr>
      <w:r>
        <w:rPr>
          <w:rFonts w:hint="eastAsia"/>
          <w:sz w:val="24"/>
          <w:szCs w:val="24"/>
        </w:rPr>
        <w:t>本公司及董事会全体成员保证信息披露的内容真实、准确、完整，没有虚假记载、误导性陈述或重大遗漏。</w:t>
      </w:r>
    </w:p>
    <w:p>
      <w:pPr>
        <w:widowControl/>
        <w:spacing w:line="288" w:lineRule="auto"/>
        <w:jc w:val="center"/>
        <w:rPr>
          <w:sz w:val="24"/>
        </w:rPr>
      </w:pPr>
    </w:p>
    <w:p>
      <w:pPr>
        <w:widowControl/>
        <w:spacing w:line="288" w:lineRule="auto"/>
        <w:ind w:firstLine="480" w:firstLineChars="200"/>
        <w:rPr>
          <w:rFonts w:hint="eastAsia"/>
          <w:sz w:val="24"/>
        </w:rPr>
      </w:pPr>
      <w:r>
        <w:rPr>
          <w:rFonts w:hint="eastAsia"/>
          <w:sz w:val="24"/>
        </w:rPr>
        <w:t>山东新华制药股份有限公司（以下简称“公司”）非公开发行A股股票相关事宜已经公司第十届董事会2</w:t>
      </w:r>
      <w:r>
        <w:rPr>
          <w:sz w:val="24"/>
        </w:rPr>
        <w:t>021</w:t>
      </w:r>
      <w:r>
        <w:rPr>
          <w:rFonts w:hint="eastAsia"/>
          <w:sz w:val="24"/>
        </w:rPr>
        <w:t>年第二次临时会议、20</w:t>
      </w:r>
      <w:r>
        <w:rPr>
          <w:sz w:val="24"/>
        </w:rPr>
        <w:t>20</w:t>
      </w:r>
      <w:r>
        <w:rPr>
          <w:rFonts w:hint="eastAsia"/>
          <w:sz w:val="24"/>
        </w:rPr>
        <w:t>年周年股东大会、20</w:t>
      </w:r>
      <w:r>
        <w:rPr>
          <w:sz w:val="24"/>
        </w:rPr>
        <w:t>21</w:t>
      </w:r>
      <w:r>
        <w:rPr>
          <w:rFonts w:hint="eastAsia"/>
          <w:sz w:val="24"/>
        </w:rPr>
        <w:t>年第一次A股类别股东会议及20</w:t>
      </w:r>
      <w:r>
        <w:rPr>
          <w:sz w:val="24"/>
        </w:rPr>
        <w:t>21</w:t>
      </w:r>
      <w:r>
        <w:rPr>
          <w:rFonts w:hint="eastAsia"/>
          <w:sz w:val="24"/>
        </w:rPr>
        <w:t>年第一次H股类别股东会议审议通过，公司拟向特定对象发行不超过3</w:t>
      </w:r>
      <w:r>
        <w:rPr>
          <w:sz w:val="24"/>
        </w:rPr>
        <w:t>6,284,470</w:t>
      </w:r>
      <w:r>
        <w:rPr>
          <w:rFonts w:hint="eastAsia"/>
          <w:sz w:val="24"/>
        </w:rPr>
        <w:t>股（含本数）人民币普通股（A股）股票，募集资金总额不超过人民币</w:t>
      </w:r>
      <w:r>
        <w:rPr>
          <w:sz w:val="24"/>
        </w:rPr>
        <w:t>25,000</w:t>
      </w:r>
      <w:r>
        <w:rPr>
          <w:rFonts w:hint="eastAsia"/>
          <w:sz w:val="24"/>
        </w:rPr>
        <w:t>万元。具体内容详见公司《第十届董事会2</w:t>
      </w:r>
      <w:r>
        <w:rPr>
          <w:sz w:val="24"/>
        </w:rPr>
        <w:t>021</w:t>
      </w:r>
      <w:r>
        <w:rPr>
          <w:rFonts w:hint="eastAsia"/>
          <w:sz w:val="24"/>
        </w:rPr>
        <w:t>年第二次临时会议公告》（公告编号：20</w:t>
      </w:r>
      <w:r>
        <w:rPr>
          <w:sz w:val="24"/>
        </w:rPr>
        <w:t>21-19</w:t>
      </w:r>
      <w:r>
        <w:rPr>
          <w:rFonts w:hint="eastAsia"/>
          <w:sz w:val="24"/>
        </w:rPr>
        <w:t>）及《20</w:t>
      </w:r>
      <w:r>
        <w:rPr>
          <w:sz w:val="24"/>
        </w:rPr>
        <w:t>20</w:t>
      </w:r>
      <w:r>
        <w:rPr>
          <w:rFonts w:hint="eastAsia"/>
          <w:sz w:val="24"/>
        </w:rPr>
        <w:t>年周年股东大会、20</w:t>
      </w:r>
      <w:r>
        <w:rPr>
          <w:sz w:val="24"/>
        </w:rPr>
        <w:t>21</w:t>
      </w:r>
      <w:r>
        <w:rPr>
          <w:rFonts w:hint="eastAsia"/>
          <w:sz w:val="24"/>
        </w:rPr>
        <w:t>年第一次A股类别股东会议及20</w:t>
      </w:r>
      <w:r>
        <w:rPr>
          <w:sz w:val="24"/>
        </w:rPr>
        <w:t>21</w:t>
      </w:r>
      <w:r>
        <w:rPr>
          <w:rFonts w:hint="eastAsia"/>
          <w:sz w:val="24"/>
        </w:rPr>
        <w:t>年第一次H股类别股东会议决议公告》（公告编号：20</w:t>
      </w:r>
      <w:r>
        <w:rPr>
          <w:sz w:val="24"/>
        </w:rPr>
        <w:t>21-35</w:t>
      </w:r>
      <w:r>
        <w:rPr>
          <w:rFonts w:hint="eastAsia"/>
          <w:sz w:val="24"/>
        </w:rPr>
        <w:t>）。20</w:t>
      </w:r>
      <w:r>
        <w:rPr>
          <w:sz w:val="24"/>
        </w:rPr>
        <w:t>21</w:t>
      </w:r>
      <w:r>
        <w:rPr>
          <w:rFonts w:hint="eastAsia"/>
          <w:sz w:val="24"/>
        </w:rPr>
        <w:t>年</w:t>
      </w:r>
      <w:r>
        <w:rPr>
          <w:sz w:val="24"/>
        </w:rPr>
        <w:t>8</w:t>
      </w:r>
      <w:r>
        <w:rPr>
          <w:rFonts w:hint="eastAsia"/>
          <w:sz w:val="24"/>
        </w:rPr>
        <w:t>月</w:t>
      </w:r>
      <w:r>
        <w:rPr>
          <w:rFonts w:hint="eastAsia"/>
          <w:sz w:val="24"/>
          <w:lang w:val="en-US" w:eastAsia="zh-CN"/>
        </w:rPr>
        <w:t>13</w:t>
      </w:r>
      <w:r>
        <w:rPr>
          <w:rFonts w:hint="eastAsia"/>
          <w:sz w:val="24"/>
        </w:rPr>
        <w:t>日，</w:t>
      </w:r>
      <w:r>
        <w:rPr>
          <w:rFonts w:hint="eastAsia"/>
          <w:sz w:val="24"/>
          <w:lang w:eastAsia="zh-CN"/>
        </w:rPr>
        <w:t>分别</w:t>
      </w:r>
      <w:r>
        <w:rPr>
          <w:rFonts w:hint="eastAsia"/>
          <w:sz w:val="24"/>
        </w:rPr>
        <w:t>经公司第十届董事会20</w:t>
      </w:r>
      <w:r>
        <w:rPr>
          <w:sz w:val="24"/>
        </w:rPr>
        <w:t>21</w:t>
      </w:r>
      <w:r>
        <w:rPr>
          <w:rFonts w:hint="eastAsia"/>
          <w:sz w:val="24"/>
        </w:rPr>
        <w:t>年第三次临时会议</w:t>
      </w:r>
      <w:r>
        <w:rPr>
          <w:rFonts w:hint="eastAsia"/>
          <w:sz w:val="24"/>
          <w:lang w:eastAsia="zh-CN"/>
        </w:rPr>
        <w:t>、公司第十届监事会</w:t>
      </w:r>
      <w:r>
        <w:rPr>
          <w:rFonts w:hint="eastAsia"/>
          <w:sz w:val="24"/>
          <w:lang w:val="en-US" w:eastAsia="zh-CN"/>
        </w:rPr>
        <w:t>2021年第二次临时会议</w:t>
      </w:r>
      <w:r>
        <w:rPr>
          <w:rFonts w:hint="eastAsia"/>
          <w:sz w:val="24"/>
        </w:rPr>
        <w:t>审议通过，对本次非公开发行</w:t>
      </w:r>
      <w:r>
        <w:rPr>
          <w:sz w:val="24"/>
        </w:rPr>
        <w:t>A</w:t>
      </w:r>
      <w:r>
        <w:rPr>
          <w:rFonts w:hint="eastAsia"/>
          <w:sz w:val="24"/>
        </w:rPr>
        <w:t>股股票的发行价格、发行数量进行调整。具体内容见公司《第十届董事会20</w:t>
      </w:r>
      <w:r>
        <w:rPr>
          <w:sz w:val="24"/>
        </w:rPr>
        <w:t>21</w:t>
      </w:r>
      <w:r>
        <w:rPr>
          <w:rFonts w:hint="eastAsia"/>
          <w:sz w:val="24"/>
        </w:rPr>
        <w:t>年第三次临时会议决议公告》（公告编号：20</w:t>
      </w:r>
      <w:r>
        <w:rPr>
          <w:sz w:val="24"/>
        </w:rPr>
        <w:t>21</w:t>
      </w:r>
      <w:r>
        <w:rPr>
          <w:rFonts w:hint="eastAsia"/>
          <w:sz w:val="24"/>
        </w:rPr>
        <w:t>-</w:t>
      </w:r>
      <w:r>
        <w:rPr>
          <w:rFonts w:hint="eastAsia"/>
          <w:sz w:val="24"/>
          <w:lang w:val="en-US" w:eastAsia="zh-CN"/>
        </w:rPr>
        <w:t>40</w:t>
      </w:r>
      <w:r>
        <w:rPr>
          <w:rFonts w:hint="eastAsia"/>
          <w:sz w:val="24"/>
        </w:rPr>
        <w:t>）</w:t>
      </w:r>
      <w:r>
        <w:rPr>
          <w:rFonts w:hint="eastAsia"/>
          <w:sz w:val="24"/>
          <w:lang w:eastAsia="zh-CN"/>
        </w:rPr>
        <w:t>及公司《第十届监事会</w:t>
      </w:r>
      <w:r>
        <w:rPr>
          <w:rFonts w:hint="eastAsia"/>
          <w:sz w:val="24"/>
          <w:lang w:val="en-US" w:eastAsia="zh-CN"/>
        </w:rPr>
        <w:t>2021年第二次临时会议决议公告</w:t>
      </w:r>
      <w:r>
        <w:rPr>
          <w:rFonts w:hint="eastAsia"/>
          <w:sz w:val="24"/>
          <w:lang w:eastAsia="zh-CN"/>
        </w:rPr>
        <w:t>》（公告编号：</w:t>
      </w:r>
      <w:r>
        <w:rPr>
          <w:rFonts w:hint="eastAsia"/>
          <w:sz w:val="24"/>
          <w:lang w:val="en-US" w:eastAsia="zh-CN"/>
        </w:rPr>
        <w:t>2021-41</w:t>
      </w:r>
      <w:r>
        <w:rPr>
          <w:rFonts w:hint="eastAsia"/>
          <w:sz w:val="24"/>
          <w:lang w:eastAsia="zh-CN"/>
        </w:rPr>
        <w:t>）</w:t>
      </w:r>
      <w:r>
        <w:rPr>
          <w:rFonts w:hint="eastAsia"/>
          <w:sz w:val="24"/>
        </w:rPr>
        <w:t>。</w:t>
      </w:r>
    </w:p>
    <w:p>
      <w:pPr>
        <w:widowControl/>
        <w:spacing w:line="288" w:lineRule="auto"/>
        <w:ind w:firstLine="480" w:firstLineChars="200"/>
        <w:rPr>
          <w:rFonts w:hint="eastAsia"/>
          <w:sz w:val="24"/>
        </w:rPr>
      </w:pPr>
    </w:p>
    <w:p>
      <w:pPr>
        <w:widowControl/>
        <w:spacing w:line="288" w:lineRule="auto"/>
        <w:ind w:firstLine="480" w:firstLineChars="200"/>
        <w:rPr>
          <w:sz w:val="24"/>
        </w:rPr>
      </w:pPr>
      <w:r>
        <w:rPr>
          <w:rFonts w:hint="eastAsia"/>
          <w:sz w:val="24"/>
        </w:rPr>
        <w:t>为避免本次非公开发行出现发行价格严重偏离市价的情况，公司在除权除息调整发行价格、发行数量之外，发行方案其他内容保持不变。20</w:t>
      </w:r>
      <w:r>
        <w:rPr>
          <w:sz w:val="24"/>
        </w:rPr>
        <w:t>21</w:t>
      </w:r>
      <w:r>
        <w:rPr>
          <w:rFonts w:hint="eastAsia"/>
          <w:sz w:val="24"/>
        </w:rPr>
        <w:t>年</w:t>
      </w:r>
      <w:r>
        <w:rPr>
          <w:sz w:val="24"/>
        </w:rPr>
        <w:t>8</w:t>
      </w:r>
      <w:r>
        <w:rPr>
          <w:rFonts w:hint="eastAsia"/>
          <w:sz w:val="24"/>
        </w:rPr>
        <w:t>月</w:t>
      </w:r>
      <w:r>
        <w:rPr>
          <w:rFonts w:hint="eastAsia"/>
          <w:sz w:val="24"/>
          <w:lang w:val="en-US" w:eastAsia="zh-CN"/>
        </w:rPr>
        <w:t>13</w:t>
      </w:r>
      <w:r>
        <w:rPr>
          <w:rFonts w:hint="eastAsia"/>
          <w:sz w:val="24"/>
        </w:rPr>
        <w:t>日，</w:t>
      </w:r>
      <w:r>
        <w:rPr>
          <w:rFonts w:hint="eastAsia"/>
          <w:sz w:val="24"/>
          <w:lang w:eastAsia="zh-CN"/>
        </w:rPr>
        <w:t>分别</w:t>
      </w:r>
      <w:r>
        <w:rPr>
          <w:rFonts w:hint="eastAsia"/>
          <w:sz w:val="24"/>
        </w:rPr>
        <w:t>经公司第十届董事会20</w:t>
      </w:r>
      <w:r>
        <w:rPr>
          <w:sz w:val="24"/>
        </w:rPr>
        <w:t>21</w:t>
      </w:r>
      <w:r>
        <w:rPr>
          <w:rFonts w:hint="eastAsia"/>
          <w:sz w:val="24"/>
        </w:rPr>
        <w:t>年第三次临时会议</w:t>
      </w:r>
      <w:r>
        <w:rPr>
          <w:rFonts w:hint="eastAsia"/>
          <w:sz w:val="24"/>
          <w:lang w:eastAsia="zh-CN"/>
        </w:rPr>
        <w:t>、公司第十届监事会</w:t>
      </w:r>
      <w:r>
        <w:rPr>
          <w:rFonts w:hint="eastAsia"/>
          <w:sz w:val="24"/>
          <w:lang w:val="en-US" w:eastAsia="zh-CN"/>
        </w:rPr>
        <w:t>2021年第二次临时会议</w:t>
      </w:r>
      <w:r>
        <w:rPr>
          <w:rFonts w:hint="eastAsia"/>
          <w:sz w:val="24"/>
        </w:rPr>
        <w:t>审议通过有关议案，具体如下</w:t>
      </w:r>
      <w:r>
        <w:rPr>
          <w:rFonts w:hint="eastAsia"/>
          <w:sz w:val="24"/>
          <w:lang w:eastAsia="zh-CN"/>
        </w:rPr>
        <w:t>：</w:t>
      </w:r>
    </w:p>
    <w:p>
      <w:pPr>
        <w:widowControl/>
        <w:spacing w:line="288" w:lineRule="auto"/>
        <w:ind w:firstLine="482" w:firstLineChars="200"/>
        <w:rPr>
          <w:b/>
          <w:sz w:val="24"/>
        </w:rPr>
      </w:pPr>
      <w:r>
        <w:rPr>
          <w:b/>
          <w:sz w:val="24"/>
        </w:rPr>
        <w:t>一</w:t>
      </w:r>
      <w:r>
        <w:rPr>
          <w:rFonts w:hint="eastAsia"/>
          <w:b/>
          <w:sz w:val="24"/>
        </w:rPr>
        <w:t>、定价原则与发行价格</w:t>
      </w:r>
    </w:p>
    <w:p>
      <w:pPr>
        <w:widowControl/>
        <w:spacing w:line="288" w:lineRule="auto"/>
        <w:ind w:firstLine="480" w:firstLineChars="200"/>
        <w:rPr>
          <w:sz w:val="24"/>
        </w:rPr>
      </w:pPr>
    </w:p>
    <w:p>
      <w:pPr>
        <w:spacing w:line="288" w:lineRule="auto"/>
        <w:ind w:firstLine="482" w:firstLineChars="200"/>
        <w:rPr>
          <w:sz w:val="24"/>
        </w:rPr>
      </w:pPr>
      <w:r>
        <w:rPr>
          <w:rFonts w:hint="eastAsia"/>
          <w:b/>
          <w:sz w:val="24"/>
          <w:szCs w:val="24"/>
        </w:rPr>
        <w:t>原方案</w:t>
      </w:r>
      <w:r>
        <w:rPr>
          <w:rFonts w:hint="eastAsia"/>
          <w:sz w:val="24"/>
          <w:szCs w:val="24"/>
        </w:rPr>
        <w:t>：</w:t>
      </w:r>
      <w:r>
        <w:rPr>
          <w:rFonts w:hint="eastAsia"/>
          <w:sz w:val="24"/>
        </w:rPr>
        <w:t>本次非公开发行的发行价格确定为人民币6</w:t>
      </w:r>
      <w:r>
        <w:rPr>
          <w:sz w:val="24"/>
        </w:rPr>
        <w:t>.89</w:t>
      </w:r>
      <w:r>
        <w:rPr>
          <w:rFonts w:hint="eastAsia"/>
          <w:sz w:val="24"/>
        </w:rPr>
        <w:t>元/股。</w:t>
      </w:r>
    </w:p>
    <w:p>
      <w:pPr>
        <w:spacing w:line="288" w:lineRule="auto"/>
        <w:ind w:firstLine="480" w:firstLineChars="200"/>
        <w:rPr>
          <w:sz w:val="24"/>
        </w:rPr>
      </w:pPr>
    </w:p>
    <w:p>
      <w:pPr>
        <w:spacing w:line="288" w:lineRule="auto"/>
        <w:ind w:firstLine="480" w:firstLineChars="200"/>
        <w:rPr>
          <w:sz w:val="24"/>
        </w:rPr>
      </w:pPr>
      <w:r>
        <w:rPr>
          <w:rFonts w:hint="eastAsia"/>
          <w:sz w:val="24"/>
        </w:rPr>
        <w:t>本次非公开发行的定价基准日为</w:t>
      </w:r>
      <w:r>
        <w:rPr>
          <w:rFonts w:hint="eastAsia"/>
          <w:sz w:val="24"/>
          <w:szCs w:val="24"/>
        </w:rPr>
        <w:t>公司第</w:t>
      </w:r>
      <w:r>
        <w:rPr>
          <w:rFonts w:hint="eastAsia"/>
          <w:sz w:val="24"/>
          <w:szCs w:val="24"/>
          <w:lang w:eastAsia="zh-Hans"/>
        </w:rPr>
        <w:t>十</w:t>
      </w:r>
      <w:r>
        <w:rPr>
          <w:rFonts w:hint="eastAsia"/>
          <w:sz w:val="24"/>
          <w:szCs w:val="24"/>
        </w:rPr>
        <w:t>届董事会</w:t>
      </w:r>
      <w:r>
        <w:rPr>
          <w:sz w:val="24"/>
          <w:szCs w:val="24"/>
        </w:rPr>
        <w:t>2021</w:t>
      </w:r>
      <w:r>
        <w:rPr>
          <w:rFonts w:hint="eastAsia"/>
          <w:sz w:val="24"/>
          <w:szCs w:val="24"/>
        </w:rPr>
        <w:t>年第二次临时会议决议</w:t>
      </w:r>
      <w:r>
        <w:rPr>
          <w:rFonts w:hint="eastAsia"/>
          <w:sz w:val="24"/>
        </w:rPr>
        <w:t>公告日（即</w:t>
      </w:r>
      <w:r>
        <w:rPr>
          <w:sz w:val="24"/>
        </w:rPr>
        <w:t>20</w:t>
      </w:r>
      <w:r>
        <w:rPr>
          <w:rFonts w:hint="eastAsia"/>
          <w:sz w:val="24"/>
        </w:rPr>
        <w:t>2</w:t>
      </w:r>
      <w:r>
        <w:rPr>
          <w:sz w:val="24"/>
        </w:rPr>
        <w:t>1</w:t>
      </w:r>
      <w:r>
        <w:rPr>
          <w:rFonts w:hint="eastAsia"/>
          <w:sz w:val="24"/>
        </w:rPr>
        <w:t>年</w:t>
      </w:r>
      <w:r>
        <w:rPr>
          <w:sz w:val="24"/>
        </w:rPr>
        <w:t>4</w:t>
      </w:r>
      <w:r>
        <w:rPr>
          <w:rFonts w:hint="eastAsia"/>
          <w:sz w:val="24"/>
        </w:rPr>
        <w:t>月</w:t>
      </w:r>
      <w:r>
        <w:rPr>
          <w:sz w:val="24"/>
        </w:rPr>
        <w:t>15</w:t>
      </w:r>
      <w:r>
        <w:rPr>
          <w:rFonts w:hint="eastAsia"/>
          <w:sz w:val="24"/>
        </w:rPr>
        <w:t>日），发行价格不低于定价基准日前20个交易日公司股票交易均价的80%（定价基准日前20个交易日股票交易均价=定价基准日前20个交易日公司股票交易总额/定价基准日前20个交易日公司股票交易总量）与定价基准日前公司最近一年末经审计的归属于母公司普通股股东的每股净资产金额的孰高值（向上舍入至取2位小数）。</w:t>
      </w:r>
    </w:p>
    <w:p>
      <w:pPr>
        <w:spacing w:line="288" w:lineRule="auto"/>
        <w:ind w:firstLine="480" w:firstLineChars="200"/>
        <w:rPr>
          <w:sz w:val="24"/>
        </w:rPr>
      </w:pPr>
    </w:p>
    <w:p>
      <w:pPr>
        <w:spacing w:line="288" w:lineRule="auto"/>
        <w:ind w:firstLine="480" w:firstLineChars="200"/>
        <w:rPr>
          <w:sz w:val="24"/>
        </w:rPr>
      </w:pPr>
      <w:r>
        <w:rPr>
          <w:rFonts w:hint="eastAsia"/>
          <w:sz w:val="24"/>
        </w:rPr>
        <w:t>若公司A股股票在定价基准日至发行日期间发生派息、送股、资本公积转增股本等除权、除息事项，则本次非公开发行的发行价格将作相应调整。</w:t>
      </w:r>
    </w:p>
    <w:p>
      <w:pPr>
        <w:widowControl/>
        <w:spacing w:line="288" w:lineRule="auto"/>
        <w:ind w:firstLine="480" w:firstLineChars="200"/>
        <w:rPr>
          <w:rFonts w:hint="eastAsia"/>
          <w:sz w:val="24"/>
          <w:szCs w:val="24"/>
        </w:rPr>
      </w:pPr>
    </w:p>
    <w:p>
      <w:pPr>
        <w:spacing w:line="288" w:lineRule="auto"/>
        <w:ind w:firstLine="482" w:firstLineChars="200"/>
        <w:rPr>
          <w:sz w:val="24"/>
        </w:rPr>
      </w:pPr>
      <w:r>
        <w:rPr>
          <w:rFonts w:hint="eastAsia"/>
          <w:b/>
          <w:sz w:val="24"/>
          <w:szCs w:val="24"/>
        </w:rPr>
        <w:t>调整后方案</w:t>
      </w:r>
      <w:r>
        <w:rPr>
          <w:rFonts w:hint="eastAsia"/>
          <w:sz w:val="24"/>
          <w:szCs w:val="24"/>
        </w:rPr>
        <w:t>：</w:t>
      </w:r>
      <w:r>
        <w:rPr>
          <w:rFonts w:hint="eastAsia"/>
          <w:sz w:val="24"/>
        </w:rPr>
        <w:t>本次非公开发行的发行价格确定为人民币6</w:t>
      </w:r>
      <w:r>
        <w:rPr>
          <w:sz w:val="24"/>
        </w:rPr>
        <w:t>.89</w:t>
      </w:r>
      <w:r>
        <w:rPr>
          <w:rFonts w:hint="eastAsia"/>
          <w:sz w:val="24"/>
        </w:rPr>
        <w:t>元/股。</w:t>
      </w:r>
    </w:p>
    <w:p>
      <w:pPr>
        <w:spacing w:line="288" w:lineRule="auto"/>
        <w:ind w:firstLine="480" w:firstLineChars="200"/>
        <w:rPr>
          <w:sz w:val="24"/>
        </w:rPr>
      </w:pPr>
    </w:p>
    <w:p>
      <w:pPr>
        <w:spacing w:line="288" w:lineRule="auto"/>
        <w:ind w:firstLine="480" w:firstLineChars="200"/>
        <w:rPr>
          <w:sz w:val="24"/>
        </w:rPr>
      </w:pPr>
      <w:r>
        <w:rPr>
          <w:rFonts w:hint="eastAsia"/>
          <w:sz w:val="24"/>
        </w:rPr>
        <w:t>本次非公开发行的定价基准日为</w:t>
      </w:r>
      <w:r>
        <w:rPr>
          <w:rFonts w:hint="eastAsia"/>
          <w:sz w:val="24"/>
          <w:szCs w:val="24"/>
        </w:rPr>
        <w:t>公司第</w:t>
      </w:r>
      <w:r>
        <w:rPr>
          <w:rFonts w:hint="eastAsia"/>
          <w:sz w:val="24"/>
          <w:szCs w:val="24"/>
          <w:lang w:eastAsia="zh-Hans"/>
        </w:rPr>
        <w:t>十</w:t>
      </w:r>
      <w:r>
        <w:rPr>
          <w:rFonts w:hint="eastAsia"/>
          <w:sz w:val="24"/>
          <w:szCs w:val="24"/>
        </w:rPr>
        <w:t>届董事会</w:t>
      </w:r>
      <w:r>
        <w:rPr>
          <w:sz w:val="24"/>
          <w:szCs w:val="24"/>
        </w:rPr>
        <w:t>2021</w:t>
      </w:r>
      <w:r>
        <w:rPr>
          <w:rFonts w:hint="eastAsia"/>
          <w:sz w:val="24"/>
          <w:szCs w:val="24"/>
        </w:rPr>
        <w:t>年第二次临时会议决议</w:t>
      </w:r>
      <w:r>
        <w:rPr>
          <w:rFonts w:hint="eastAsia"/>
          <w:sz w:val="24"/>
        </w:rPr>
        <w:t>公告日（即</w:t>
      </w:r>
      <w:r>
        <w:rPr>
          <w:sz w:val="24"/>
        </w:rPr>
        <w:t>20</w:t>
      </w:r>
      <w:r>
        <w:rPr>
          <w:rFonts w:hint="eastAsia"/>
          <w:sz w:val="24"/>
        </w:rPr>
        <w:t>2</w:t>
      </w:r>
      <w:r>
        <w:rPr>
          <w:sz w:val="24"/>
        </w:rPr>
        <w:t>1</w:t>
      </w:r>
      <w:r>
        <w:rPr>
          <w:rFonts w:hint="eastAsia"/>
          <w:sz w:val="24"/>
        </w:rPr>
        <w:t>年</w:t>
      </w:r>
      <w:r>
        <w:rPr>
          <w:sz w:val="24"/>
        </w:rPr>
        <w:t>4</w:t>
      </w:r>
      <w:r>
        <w:rPr>
          <w:rFonts w:hint="eastAsia"/>
          <w:sz w:val="24"/>
        </w:rPr>
        <w:t>月</w:t>
      </w:r>
      <w:r>
        <w:rPr>
          <w:sz w:val="24"/>
        </w:rPr>
        <w:t>15</w:t>
      </w:r>
      <w:r>
        <w:rPr>
          <w:rFonts w:hint="eastAsia"/>
          <w:sz w:val="24"/>
        </w:rPr>
        <w:t>日），发行价格不低于定价基准日前20个交易日公司股票交易均价的80%（定价基准日前20个交易日股票交易均价=定价基准日前20个交易日公司股票交易总额/定价基准日前20个交易日公司股票交易总量）与定价基准日前公司最近一年末经审计的归属于母公司普通股股东的每股净资产金额的孰高值（向上舍入至取2位小数）。</w:t>
      </w:r>
    </w:p>
    <w:p>
      <w:pPr>
        <w:spacing w:line="288" w:lineRule="auto"/>
        <w:ind w:firstLine="480" w:firstLineChars="200"/>
        <w:rPr>
          <w:sz w:val="24"/>
        </w:rPr>
      </w:pPr>
    </w:p>
    <w:p>
      <w:pPr>
        <w:spacing w:line="288" w:lineRule="auto"/>
        <w:ind w:firstLine="480" w:firstLineChars="200"/>
        <w:rPr>
          <w:sz w:val="24"/>
        </w:rPr>
      </w:pPr>
      <w:r>
        <w:rPr>
          <w:rFonts w:hint="eastAsia"/>
          <w:sz w:val="24"/>
        </w:rPr>
        <w:t>若公司A股股票在定价基准日至发行日期间发生派息、送股、资本公积转增股本等除权、除息事项，则本次非公开发行的发行价格将作相应调整。</w:t>
      </w:r>
    </w:p>
    <w:p>
      <w:pPr>
        <w:spacing w:line="288" w:lineRule="auto"/>
        <w:ind w:firstLine="480" w:firstLineChars="200"/>
        <w:rPr>
          <w:sz w:val="24"/>
        </w:rPr>
      </w:pPr>
    </w:p>
    <w:p>
      <w:pPr>
        <w:spacing w:line="288" w:lineRule="auto"/>
        <w:ind w:firstLine="480" w:firstLineChars="200"/>
        <w:rPr>
          <w:sz w:val="24"/>
        </w:rPr>
      </w:pPr>
      <w:r>
        <w:rPr>
          <w:rFonts w:hint="eastAsia"/>
          <w:sz w:val="24"/>
        </w:rPr>
        <w:t xml:space="preserve">鉴于公司2020年度权益分派方案已实施完毕，公司本次非公开发行股票的发行价格由 </w:t>
      </w:r>
      <w:r>
        <w:rPr>
          <w:sz w:val="24"/>
        </w:rPr>
        <w:t>6.89</w:t>
      </w:r>
      <w:r>
        <w:rPr>
          <w:rFonts w:hint="eastAsia"/>
          <w:sz w:val="24"/>
        </w:rPr>
        <w:t xml:space="preserve"> 元/股调整为 </w:t>
      </w:r>
      <w:r>
        <w:rPr>
          <w:sz w:val="24"/>
        </w:rPr>
        <w:t>6.74</w:t>
      </w:r>
      <w:r>
        <w:rPr>
          <w:rFonts w:hint="eastAsia"/>
          <w:sz w:val="24"/>
        </w:rPr>
        <w:t xml:space="preserve"> 元/股。</w:t>
      </w:r>
    </w:p>
    <w:p>
      <w:pPr>
        <w:widowControl/>
        <w:spacing w:line="288" w:lineRule="auto"/>
        <w:ind w:firstLine="480" w:firstLineChars="200"/>
        <w:rPr>
          <w:sz w:val="24"/>
          <w:szCs w:val="24"/>
        </w:rPr>
      </w:pPr>
    </w:p>
    <w:p>
      <w:pPr>
        <w:widowControl/>
        <w:spacing w:line="288" w:lineRule="auto"/>
        <w:ind w:firstLine="482" w:firstLineChars="200"/>
        <w:rPr>
          <w:b/>
          <w:sz w:val="24"/>
          <w:szCs w:val="24"/>
        </w:rPr>
      </w:pPr>
      <w:r>
        <w:rPr>
          <w:b/>
          <w:sz w:val="24"/>
          <w:szCs w:val="24"/>
        </w:rPr>
        <w:t>二</w:t>
      </w:r>
      <w:r>
        <w:rPr>
          <w:rFonts w:hint="eastAsia"/>
          <w:b/>
          <w:sz w:val="24"/>
          <w:szCs w:val="24"/>
        </w:rPr>
        <w:t>、</w:t>
      </w:r>
      <w:r>
        <w:rPr>
          <w:b/>
          <w:sz w:val="24"/>
          <w:szCs w:val="24"/>
        </w:rPr>
        <w:t>发行数量</w:t>
      </w:r>
    </w:p>
    <w:p>
      <w:pPr>
        <w:widowControl/>
        <w:spacing w:line="288" w:lineRule="auto"/>
        <w:ind w:firstLine="480" w:firstLineChars="200"/>
        <w:rPr>
          <w:sz w:val="24"/>
        </w:rPr>
      </w:pPr>
    </w:p>
    <w:p>
      <w:pPr>
        <w:spacing w:line="288" w:lineRule="auto"/>
        <w:ind w:firstLine="482" w:firstLineChars="200"/>
        <w:rPr>
          <w:rFonts w:hint="eastAsia"/>
          <w:sz w:val="24"/>
        </w:rPr>
      </w:pPr>
      <w:r>
        <w:rPr>
          <w:rFonts w:hint="eastAsia"/>
          <w:b/>
          <w:sz w:val="24"/>
        </w:rPr>
        <w:t>原方案</w:t>
      </w:r>
      <w:r>
        <w:rPr>
          <w:rFonts w:hint="eastAsia"/>
          <w:sz w:val="24"/>
        </w:rPr>
        <w:t>：本次非公开发行股份数量不超过</w:t>
      </w:r>
      <w:r>
        <w:rPr>
          <w:rFonts w:hint="eastAsia"/>
          <w:sz w:val="24"/>
          <w:szCs w:val="24"/>
        </w:rPr>
        <w:t>3</w:t>
      </w:r>
      <w:r>
        <w:rPr>
          <w:sz w:val="24"/>
          <w:szCs w:val="24"/>
        </w:rPr>
        <w:t>6,284,470</w:t>
      </w:r>
      <w:r>
        <w:rPr>
          <w:rFonts w:hint="eastAsia"/>
          <w:sz w:val="24"/>
        </w:rPr>
        <w:t>股（含本数），不超过本次发行前公司总股本的30</w:t>
      </w:r>
      <w:r>
        <w:rPr>
          <w:sz w:val="24"/>
        </w:rPr>
        <w:t>%</w:t>
      </w:r>
      <w:r>
        <w:rPr>
          <w:rFonts w:hint="eastAsia"/>
          <w:sz w:val="24"/>
        </w:rPr>
        <w:t>，发行数量以中国证监会最终核准发行的股票数量为准。最终发行数量由董事会根据股东大会的授权、中国证监会相关规定与保荐人（主承销商）协商确定。</w:t>
      </w:r>
    </w:p>
    <w:p>
      <w:pPr>
        <w:spacing w:line="288" w:lineRule="auto"/>
        <w:ind w:firstLine="480" w:firstLineChars="200"/>
        <w:rPr>
          <w:sz w:val="24"/>
        </w:rPr>
      </w:pPr>
    </w:p>
    <w:p>
      <w:pPr>
        <w:spacing w:line="288" w:lineRule="auto"/>
        <w:ind w:firstLine="480" w:firstLineChars="200"/>
        <w:rPr>
          <w:sz w:val="24"/>
        </w:rPr>
      </w:pPr>
      <w:r>
        <w:rPr>
          <w:rFonts w:hint="eastAsia"/>
          <w:sz w:val="24"/>
        </w:rPr>
        <w:t>按照发行对象的拟认购金额及本次非公开发行价格计算，发行对象拟认购金额和认购股份数量如下：</w:t>
      </w:r>
    </w:p>
    <w:p>
      <w:pPr>
        <w:spacing w:line="288" w:lineRule="auto"/>
        <w:ind w:firstLine="480" w:firstLineChars="200"/>
        <w:rPr>
          <w:sz w:val="24"/>
        </w:rPr>
      </w:pPr>
    </w:p>
    <w:tbl>
      <w:tblPr>
        <w:tblStyle w:val="31"/>
        <w:tblW w:w="7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860"/>
        <w:gridCol w:w="2695"/>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5" w:type="dxa"/>
            <w:vAlign w:val="center"/>
          </w:tcPr>
          <w:p>
            <w:pPr>
              <w:widowControl/>
              <w:adjustRightInd w:val="0"/>
              <w:snapToGrid w:val="0"/>
              <w:spacing w:line="288" w:lineRule="auto"/>
              <w:jc w:val="center"/>
              <w:rPr>
                <w:b/>
                <w:kern w:val="0"/>
                <w:sz w:val="24"/>
                <w:szCs w:val="24"/>
              </w:rPr>
            </w:pPr>
            <w:r>
              <w:rPr>
                <w:b/>
                <w:kern w:val="0"/>
                <w:sz w:val="24"/>
                <w:szCs w:val="24"/>
              </w:rPr>
              <w:t>序号</w:t>
            </w:r>
          </w:p>
        </w:tc>
        <w:tc>
          <w:tcPr>
            <w:tcW w:w="1860" w:type="dxa"/>
            <w:vAlign w:val="center"/>
          </w:tcPr>
          <w:p>
            <w:pPr>
              <w:widowControl/>
              <w:adjustRightInd w:val="0"/>
              <w:snapToGrid w:val="0"/>
              <w:spacing w:line="288" w:lineRule="auto"/>
              <w:jc w:val="center"/>
              <w:rPr>
                <w:b/>
                <w:kern w:val="0"/>
                <w:sz w:val="24"/>
                <w:szCs w:val="24"/>
              </w:rPr>
            </w:pPr>
            <w:r>
              <w:rPr>
                <w:b/>
                <w:kern w:val="0"/>
                <w:sz w:val="24"/>
                <w:szCs w:val="24"/>
              </w:rPr>
              <w:t>发行对象</w:t>
            </w:r>
          </w:p>
        </w:tc>
        <w:tc>
          <w:tcPr>
            <w:tcW w:w="2695" w:type="dxa"/>
            <w:vAlign w:val="center"/>
          </w:tcPr>
          <w:p>
            <w:pPr>
              <w:widowControl/>
              <w:adjustRightInd w:val="0"/>
              <w:snapToGrid w:val="0"/>
              <w:spacing w:line="288" w:lineRule="auto"/>
              <w:jc w:val="center"/>
              <w:rPr>
                <w:b/>
                <w:kern w:val="0"/>
                <w:sz w:val="24"/>
                <w:szCs w:val="24"/>
              </w:rPr>
            </w:pPr>
            <w:r>
              <w:rPr>
                <w:b/>
                <w:kern w:val="0"/>
                <w:sz w:val="24"/>
                <w:szCs w:val="24"/>
              </w:rPr>
              <w:t>拟认购股份数量（股）</w:t>
            </w:r>
          </w:p>
        </w:tc>
        <w:tc>
          <w:tcPr>
            <w:tcW w:w="2598" w:type="dxa"/>
            <w:vAlign w:val="center"/>
          </w:tcPr>
          <w:p>
            <w:pPr>
              <w:widowControl/>
              <w:adjustRightInd w:val="0"/>
              <w:snapToGrid w:val="0"/>
              <w:spacing w:line="288" w:lineRule="auto"/>
              <w:jc w:val="center"/>
              <w:rPr>
                <w:b/>
                <w:kern w:val="0"/>
                <w:sz w:val="24"/>
                <w:szCs w:val="24"/>
              </w:rPr>
            </w:pPr>
            <w:r>
              <w:rPr>
                <w:b/>
                <w:kern w:val="0"/>
                <w:sz w:val="24"/>
                <w:szCs w:val="24"/>
              </w:rPr>
              <w:t>拟认购金额（万元）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5" w:type="dxa"/>
            <w:vAlign w:val="center"/>
          </w:tcPr>
          <w:p>
            <w:pPr>
              <w:widowControl/>
              <w:adjustRightInd w:val="0"/>
              <w:snapToGrid w:val="0"/>
              <w:spacing w:line="288" w:lineRule="auto"/>
              <w:jc w:val="center"/>
              <w:rPr>
                <w:kern w:val="0"/>
                <w:sz w:val="24"/>
                <w:szCs w:val="24"/>
              </w:rPr>
            </w:pPr>
            <w:r>
              <w:rPr>
                <w:kern w:val="0"/>
                <w:sz w:val="24"/>
                <w:szCs w:val="24"/>
              </w:rPr>
              <w:t>1</w:t>
            </w:r>
          </w:p>
        </w:tc>
        <w:tc>
          <w:tcPr>
            <w:tcW w:w="1860" w:type="dxa"/>
            <w:vAlign w:val="center"/>
          </w:tcPr>
          <w:p>
            <w:pPr>
              <w:widowControl/>
              <w:adjustRightInd w:val="0"/>
              <w:snapToGrid w:val="0"/>
              <w:spacing w:line="288" w:lineRule="auto"/>
              <w:jc w:val="center"/>
              <w:rPr>
                <w:kern w:val="0"/>
                <w:sz w:val="24"/>
                <w:szCs w:val="24"/>
              </w:rPr>
            </w:pPr>
            <w:r>
              <w:rPr>
                <w:kern w:val="0"/>
                <w:sz w:val="24"/>
                <w:szCs w:val="24"/>
              </w:rPr>
              <w:t>华鲁投资</w:t>
            </w:r>
          </w:p>
        </w:tc>
        <w:tc>
          <w:tcPr>
            <w:tcW w:w="2695" w:type="dxa"/>
            <w:vAlign w:val="center"/>
          </w:tcPr>
          <w:p>
            <w:pPr>
              <w:widowControl/>
              <w:adjustRightInd w:val="0"/>
              <w:snapToGrid w:val="0"/>
              <w:spacing w:line="288" w:lineRule="auto"/>
              <w:jc w:val="right"/>
              <w:rPr>
                <w:kern w:val="0"/>
                <w:sz w:val="24"/>
                <w:szCs w:val="24"/>
              </w:rPr>
            </w:pPr>
            <w:r>
              <w:rPr>
                <w:rFonts w:hint="eastAsia"/>
                <w:sz w:val="24"/>
                <w:szCs w:val="24"/>
              </w:rPr>
              <w:t>3</w:t>
            </w:r>
            <w:r>
              <w:rPr>
                <w:sz w:val="24"/>
                <w:szCs w:val="24"/>
              </w:rPr>
              <w:t>6,284,470</w:t>
            </w:r>
          </w:p>
        </w:tc>
        <w:tc>
          <w:tcPr>
            <w:tcW w:w="2598" w:type="dxa"/>
            <w:vAlign w:val="center"/>
          </w:tcPr>
          <w:p>
            <w:pPr>
              <w:widowControl/>
              <w:adjustRightInd w:val="0"/>
              <w:snapToGrid w:val="0"/>
              <w:spacing w:line="288" w:lineRule="auto"/>
              <w:jc w:val="right"/>
              <w:rPr>
                <w:kern w:val="0"/>
                <w:sz w:val="24"/>
                <w:szCs w:val="24"/>
              </w:rPr>
            </w:pPr>
            <w:r>
              <w:rPr>
                <w:kern w:val="0"/>
                <w:sz w:val="24"/>
                <w:szCs w:val="24"/>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55" w:type="dxa"/>
            <w:gridSpan w:val="2"/>
            <w:vAlign w:val="center"/>
          </w:tcPr>
          <w:p>
            <w:pPr>
              <w:widowControl/>
              <w:adjustRightInd w:val="0"/>
              <w:snapToGrid w:val="0"/>
              <w:spacing w:line="288" w:lineRule="auto"/>
              <w:jc w:val="center"/>
              <w:rPr>
                <w:b/>
                <w:kern w:val="0"/>
                <w:sz w:val="24"/>
                <w:szCs w:val="24"/>
              </w:rPr>
            </w:pPr>
            <w:r>
              <w:rPr>
                <w:b/>
                <w:kern w:val="0"/>
                <w:sz w:val="24"/>
                <w:szCs w:val="24"/>
              </w:rPr>
              <w:t>合计</w:t>
            </w:r>
          </w:p>
        </w:tc>
        <w:tc>
          <w:tcPr>
            <w:tcW w:w="2695" w:type="dxa"/>
            <w:vAlign w:val="center"/>
          </w:tcPr>
          <w:p>
            <w:pPr>
              <w:widowControl/>
              <w:adjustRightInd w:val="0"/>
              <w:snapToGrid w:val="0"/>
              <w:spacing w:line="288" w:lineRule="auto"/>
              <w:jc w:val="right"/>
              <w:rPr>
                <w:b/>
                <w:bCs/>
                <w:kern w:val="0"/>
                <w:sz w:val="24"/>
                <w:szCs w:val="24"/>
              </w:rPr>
            </w:pPr>
            <w:r>
              <w:rPr>
                <w:rFonts w:hint="eastAsia"/>
                <w:b/>
                <w:bCs/>
                <w:sz w:val="24"/>
                <w:szCs w:val="24"/>
              </w:rPr>
              <w:t>3</w:t>
            </w:r>
            <w:r>
              <w:rPr>
                <w:b/>
                <w:bCs/>
                <w:sz w:val="24"/>
                <w:szCs w:val="24"/>
              </w:rPr>
              <w:t>6,284,470</w:t>
            </w:r>
          </w:p>
        </w:tc>
        <w:tc>
          <w:tcPr>
            <w:tcW w:w="2598" w:type="dxa"/>
            <w:vAlign w:val="center"/>
          </w:tcPr>
          <w:p>
            <w:pPr>
              <w:widowControl/>
              <w:adjustRightInd w:val="0"/>
              <w:snapToGrid w:val="0"/>
              <w:spacing w:line="288" w:lineRule="auto"/>
              <w:jc w:val="right"/>
              <w:rPr>
                <w:b/>
                <w:bCs/>
                <w:kern w:val="0"/>
                <w:sz w:val="24"/>
                <w:szCs w:val="24"/>
              </w:rPr>
            </w:pPr>
            <w:r>
              <w:rPr>
                <w:b/>
                <w:bCs/>
                <w:kern w:val="0"/>
                <w:sz w:val="24"/>
                <w:szCs w:val="24"/>
              </w:rPr>
              <w:t>25,000</w:t>
            </w:r>
          </w:p>
        </w:tc>
      </w:tr>
    </w:tbl>
    <w:p>
      <w:pPr>
        <w:spacing w:line="288" w:lineRule="auto"/>
        <w:ind w:left="141" w:leftChars="67" w:right="225" w:rightChars="107" w:firstLine="480" w:firstLineChars="200"/>
        <w:rPr>
          <w:sz w:val="24"/>
        </w:rPr>
      </w:pPr>
      <w:r>
        <w:rPr>
          <w:sz w:val="24"/>
        </w:rPr>
        <w:t>注：认购数量=认购金额/发行价格，若根据公式计算的认购数量不足整股的，则向下取整股。</w:t>
      </w:r>
    </w:p>
    <w:p>
      <w:pPr>
        <w:spacing w:line="288" w:lineRule="auto"/>
        <w:ind w:firstLine="480" w:firstLineChars="200"/>
        <w:rPr>
          <w:sz w:val="24"/>
        </w:rPr>
      </w:pPr>
    </w:p>
    <w:p>
      <w:pPr>
        <w:spacing w:line="288" w:lineRule="auto"/>
        <w:ind w:firstLine="480" w:firstLineChars="200"/>
        <w:rPr>
          <w:sz w:val="24"/>
        </w:rPr>
      </w:pPr>
      <w:r>
        <w:rPr>
          <w:rFonts w:hint="eastAsia"/>
          <w:sz w:val="24"/>
        </w:rPr>
        <w:t>若公司A股股票在定价基准日至发行日期间发生派息、送股、资本公积转增股本、配股等除权、除息事项或因其他原因导致本次发行前公司总股本发生变动或本次发行价格发生调整的，则本次非公开发行的股票数量上限及发行对象拟认购的股份数量将进行相应调整。</w:t>
      </w:r>
    </w:p>
    <w:p>
      <w:pPr>
        <w:spacing w:line="288" w:lineRule="auto"/>
        <w:ind w:firstLine="480" w:firstLineChars="200"/>
        <w:rPr>
          <w:sz w:val="24"/>
        </w:rPr>
      </w:pPr>
    </w:p>
    <w:p>
      <w:pPr>
        <w:spacing w:line="288" w:lineRule="auto"/>
        <w:ind w:firstLine="480" w:firstLineChars="200"/>
        <w:rPr>
          <w:sz w:val="24"/>
        </w:rPr>
      </w:pPr>
      <w:r>
        <w:rPr>
          <w:rFonts w:hint="eastAsia"/>
          <w:sz w:val="24"/>
        </w:rPr>
        <w:t>若本次非公开发行的股份总数因法律法规或监管政策变化，或根据发行核准文件的要求予以调减，则在符合法律、行政法规及中国证监会相关规定的前提下，由公司董事会或其转授权人士根据股东大会的授权对发行对象的认购金额及认购股份数量进行相应调整。</w:t>
      </w:r>
    </w:p>
    <w:p>
      <w:pPr>
        <w:widowControl/>
        <w:spacing w:line="288" w:lineRule="auto"/>
        <w:ind w:firstLine="480" w:firstLineChars="200"/>
        <w:rPr>
          <w:rFonts w:hint="eastAsia"/>
          <w:sz w:val="24"/>
        </w:rPr>
      </w:pPr>
    </w:p>
    <w:p>
      <w:pPr>
        <w:spacing w:line="288" w:lineRule="auto"/>
        <w:ind w:firstLine="482" w:firstLineChars="200"/>
        <w:rPr>
          <w:rFonts w:hint="eastAsia"/>
          <w:sz w:val="24"/>
          <w:szCs w:val="24"/>
        </w:rPr>
      </w:pPr>
      <w:r>
        <w:rPr>
          <w:rFonts w:hint="eastAsia"/>
          <w:b/>
          <w:sz w:val="24"/>
        </w:rPr>
        <w:t>调整后方案</w:t>
      </w:r>
      <w:r>
        <w:rPr>
          <w:rFonts w:hint="eastAsia"/>
          <w:sz w:val="24"/>
        </w:rPr>
        <w:t>：本次非公开发行股份数量不超过</w:t>
      </w:r>
      <w:bookmarkStart w:id="0" w:name="_Hlk46332280"/>
      <w:r>
        <w:rPr>
          <w:sz w:val="24"/>
          <w:szCs w:val="24"/>
        </w:rPr>
        <w:t>37,091,988</w:t>
      </w:r>
      <w:r>
        <w:rPr>
          <w:rFonts w:hint="eastAsia"/>
          <w:sz w:val="24"/>
        </w:rPr>
        <w:t>股（含本数）</w:t>
      </w:r>
      <w:bookmarkEnd w:id="0"/>
      <w:r>
        <w:rPr>
          <w:rFonts w:hint="eastAsia"/>
          <w:sz w:val="24"/>
        </w:rPr>
        <w:t>，不超过本次发行前公司总股本的30</w:t>
      </w:r>
      <w:r>
        <w:rPr>
          <w:sz w:val="24"/>
        </w:rPr>
        <w:t>%</w:t>
      </w:r>
      <w:r>
        <w:rPr>
          <w:rFonts w:hint="eastAsia"/>
          <w:sz w:val="24"/>
        </w:rPr>
        <w:t>，发行数量以中国证监会最终核准发行的股票数量为准。最终发行数量由董事会根据股东大会的授权、中国证监会相关规定与保荐人（主承销商）协商确定。</w:t>
      </w:r>
    </w:p>
    <w:p>
      <w:pPr>
        <w:spacing w:line="288" w:lineRule="auto"/>
        <w:ind w:firstLine="480" w:firstLineChars="200"/>
        <w:rPr>
          <w:sz w:val="24"/>
        </w:rPr>
      </w:pPr>
    </w:p>
    <w:p>
      <w:pPr>
        <w:spacing w:line="288" w:lineRule="auto"/>
        <w:ind w:firstLine="480" w:firstLineChars="200"/>
        <w:rPr>
          <w:sz w:val="24"/>
        </w:rPr>
      </w:pPr>
      <w:r>
        <w:rPr>
          <w:rFonts w:hint="eastAsia"/>
          <w:sz w:val="24"/>
        </w:rPr>
        <w:t>按照发行对象的拟认购金额及本次非公开发行价格计算，发行对象拟认购金额和认购股份数量如下：</w:t>
      </w:r>
    </w:p>
    <w:p>
      <w:pPr>
        <w:spacing w:line="288" w:lineRule="auto"/>
        <w:ind w:firstLine="480" w:firstLineChars="200"/>
        <w:rPr>
          <w:sz w:val="24"/>
        </w:rPr>
      </w:pPr>
    </w:p>
    <w:tbl>
      <w:tblPr>
        <w:tblStyle w:val="31"/>
        <w:tblW w:w="7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860"/>
        <w:gridCol w:w="2695"/>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5" w:type="dxa"/>
            <w:vAlign w:val="center"/>
          </w:tcPr>
          <w:p>
            <w:pPr>
              <w:widowControl/>
              <w:adjustRightInd w:val="0"/>
              <w:snapToGrid w:val="0"/>
              <w:spacing w:line="288" w:lineRule="auto"/>
              <w:jc w:val="center"/>
              <w:rPr>
                <w:b/>
                <w:kern w:val="0"/>
                <w:sz w:val="24"/>
                <w:szCs w:val="24"/>
              </w:rPr>
            </w:pPr>
            <w:r>
              <w:rPr>
                <w:b/>
                <w:kern w:val="0"/>
                <w:sz w:val="24"/>
                <w:szCs w:val="24"/>
              </w:rPr>
              <w:t>序号</w:t>
            </w:r>
          </w:p>
        </w:tc>
        <w:tc>
          <w:tcPr>
            <w:tcW w:w="1860" w:type="dxa"/>
            <w:vAlign w:val="center"/>
          </w:tcPr>
          <w:p>
            <w:pPr>
              <w:widowControl/>
              <w:adjustRightInd w:val="0"/>
              <w:snapToGrid w:val="0"/>
              <w:spacing w:line="288" w:lineRule="auto"/>
              <w:jc w:val="center"/>
              <w:rPr>
                <w:b/>
                <w:kern w:val="0"/>
                <w:sz w:val="24"/>
                <w:szCs w:val="24"/>
              </w:rPr>
            </w:pPr>
            <w:r>
              <w:rPr>
                <w:b/>
                <w:kern w:val="0"/>
                <w:sz w:val="24"/>
                <w:szCs w:val="24"/>
              </w:rPr>
              <w:t>发行对象</w:t>
            </w:r>
          </w:p>
        </w:tc>
        <w:tc>
          <w:tcPr>
            <w:tcW w:w="2695" w:type="dxa"/>
            <w:vAlign w:val="center"/>
          </w:tcPr>
          <w:p>
            <w:pPr>
              <w:widowControl/>
              <w:adjustRightInd w:val="0"/>
              <w:snapToGrid w:val="0"/>
              <w:spacing w:line="288" w:lineRule="auto"/>
              <w:jc w:val="center"/>
              <w:rPr>
                <w:b/>
                <w:kern w:val="0"/>
                <w:sz w:val="24"/>
                <w:szCs w:val="24"/>
              </w:rPr>
            </w:pPr>
            <w:r>
              <w:rPr>
                <w:b/>
                <w:kern w:val="0"/>
                <w:sz w:val="24"/>
                <w:szCs w:val="24"/>
              </w:rPr>
              <w:t>拟认购股份数量（股）</w:t>
            </w:r>
          </w:p>
        </w:tc>
        <w:tc>
          <w:tcPr>
            <w:tcW w:w="2598" w:type="dxa"/>
            <w:vAlign w:val="center"/>
          </w:tcPr>
          <w:p>
            <w:pPr>
              <w:widowControl/>
              <w:adjustRightInd w:val="0"/>
              <w:snapToGrid w:val="0"/>
              <w:spacing w:line="288" w:lineRule="auto"/>
              <w:jc w:val="center"/>
              <w:rPr>
                <w:b/>
                <w:kern w:val="0"/>
                <w:sz w:val="24"/>
                <w:szCs w:val="24"/>
              </w:rPr>
            </w:pPr>
            <w:r>
              <w:rPr>
                <w:b/>
                <w:kern w:val="0"/>
                <w:sz w:val="24"/>
                <w:szCs w:val="24"/>
              </w:rPr>
              <w:t>拟认购金额（万元）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5" w:type="dxa"/>
            <w:vAlign w:val="center"/>
          </w:tcPr>
          <w:p>
            <w:pPr>
              <w:widowControl/>
              <w:adjustRightInd w:val="0"/>
              <w:snapToGrid w:val="0"/>
              <w:spacing w:line="288" w:lineRule="auto"/>
              <w:jc w:val="center"/>
              <w:rPr>
                <w:kern w:val="0"/>
                <w:sz w:val="24"/>
                <w:szCs w:val="24"/>
              </w:rPr>
            </w:pPr>
            <w:r>
              <w:rPr>
                <w:kern w:val="0"/>
                <w:sz w:val="24"/>
                <w:szCs w:val="24"/>
              </w:rPr>
              <w:t>1</w:t>
            </w:r>
          </w:p>
        </w:tc>
        <w:tc>
          <w:tcPr>
            <w:tcW w:w="1860" w:type="dxa"/>
            <w:vAlign w:val="center"/>
          </w:tcPr>
          <w:p>
            <w:pPr>
              <w:widowControl/>
              <w:adjustRightInd w:val="0"/>
              <w:snapToGrid w:val="0"/>
              <w:spacing w:line="288" w:lineRule="auto"/>
              <w:jc w:val="center"/>
              <w:rPr>
                <w:kern w:val="0"/>
                <w:sz w:val="24"/>
                <w:szCs w:val="24"/>
              </w:rPr>
            </w:pPr>
            <w:r>
              <w:rPr>
                <w:kern w:val="0"/>
                <w:sz w:val="24"/>
                <w:szCs w:val="24"/>
              </w:rPr>
              <w:t>华鲁投资</w:t>
            </w:r>
          </w:p>
        </w:tc>
        <w:tc>
          <w:tcPr>
            <w:tcW w:w="2695" w:type="dxa"/>
            <w:vAlign w:val="center"/>
          </w:tcPr>
          <w:p>
            <w:pPr>
              <w:widowControl/>
              <w:adjustRightInd w:val="0"/>
              <w:snapToGrid w:val="0"/>
              <w:spacing w:line="288" w:lineRule="auto"/>
              <w:jc w:val="right"/>
              <w:rPr>
                <w:kern w:val="0"/>
                <w:sz w:val="24"/>
                <w:szCs w:val="24"/>
              </w:rPr>
            </w:pPr>
            <w:r>
              <w:rPr>
                <w:sz w:val="24"/>
                <w:szCs w:val="24"/>
              </w:rPr>
              <w:t>37,091,988</w:t>
            </w:r>
          </w:p>
        </w:tc>
        <w:tc>
          <w:tcPr>
            <w:tcW w:w="2598" w:type="dxa"/>
            <w:vAlign w:val="center"/>
          </w:tcPr>
          <w:p>
            <w:pPr>
              <w:widowControl/>
              <w:adjustRightInd w:val="0"/>
              <w:snapToGrid w:val="0"/>
              <w:spacing w:line="288" w:lineRule="auto"/>
              <w:jc w:val="right"/>
              <w:rPr>
                <w:kern w:val="0"/>
                <w:sz w:val="24"/>
                <w:szCs w:val="24"/>
              </w:rPr>
            </w:pPr>
            <w:r>
              <w:rPr>
                <w:kern w:val="0"/>
                <w:sz w:val="24"/>
                <w:szCs w:val="24"/>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55" w:type="dxa"/>
            <w:gridSpan w:val="2"/>
            <w:vAlign w:val="center"/>
          </w:tcPr>
          <w:p>
            <w:pPr>
              <w:widowControl/>
              <w:adjustRightInd w:val="0"/>
              <w:snapToGrid w:val="0"/>
              <w:spacing w:line="288" w:lineRule="auto"/>
              <w:jc w:val="center"/>
              <w:rPr>
                <w:b/>
                <w:kern w:val="0"/>
                <w:sz w:val="24"/>
                <w:szCs w:val="24"/>
              </w:rPr>
            </w:pPr>
            <w:r>
              <w:rPr>
                <w:b/>
                <w:kern w:val="0"/>
                <w:sz w:val="24"/>
                <w:szCs w:val="24"/>
              </w:rPr>
              <w:t>合计</w:t>
            </w:r>
          </w:p>
        </w:tc>
        <w:tc>
          <w:tcPr>
            <w:tcW w:w="2695" w:type="dxa"/>
            <w:vAlign w:val="center"/>
          </w:tcPr>
          <w:p>
            <w:pPr>
              <w:widowControl/>
              <w:adjustRightInd w:val="0"/>
              <w:snapToGrid w:val="0"/>
              <w:spacing w:line="288" w:lineRule="auto"/>
              <w:jc w:val="right"/>
              <w:rPr>
                <w:b/>
                <w:bCs/>
                <w:kern w:val="0"/>
                <w:sz w:val="24"/>
                <w:szCs w:val="24"/>
              </w:rPr>
            </w:pPr>
            <w:r>
              <w:rPr>
                <w:sz w:val="24"/>
                <w:szCs w:val="24"/>
              </w:rPr>
              <w:t>37,091,988</w:t>
            </w:r>
          </w:p>
        </w:tc>
        <w:tc>
          <w:tcPr>
            <w:tcW w:w="2598" w:type="dxa"/>
            <w:vAlign w:val="center"/>
          </w:tcPr>
          <w:p>
            <w:pPr>
              <w:widowControl/>
              <w:adjustRightInd w:val="0"/>
              <w:snapToGrid w:val="0"/>
              <w:spacing w:line="288" w:lineRule="auto"/>
              <w:jc w:val="right"/>
              <w:rPr>
                <w:b/>
                <w:bCs/>
                <w:kern w:val="0"/>
                <w:sz w:val="24"/>
                <w:szCs w:val="24"/>
              </w:rPr>
            </w:pPr>
            <w:r>
              <w:rPr>
                <w:b/>
                <w:bCs/>
                <w:kern w:val="0"/>
                <w:sz w:val="24"/>
                <w:szCs w:val="24"/>
              </w:rPr>
              <w:t>25,000</w:t>
            </w:r>
          </w:p>
        </w:tc>
      </w:tr>
    </w:tbl>
    <w:p>
      <w:pPr>
        <w:spacing w:line="288" w:lineRule="auto"/>
        <w:ind w:left="141" w:leftChars="67" w:right="225" w:rightChars="107" w:firstLine="480" w:firstLineChars="200"/>
        <w:rPr>
          <w:sz w:val="24"/>
        </w:rPr>
      </w:pPr>
      <w:r>
        <w:rPr>
          <w:sz w:val="24"/>
        </w:rPr>
        <w:t>注：认购数量=认购金额/发行价格，若根据公式计算的认购数量不足整股的，则向下取整股。</w:t>
      </w:r>
    </w:p>
    <w:p>
      <w:pPr>
        <w:spacing w:line="288" w:lineRule="auto"/>
        <w:ind w:firstLine="480" w:firstLineChars="200"/>
        <w:rPr>
          <w:sz w:val="24"/>
        </w:rPr>
      </w:pPr>
    </w:p>
    <w:p>
      <w:pPr>
        <w:spacing w:line="288" w:lineRule="auto"/>
        <w:ind w:firstLine="480" w:firstLineChars="200"/>
        <w:rPr>
          <w:sz w:val="24"/>
        </w:rPr>
      </w:pPr>
      <w:r>
        <w:rPr>
          <w:rFonts w:hint="eastAsia"/>
          <w:sz w:val="24"/>
        </w:rPr>
        <w:t>若公司A股股票在定价基准日至发行日期间发生派息、送股、资本公积转增股本、配股等除权、除息事项或因其他原因导致本次发行前公司总股本发生变动或本次发行价格发生调整的，则本次非公开发行的股票数量上限及发行对象拟认购的股份数量将进行相应调整。</w:t>
      </w:r>
    </w:p>
    <w:p>
      <w:pPr>
        <w:spacing w:line="288" w:lineRule="auto"/>
        <w:rPr>
          <w:sz w:val="24"/>
        </w:rPr>
      </w:pPr>
    </w:p>
    <w:p>
      <w:pPr>
        <w:spacing w:line="288" w:lineRule="auto"/>
        <w:ind w:firstLine="480" w:firstLineChars="200"/>
        <w:rPr>
          <w:rFonts w:hint="eastAsia"/>
          <w:sz w:val="24"/>
        </w:rPr>
      </w:pPr>
      <w:r>
        <w:rPr>
          <w:rFonts w:hint="eastAsia"/>
          <w:sz w:val="24"/>
        </w:rPr>
        <w:t>若本次非公开发行的股份总数因法律法规或监管政策变化，或根据发行核准文件的要求予以调减，则在符合法律、行政法规及中国证监会相关规定的前提下，由公司董事会或其转授权人士根据股东大会的授权对发行对象的认购金额及认购股份数量进行相应调整。</w:t>
      </w:r>
    </w:p>
    <w:p>
      <w:pPr>
        <w:widowControl/>
        <w:spacing w:line="288" w:lineRule="auto"/>
        <w:ind w:firstLine="480" w:firstLineChars="200"/>
        <w:rPr>
          <w:sz w:val="24"/>
        </w:rPr>
      </w:pPr>
    </w:p>
    <w:p>
      <w:pPr>
        <w:widowControl/>
        <w:spacing w:line="288" w:lineRule="auto"/>
        <w:ind w:firstLine="480" w:firstLineChars="200"/>
        <w:rPr>
          <w:sz w:val="24"/>
        </w:rPr>
      </w:pPr>
      <w:r>
        <w:rPr>
          <w:rFonts w:hint="eastAsia"/>
          <w:sz w:val="24"/>
        </w:rPr>
        <w:t>除上述调整外，公司本次非公开发行的其他事项均无变化。</w:t>
      </w:r>
      <w:r>
        <w:rPr>
          <w:sz w:val="24"/>
        </w:rPr>
        <w:cr/>
      </w:r>
    </w:p>
    <w:p>
      <w:pPr>
        <w:widowControl/>
        <w:spacing w:line="288" w:lineRule="auto"/>
        <w:ind w:firstLine="480" w:firstLineChars="200"/>
        <w:rPr>
          <w:rFonts w:hint="eastAsia"/>
          <w:sz w:val="24"/>
        </w:rPr>
      </w:pPr>
      <w:r>
        <w:rPr>
          <w:sz w:val="24"/>
        </w:rPr>
        <w:t>特此公告</w:t>
      </w:r>
      <w:r>
        <w:rPr>
          <w:rFonts w:hint="eastAsia"/>
          <w:sz w:val="24"/>
        </w:rPr>
        <w:t>！</w:t>
      </w:r>
    </w:p>
    <w:p>
      <w:pPr>
        <w:widowControl/>
        <w:spacing w:line="288" w:lineRule="auto"/>
        <w:ind w:firstLine="480" w:firstLineChars="200"/>
        <w:jc w:val="right"/>
        <w:rPr>
          <w:sz w:val="24"/>
        </w:rPr>
      </w:pPr>
    </w:p>
    <w:p>
      <w:pPr>
        <w:widowControl/>
        <w:spacing w:line="288" w:lineRule="auto"/>
        <w:ind w:firstLine="480" w:firstLineChars="200"/>
        <w:jc w:val="right"/>
        <w:rPr>
          <w:sz w:val="24"/>
        </w:rPr>
      </w:pPr>
    </w:p>
    <w:p>
      <w:pPr>
        <w:widowControl/>
        <w:spacing w:line="288" w:lineRule="auto"/>
        <w:ind w:firstLine="480" w:firstLineChars="200"/>
        <w:jc w:val="right"/>
        <w:rPr>
          <w:sz w:val="24"/>
        </w:rPr>
      </w:pPr>
      <w:r>
        <w:rPr>
          <w:sz w:val="24"/>
        </w:rPr>
        <w:t>山东新华制药股份有限公司董事会</w:t>
      </w:r>
    </w:p>
    <w:p>
      <w:pPr>
        <w:widowControl/>
        <w:spacing w:line="288" w:lineRule="auto"/>
        <w:jc w:val="both"/>
        <w:rPr>
          <w:rFonts w:hint="eastAsia"/>
          <w:sz w:val="24"/>
        </w:rPr>
      </w:pPr>
      <w:r>
        <w:rPr>
          <w:rFonts w:hint="eastAsia"/>
          <w:sz w:val="24"/>
          <w:lang w:val="en-US" w:eastAsia="zh-CN"/>
        </w:rPr>
        <w:t xml:space="preserve">                                                     2021</w:t>
      </w:r>
      <w:r>
        <w:rPr>
          <w:rFonts w:hint="eastAsia"/>
          <w:sz w:val="24"/>
        </w:rPr>
        <w:t>年</w:t>
      </w:r>
      <w:r>
        <w:rPr>
          <w:rFonts w:hint="eastAsia"/>
          <w:sz w:val="24"/>
          <w:lang w:val="en-US" w:eastAsia="zh-CN"/>
        </w:rPr>
        <w:t>8</w:t>
      </w:r>
      <w:r>
        <w:rPr>
          <w:rFonts w:hint="eastAsia"/>
          <w:sz w:val="24"/>
        </w:rPr>
        <w:t>月</w:t>
      </w:r>
      <w:r>
        <w:rPr>
          <w:rFonts w:hint="eastAsia"/>
          <w:sz w:val="24"/>
          <w:lang w:val="en-US" w:eastAsia="zh-CN"/>
        </w:rPr>
        <w:t>13</w:t>
      </w:r>
      <w:r>
        <w:rPr>
          <w:rFonts w:hint="eastAsia"/>
          <w:sz w:val="24"/>
        </w:rPr>
        <w:t>日</w:t>
      </w:r>
    </w:p>
    <w:p>
      <w:pPr>
        <w:widowControl/>
        <w:spacing w:line="288" w:lineRule="auto"/>
        <w:jc w:val="center"/>
        <w:rPr>
          <w:rFonts w:ascii="Times New Roman" w:hAnsi="Times New Roman" w:eastAsia="宋体" w:cs="Times New Roman"/>
          <w:sz w:val="24"/>
          <w:szCs w:val="20"/>
        </w:rPr>
      </w:pPr>
    </w:p>
    <w:p>
      <w:pPr>
        <w:widowControl/>
        <w:spacing w:line="288" w:lineRule="auto"/>
        <w:jc w:val="both"/>
        <w:rPr>
          <w:sz w:val="24"/>
          <w:lang w:val="en-US"/>
        </w:rPr>
      </w:pPr>
      <w:r>
        <w:rPr>
          <w:rFonts w:ascii="Times New Roman" w:hAnsi="Times New Roman" w:eastAsia="宋体" w:cs="Times New Roman"/>
          <w:sz w:val="24"/>
          <w:szCs w:val="20"/>
        </w:rPr>
        <w:t>证券代码</w:t>
      </w:r>
      <w:r>
        <w:rPr>
          <w:rFonts w:hint="eastAsia" w:ascii="Times New Roman" w:hAnsi="Times New Roman" w:eastAsia="宋体" w:cs="Times New Roman"/>
          <w:sz w:val="24"/>
          <w:szCs w:val="20"/>
        </w:rPr>
        <w:t xml:space="preserve">：000756      </w:t>
      </w:r>
      <w:r>
        <w:rPr>
          <w:rFonts w:hint="eastAsia" w:ascii="Times New Roman" w:hAnsi="Times New Roman" w:eastAsia="宋体" w:cs="Times New Roman"/>
          <w:sz w:val="24"/>
          <w:szCs w:val="20"/>
          <w:lang w:val="en-US" w:eastAsia="zh-CN"/>
        </w:rPr>
        <w:t xml:space="preserve">     </w:t>
      </w:r>
      <w:r>
        <w:rPr>
          <w:rFonts w:hint="eastAsia" w:ascii="Times New Roman" w:hAnsi="Times New Roman" w:eastAsia="宋体" w:cs="Times New Roman"/>
          <w:sz w:val="24"/>
          <w:szCs w:val="20"/>
        </w:rPr>
        <w:t xml:space="preserve">  证券简称：新华制药     </w:t>
      </w:r>
      <w:r>
        <w:rPr>
          <w:rFonts w:hint="eastAsia" w:ascii="Times New Roman" w:hAnsi="Times New Roman" w:eastAsia="宋体" w:cs="Times New Roman"/>
          <w:sz w:val="24"/>
          <w:szCs w:val="20"/>
          <w:lang w:val="en-US" w:eastAsia="zh-CN"/>
        </w:rPr>
        <w:t xml:space="preserve">          </w:t>
      </w:r>
      <w:r>
        <w:rPr>
          <w:rFonts w:hint="eastAsia" w:ascii="Times New Roman" w:hAnsi="Times New Roman" w:eastAsia="宋体" w:cs="Times New Roman"/>
          <w:sz w:val="24"/>
          <w:szCs w:val="20"/>
        </w:rPr>
        <w:t>公告编号：</w:t>
      </w:r>
      <w:r>
        <w:rPr>
          <w:rFonts w:hint="eastAsia" w:ascii="Times New Roman" w:hAnsi="Times New Roman" w:eastAsia="宋体" w:cs="Times New Roman"/>
          <w:sz w:val="24"/>
          <w:szCs w:val="20"/>
          <w:lang w:val="en-US" w:eastAsia="zh-CN"/>
        </w:rPr>
        <w:t>2021-43</w:t>
      </w:r>
    </w:p>
    <w:p>
      <w:pPr>
        <w:widowControl/>
        <w:spacing w:line="288" w:lineRule="auto"/>
        <w:jc w:val="center"/>
        <w:outlineLvl w:val="0"/>
        <w:rPr>
          <w:rFonts w:ascii="Times New Roman" w:hAnsi="Times New Roman" w:eastAsia="宋体" w:cs="Times New Roman"/>
          <w:b/>
          <w:sz w:val="28"/>
          <w:szCs w:val="28"/>
        </w:rPr>
      </w:pPr>
    </w:p>
    <w:p>
      <w:pPr>
        <w:widowControl/>
        <w:spacing w:line="288" w:lineRule="auto"/>
        <w:jc w:val="center"/>
        <w:outlineLvl w:val="0"/>
        <w:rPr>
          <w:rFonts w:ascii="Times New Roman" w:hAnsi="Times New Roman" w:eastAsia="宋体" w:cs="Times New Roman"/>
          <w:sz w:val="28"/>
          <w:szCs w:val="28"/>
        </w:rPr>
      </w:pPr>
      <w:r>
        <w:rPr>
          <w:rFonts w:hint="eastAsia" w:ascii="Times New Roman" w:hAnsi="Times New Roman" w:eastAsia="宋体" w:cs="Times New Roman"/>
          <w:b/>
          <w:sz w:val="28"/>
          <w:szCs w:val="28"/>
        </w:rPr>
        <w:t>山东新华制药股份有限公司</w:t>
      </w:r>
    </w:p>
    <w:p>
      <w:pPr>
        <w:widowControl/>
        <w:spacing w:line="288" w:lineRule="auto"/>
        <w:jc w:val="center"/>
        <w:outlineLvl w:val="0"/>
        <w:rPr>
          <w:rFonts w:ascii="Times New Roman" w:hAnsi="Times New Roman" w:eastAsia="宋体" w:cs="Times New Roman"/>
          <w:sz w:val="28"/>
          <w:szCs w:val="28"/>
        </w:rPr>
      </w:pPr>
      <w:r>
        <w:rPr>
          <w:rFonts w:hint="eastAsia" w:ascii="Times New Roman" w:hAnsi="Times New Roman" w:eastAsia="宋体" w:cs="Times New Roman"/>
          <w:b/>
          <w:sz w:val="28"/>
          <w:szCs w:val="28"/>
        </w:rPr>
        <w:t>关于2</w:t>
      </w:r>
      <w:r>
        <w:rPr>
          <w:rFonts w:ascii="Times New Roman" w:hAnsi="Times New Roman" w:eastAsia="宋体" w:cs="Times New Roman"/>
          <w:b/>
          <w:sz w:val="28"/>
          <w:szCs w:val="28"/>
        </w:rPr>
        <w:t>021</w:t>
      </w:r>
      <w:r>
        <w:rPr>
          <w:rFonts w:hint="eastAsia" w:ascii="Times New Roman" w:hAnsi="Times New Roman" w:eastAsia="宋体" w:cs="Times New Roman"/>
          <w:b/>
          <w:sz w:val="28"/>
          <w:szCs w:val="28"/>
        </w:rPr>
        <w:t>年度非公开发行</w:t>
      </w:r>
      <w:r>
        <w:rPr>
          <w:rFonts w:ascii="Times New Roman" w:hAnsi="Times New Roman" w:eastAsia="宋体" w:cs="Times New Roman"/>
          <w:b/>
          <w:sz w:val="28"/>
          <w:szCs w:val="28"/>
        </w:rPr>
        <w:t>A</w:t>
      </w:r>
      <w:r>
        <w:rPr>
          <w:rFonts w:hint="eastAsia" w:ascii="Times New Roman" w:hAnsi="Times New Roman" w:eastAsia="宋体" w:cs="Times New Roman"/>
          <w:b/>
          <w:sz w:val="28"/>
          <w:szCs w:val="28"/>
        </w:rPr>
        <w:t>股股票预案修订情况说明的公告</w:t>
      </w:r>
    </w:p>
    <w:p>
      <w:pPr>
        <w:spacing w:line="360" w:lineRule="auto"/>
        <w:ind w:firstLine="482" w:firstLineChars="200"/>
        <w:rPr>
          <w:rFonts w:ascii="宋体" w:hAnsi="宋体" w:eastAsia="宋体"/>
          <w:b/>
          <w:sz w:val="24"/>
          <w:szCs w:val="24"/>
        </w:rPr>
      </w:pP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本公司及董事会全体成员保证信息披露内容的真实、准确、完整，没有虚假</w:t>
      </w:r>
      <w:r>
        <w:rPr>
          <w:rFonts w:ascii="宋体" w:hAnsi="宋体" w:eastAsia="宋体"/>
          <w:b/>
          <w:sz w:val="24"/>
          <w:szCs w:val="24"/>
        </w:rPr>
        <w:t xml:space="preserve"> 记载、误导性陈述或重大遗漏</w:t>
      </w:r>
      <w:r>
        <w:rPr>
          <w:rFonts w:hint="eastAsia" w:ascii="宋体" w:hAnsi="宋体" w:eastAsia="宋体"/>
          <w:b/>
          <w:sz w:val="24"/>
          <w:szCs w:val="24"/>
        </w:rPr>
        <w:t>。</w:t>
      </w:r>
    </w:p>
    <w:p>
      <w:pPr>
        <w:spacing w:line="360" w:lineRule="auto"/>
        <w:ind w:firstLine="482" w:firstLineChars="200"/>
        <w:rPr>
          <w:rFonts w:ascii="宋体" w:hAnsi="宋体" w:eastAsia="宋体"/>
          <w:b/>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山东新华制药股份有限公司（以下简称“公司”）于</w:t>
      </w:r>
      <w:r>
        <w:rPr>
          <w:rFonts w:ascii="Times New Roman" w:hAnsi="Times New Roman" w:eastAsia="宋体" w:cs="Times New Roman"/>
          <w:sz w:val="24"/>
          <w:szCs w:val="24"/>
        </w:rPr>
        <w:t>2021</w:t>
      </w:r>
      <w:r>
        <w:rPr>
          <w:rFonts w:hint="eastAsia" w:ascii="Times New Roman" w:hAnsi="Times New Roman" w:eastAsia="宋体" w:cs="Times New Roman"/>
          <w:sz w:val="24"/>
          <w:szCs w:val="24"/>
        </w:rPr>
        <w:t>年4月14日召开了第十届董事会2021年第二次临时会议和第十届监事会2021年第一次临时会议，分别审议通过了《关于公司非公开发行</w:t>
      </w:r>
      <w:r>
        <w:rPr>
          <w:rFonts w:ascii="Times New Roman" w:hAnsi="Times New Roman" w:eastAsia="宋体" w:cs="Times New Roman"/>
          <w:sz w:val="24"/>
          <w:szCs w:val="24"/>
        </w:rPr>
        <w:t>A</w:t>
      </w:r>
      <w:r>
        <w:rPr>
          <w:rFonts w:hint="eastAsia" w:ascii="Times New Roman" w:hAnsi="Times New Roman" w:eastAsia="宋体" w:cs="Times New Roman"/>
          <w:sz w:val="24"/>
          <w:szCs w:val="24"/>
        </w:rPr>
        <w:t>股股票预案的议案》、《山东新华制药股份有限公司</w:t>
      </w:r>
      <w:r>
        <w:rPr>
          <w:rFonts w:ascii="Times New Roman" w:hAnsi="Times New Roman" w:eastAsia="宋体" w:cs="Times New Roman"/>
          <w:sz w:val="24"/>
          <w:szCs w:val="24"/>
        </w:rPr>
        <w:t>2021年度非公开发行A股股票</w:t>
      </w:r>
      <w:r>
        <w:rPr>
          <w:rFonts w:hint="eastAsia" w:ascii="Times New Roman" w:hAnsi="Times New Roman" w:eastAsia="宋体" w:cs="Times New Roman"/>
          <w:sz w:val="24"/>
          <w:szCs w:val="24"/>
        </w:rPr>
        <w:t>预案》。</w:t>
      </w:r>
    </w:p>
    <w:p>
      <w:pPr>
        <w:spacing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2021年8月</w:t>
      </w:r>
      <w:r>
        <w:rPr>
          <w:rFonts w:hint="eastAsia" w:ascii="Times New Roman" w:hAnsi="Times New Roman" w:eastAsia="宋体" w:cs="Times New Roman"/>
          <w:sz w:val="24"/>
          <w:szCs w:val="24"/>
          <w:lang w:val="en-US" w:eastAsia="zh-CN"/>
        </w:rPr>
        <w:t>13</w:t>
      </w:r>
      <w:r>
        <w:rPr>
          <w:rFonts w:hint="eastAsia" w:ascii="Times New Roman" w:hAnsi="Times New Roman" w:eastAsia="宋体" w:cs="Times New Roman"/>
          <w:sz w:val="24"/>
          <w:szCs w:val="24"/>
        </w:rPr>
        <w:t>日，公司</w:t>
      </w:r>
      <w:r>
        <w:rPr>
          <w:rFonts w:hint="eastAsia" w:ascii="Times New Roman" w:hAnsi="Times New Roman" w:eastAsia="宋体" w:cs="Times New Roman"/>
          <w:sz w:val="24"/>
          <w:szCs w:val="24"/>
          <w:lang w:eastAsia="zh-CN"/>
        </w:rPr>
        <w:t>分别</w:t>
      </w:r>
      <w:r>
        <w:rPr>
          <w:rFonts w:hint="eastAsia" w:ascii="Times New Roman" w:hAnsi="Times New Roman" w:eastAsia="宋体" w:cs="Times New Roman"/>
          <w:sz w:val="24"/>
          <w:szCs w:val="24"/>
        </w:rPr>
        <w:t>召开第</w:t>
      </w:r>
      <w:r>
        <w:rPr>
          <w:rFonts w:hint="eastAsia" w:ascii="宋体" w:hAnsi="宋体" w:eastAsia="宋体" w:cs="Times New Roman"/>
          <w:sz w:val="24"/>
          <w:szCs w:val="24"/>
        </w:rPr>
        <w:t>十</w:t>
      </w:r>
      <w:r>
        <w:rPr>
          <w:rFonts w:hint="eastAsia" w:ascii="Times New Roman" w:hAnsi="Times New Roman" w:eastAsia="宋体" w:cs="Times New Roman"/>
          <w:sz w:val="24"/>
          <w:szCs w:val="24"/>
        </w:rPr>
        <w:t>届董事会2</w:t>
      </w:r>
      <w:r>
        <w:rPr>
          <w:rFonts w:ascii="Times New Roman" w:hAnsi="Times New Roman" w:eastAsia="宋体" w:cs="Times New Roman"/>
          <w:sz w:val="24"/>
          <w:szCs w:val="24"/>
        </w:rPr>
        <w:t>021</w:t>
      </w:r>
      <w:r>
        <w:rPr>
          <w:rFonts w:hint="eastAsia" w:ascii="Times New Roman" w:hAnsi="Times New Roman" w:eastAsia="宋体" w:cs="Times New Roman"/>
          <w:sz w:val="24"/>
          <w:szCs w:val="24"/>
        </w:rPr>
        <w:t>年第</w:t>
      </w:r>
      <w:r>
        <w:rPr>
          <w:rFonts w:hint="eastAsia" w:ascii="宋体" w:hAnsi="宋体" w:eastAsia="宋体" w:cs="Times New Roman"/>
          <w:sz w:val="24"/>
          <w:szCs w:val="24"/>
        </w:rPr>
        <w:t>三</w:t>
      </w:r>
      <w:r>
        <w:rPr>
          <w:rFonts w:hint="eastAsia" w:ascii="Times New Roman" w:hAnsi="Times New Roman" w:eastAsia="宋体" w:cs="Times New Roman"/>
          <w:sz w:val="24"/>
          <w:szCs w:val="24"/>
        </w:rPr>
        <w:t>次临时会议</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第十届监事会2021年第</w:t>
      </w:r>
      <w:r>
        <w:rPr>
          <w:rFonts w:hint="eastAsia" w:ascii="Times New Roman" w:hAnsi="Times New Roman" w:eastAsia="宋体" w:cs="Times New Roman"/>
          <w:sz w:val="24"/>
          <w:szCs w:val="24"/>
          <w:lang w:eastAsia="zh-CN"/>
        </w:rPr>
        <w:t>二</w:t>
      </w:r>
      <w:r>
        <w:rPr>
          <w:rFonts w:hint="eastAsia" w:ascii="Times New Roman" w:hAnsi="Times New Roman" w:eastAsia="宋体" w:cs="Times New Roman"/>
          <w:sz w:val="24"/>
          <w:szCs w:val="24"/>
        </w:rPr>
        <w:t>次临时会议，审议通过了《关于公司2021年度非公开发行A股股票预案（修订稿）的议案》，现就主要修订情况说明如下：</w:t>
      </w:r>
    </w:p>
    <w:tbl>
      <w:tblPr>
        <w:tblStyle w:val="31"/>
        <w:tblW w:w="1080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1755"/>
        <w:gridCol w:w="3888"/>
        <w:gridCol w:w="51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tblHeader/>
          <w:jc w:val="center"/>
        </w:trPr>
        <w:tc>
          <w:tcPr>
            <w:tcW w:w="1755" w:type="dxa"/>
            <w:shd w:val="clear" w:color="auto" w:fill="auto"/>
            <w:tcMar>
              <w:top w:w="45" w:type="dxa"/>
              <w:left w:w="120" w:type="dxa"/>
              <w:bottom w:w="45" w:type="dxa"/>
              <w:right w:w="120" w:type="dxa"/>
            </w:tcMar>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预案章节</w:t>
            </w:r>
          </w:p>
        </w:tc>
        <w:tc>
          <w:tcPr>
            <w:tcW w:w="3888" w:type="dxa"/>
            <w:shd w:val="clear" w:color="auto" w:fill="auto"/>
            <w:tcMar>
              <w:top w:w="45" w:type="dxa"/>
              <w:left w:w="120" w:type="dxa"/>
              <w:bottom w:w="45" w:type="dxa"/>
              <w:right w:w="120" w:type="dxa"/>
            </w:tcMar>
            <w:vAlign w:val="center"/>
          </w:tcPr>
          <w:p>
            <w:pPr>
              <w:widowControl/>
              <w:wordWrap w:val="0"/>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章节内容</w:t>
            </w:r>
          </w:p>
        </w:tc>
        <w:tc>
          <w:tcPr>
            <w:tcW w:w="5158" w:type="dxa"/>
            <w:shd w:val="clear" w:color="auto" w:fill="auto"/>
            <w:tcMar>
              <w:top w:w="45" w:type="dxa"/>
              <w:left w:w="120" w:type="dxa"/>
              <w:bottom w:w="45" w:type="dxa"/>
              <w:right w:w="120" w:type="dxa"/>
            </w:tcMar>
            <w:vAlign w:val="center"/>
          </w:tcPr>
          <w:p>
            <w:pPr>
              <w:widowControl/>
              <w:wordWrap w:val="0"/>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主要修订内容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755"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特别提示</w:t>
            </w:r>
          </w:p>
        </w:tc>
        <w:tc>
          <w:tcPr>
            <w:tcW w:w="388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特别提示</w:t>
            </w:r>
          </w:p>
        </w:tc>
        <w:tc>
          <w:tcPr>
            <w:tcW w:w="515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ascii="宋体" w:hAnsi="宋体" w:eastAsia="宋体" w:cs="宋体"/>
                <w:color w:val="000000"/>
                <w:kern w:val="0"/>
                <w:szCs w:val="21"/>
              </w:rPr>
              <w:t>更新了本次非公开发行已履行的决策程序；调整了本次非公开发行股票的发行</w:t>
            </w:r>
            <w:r>
              <w:rPr>
                <w:rFonts w:hint="eastAsia" w:ascii="宋体" w:hAnsi="宋体" w:eastAsia="宋体" w:cs="宋体"/>
                <w:color w:val="000000"/>
                <w:kern w:val="0"/>
                <w:szCs w:val="21"/>
              </w:rPr>
              <w:t>价格及发行股数。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755" w:type="dxa"/>
            <w:vMerge w:val="restart"/>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第一节 本次非公开发行股票方案概要</w:t>
            </w:r>
          </w:p>
        </w:tc>
        <w:tc>
          <w:tcPr>
            <w:tcW w:w="388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四、本次非公开发行方案概要</w:t>
            </w:r>
          </w:p>
        </w:tc>
        <w:tc>
          <w:tcPr>
            <w:tcW w:w="515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ascii="宋体" w:hAnsi="宋体" w:eastAsia="宋体" w:cs="宋体"/>
                <w:color w:val="000000"/>
                <w:kern w:val="0"/>
                <w:szCs w:val="21"/>
              </w:rPr>
              <w:t>调整了本次非公开发行股票的发行</w:t>
            </w:r>
            <w:r>
              <w:rPr>
                <w:rFonts w:hint="eastAsia" w:ascii="宋体" w:hAnsi="宋体" w:eastAsia="宋体" w:cs="宋体"/>
                <w:color w:val="000000"/>
                <w:kern w:val="0"/>
                <w:szCs w:val="21"/>
              </w:rPr>
              <w:t>价格及发行数量；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755" w:type="dxa"/>
            <w:vMerge w:val="continue"/>
            <w:shd w:val="clear" w:color="auto" w:fill="auto"/>
            <w:vAlign w:val="center"/>
          </w:tcPr>
          <w:p>
            <w:pPr>
              <w:widowControl/>
              <w:jc w:val="left"/>
              <w:rPr>
                <w:rFonts w:ascii="宋体" w:hAnsi="宋体" w:eastAsia="宋体" w:cs="宋体"/>
                <w:color w:val="000000"/>
                <w:kern w:val="0"/>
                <w:szCs w:val="21"/>
              </w:rPr>
            </w:pPr>
          </w:p>
        </w:tc>
        <w:tc>
          <w:tcPr>
            <w:tcW w:w="388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七、本次发行是否导致公司控制权发生变化</w:t>
            </w:r>
          </w:p>
        </w:tc>
        <w:tc>
          <w:tcPr>
            <w:tcW w:w="515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ascii="宋体" w:hAnsi="宋体" w:eastAsia="宋体" w:cs="宋体"/>
                <w:color w:val="000000"/>
                <w:kern w:val="0"/>
                <w:szCs w:val="21"/>
              </w:rPr>
              <w:t>更新了发行</w:t>
            </w:r>
            <w:r>
              <w:rPr>
                <w:rFonts w:hint="eastAsia" w:ascii="宋体" w:hAnsi="宋体" w:eastAsia="宋体" w:cs="宋体"/>
                <w:color w:val="000000"/>
                <w:kern w:val="0"/>
                <w:szCs w:val="21"/>
              </w:rPr>
              <w:t>前后控股股东</w:t>
            </w:r>
            <w:r>
              <w:rPr>
                <w:rFonts w:ascii="宋体" w:hAnsi="宋体" w:eastAsia="宋体" w:cs="宋体"/>
                <w:color w:val="000000"/>
                <w:kern w:val="0"/>
                <w:szCs w:val="21"/>
              </w:rPr>
              <w:t>的持股比例情况</w:t>
            </w:r>
            <w:r>
              <w:rPr>
                <w:rFonts w:hint="eastAsia" w:ascii="宋体" w:hAnsi="宋体" w:eastAsia="宋体" w:cs="宋体"/>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755" w:type="dxa"/>
            <w:vMerge w:val="continue"/>
            <w:shd w:val="clear" w:color="auto" w:fill="auto"/>
            <w:vAlign w:val="center"/>
          </w:tcPr>
          <w:p>
            <w:pPr>
              <w:widowControl/>
              <w:jc w:val="left"/>
              <w:rPr>
                <w:rFonts w:ascii="宋体" w:hAnsi="宋体" w:eastAsia="宋体" w:cs="宋体"/>
                <w:color w:val="000000"/>
                <w:kern w:val="0"/>
                <w:szCs w:val="21"/>
              </w:rPr>
            </w:pPr>
          </w:p>
        </w:tc>
        <w:tc>
          <w:tcPr>
            <w:tcW w:w="388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bookmarkStart w:id="1" w:name="_Toc67935156"/>
            <w:r>
              <w:rPr>
                <w:rFonts w:hint="eastAsia" w:ascii="宋体" w:hAnsi="宋体" w:eastAsia="宋体" w:cs="宋体"/>
                <w:color w:val="000000"/>
                <w:kern w:val="0"/>
                <w:szCs w:val="21"/>
              </w:rPr>
              <w:t>八、本次发行方案已经取得有关主管部门批准的情况以及尚需呈报批准的程序</w:t>
            </w:r>
            <w:bookmarkEnd w:id="1"/>
          </w:p>
        </w:tc>
        <w:tc>
          <w:tcPr>
            <w:tcW w:w="515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修改了本次发行取得批准的情况及尚需呈报批准的程序。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755"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第二节 发行对象基本情况</w:t>
            </w:r>
          </w:p>
        </w:tc>
        <w:tc>
          <w:tcPr>
            <w:tcW w:w="388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九、关于豁免华鲁控股要约收购的说明</w:t>
            </w:r>
          </w:p>
        </w:tc>
        <w:tc>
          <w:tcPr>
            <w:tcW w:w="515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修改了发行后发行对象及控股股东的持股比例情况及审批程序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755"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第三节 附条件生效的股份认购合同摘要</w:t>
            </w:r>
          </w:p>
        </w:tc>
        <w:tc>
          <w:tcPr>
            <w:tcW w:w="388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bookmarkStart w:id="2" w:name="_Toc79406448"/>
            <w:r>
              <w:rPr>
                <w:rFonts w:hint="eastAsia" w:ascii="宋体" w:hAnsi="宋体" w:eastAsia="宋体" w:cs="宋体"/>
                <w:color w:val="000000"/>
                <w:kern w:val="0"/>
                <w:szCs w:val="21"/>
              </w:rPr>
              <w:t>二、附条件生效的股份认购合同之补充合同摘要</w:t>
            </w:r>
            <w:bookmarkEnd w:id="2"/>
          </w:p>
        </w:tc>
        <w:tc>
          <w:tcPr>
            <w:tcW w:w="515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增加了附条件生效的股份认购合同之补充合同摘要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755"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第七节 摊薄即期回报的风险及采取的措施</w:t>
            </w:r>
          </w:p>
        </w:tc>
        <w:tc>
          <w:tcPr>
            <w:tcW w:w="388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bookmarkStart w:id="3" w:name="_Toc67935191"/>
            <w:r>
              <w:rPr>
                <w:rFonts w:ascii="宋体" w:hAnsi="宋体" w:eastAsia="宋体" w:cs="宋体"/>
                <w:color w:val="000000"/>
                <w:kern w:val="0"/>
                <w:szCs w:val="21"/>
              </w:rPr>
              <w:t>一、本次非公开发行摊薄即期收益的风险及对公司主要财务指标的影响分析</w:t>
            </w:r>
            <w:bookmarkEnd w:id="3"/>
          </w:p>
        </w:tc>
        <w:tc>
          <w:tcPr>
            <w:tcW w:w="5158" w:type="dxa"/>
            <w:shd w:val="clear" w:color="auto" w:fill="auto"/>
            <w:tcMar>
              <w:top w:w="60" w:type="dxa"/>
              <w:left w:w="120" w:type="dxa"/>
              <w:bottom w:w="60" w:type="dxa"/>
              <w:right w:w="60" w:type="dxa"/>
            </w:tcMar>
            <w:vAlign w:val="center"/>
          </w:tcPr>
          <w:p>
            <w:pPr>
              <w:widowControl/>
              <w:wordWrap w:val="0"/>
              <w:spacing w:line="33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更新了发行数量及本次非公开发行</w:t>
            </w:r>
            <w:r>
              <w:rPr>
                <w:rFonts w:ascii="宋体" w:hAnsi="宋体" w:eastAsia="宋体" w:cs="宋体"/>
                <w:color w:val="000000"/>
                <w:kern w:val="0"/>
                <w:szCs w:val="21"/>
              </w:rPr>
              <w:t>对公司主要财务指标的影响</w:t>
            </w:r>
          </w:p>
        </w:tc>
      </w:tr>
    </w:tbl>
    <w:p>
      <w:pPr>
        <w:spacing w:before="156" w:before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本次修订的具体内容请参阅公司同日披露于巨潮资讯网的《山东新华制药股份有限公司</w:t>
      </w:r>
      <w:r>
        <w:rPr>
          <w:rFonts w:ascii="Times New Roman" w:hAnsi="Times New Roman" w:eastAsia="宋体" w:cs="Times New Roman"/>
          <w:sz w:val="24"/>
          <w:szCs w:val="24"/>
        </w:rPr>
        <w:t>2021年度非公开发行</w:t>
      </w:r>
      <w:r>
        <w:rPr>
          <w:rFonts w:hint="eastAsia" w:ascii="Times New Roman" w:hAnsi="Times New Roman" w:eastAsia="宋体" w:cs="Times New Roman"/>
          <w:sz w:val="24"/>
          <w:szCs w:val="24"/>
        </w:rPr>
        <w:t>A股</w:t>
      </w:r>
      <w:r>
        <w:rPr>
          <w:rFonts w:ascii="Times New Roman" w:hAnsi="Times New Roman" w:eastAsia="宋体" w:cs="Times New Roman"/>
          <w:sz w:val="24"/>
          <w:szCs w:val="24"/>
        </w:rPr>
        <w:t>股票预案（修订稿）》。</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特此公告</w:t>
      </w:r>
      <w:r>
        <w:rPr>
          <w:rFonts w:hint="eastAsia" w:ascii="Times New Roman" w:hAnsi="Times New Roman" w:eastAsia="宋体" w:cs="Times New Roman"/>
          <w:sz w:val="24"/>
          <w:szCs w:val="24"/>
          <w:lang w:eastAsia="zh-CN"/>
        </w:rPr>
        <w:t>！</w:t>
      </w:r>
    </w:p>
    <w:p>
      <w:pPr>
        <w:spacing w:line="360" w:lineRule="auto"/>
        <w:ind w:firstLine="480" w:firstLineChars="200"/>
        <w:rPr>
          <w:rFonts w:hint="eastAsia" w:ascii="Times New Roman" w:hAnsi="Times New Roman" w:eastAsia="宋体" w:cs="Times New Roman"/>
          <w:sz w:val="24"/>
          <w:szCs w:val="24"/>
        </w:rPr>
      </w:pPr>
    </w:p>
    <w:p>
      <w:pPr>
        <w:spacing w:line="360" w:lineRule="auto"/>
        <w:ind w:firstLine="480" w:firstLineChars="200"/>
        <w:rPr>
          <w:rFonts w:hint="eastAsia" w:ascii="Times New Roman" w:hAnsi="Times New Roman" w:eastAsia="宋体" w:cs="Times New Roman"/>
          <w:sz w:val="24"/>
          <w:szCs w:val="24"/>
        </w:rPr>
      </w:pP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sz w:val="24"/>
          <w:szCs w:val="24"/>
        </w:rPr>
        <w:t>  </w:t>
      </w:r>
      <w:r>
        <w:rPr>
          <w:rFonts w:hint="eastAsia" w:ascii="Times New Roman" w:hAnsi="Times New Roman" w:eastAsia="宋体" w:cs="Times New Roman"/>
          <w:sz w:val="24"/>
          <w:szCs w:val="24"/>
        </w:rPr>
        <w:t>山东新华制药股份有限公司董事会</w:t>
      </w:r>
    </w:p>
    <w:p>
      <w:pPr>
        <w:pStyle w:val="2"/>
        <w:ind w:left="6480" w:leftChars="0" w:hanging="6480" w:hangingChars="270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w:t>
      </w:r>
      <w:r>
        <w:rPr>
          <w:rFonts w:hint="eastAsia" w:ascii="宋体" w:hAnsi="宋体" w:eastAsia="宋体" w:cs="Times New Roman"/>
          <w:sz w:val="24"/>
          <w:szCs w:val="24"/>
          <w:lang w:val="en-US" w:eastAsia="zh-CN"/>
        </w:rPr>
        <w:t xml:space="preserve">      </w:t>
      </w:r>
      <w:r>
        <w:rPr>
          <w:rFonts w:hint="eastAsia" w:ascii="Times New Roman" w:hAnsi="Times New Roman" w:eastAsia="宋体" w:cs="Times New Roman"/>
          <w:sz w:val="24"/>
          <w:szCs w:val="24"/>
        </w:rPr>
        <w:t>2021年8月</w:t>
      </w:r>
      <w:r>
        <w:rPr>
          <w:rFonts w:hint="eastAsia" w:ascii="Times New Roman" w:hAnsi="Times New Roman" w:eastAsia="宋体" w:cs="Times New Roman"/>
          <w:sz w:val="24"/>
          <w:szCs w:val="24"/>
          <w:lang w:val="en-US" w:eastAsia="zh-CN"/>
        </w:rPr>
        <w:t>13</w:t>
      </w:r>
      <w:r>
        <w:rPr>
          <w:rFonts w:hint="eastAsia" w:ascii="Times New Roman" w:hAnsi="Times New Roman" w:eastAsia="宋体" w:cs="Times New Roman"/>
          <w:sz w:val="24"/>
          <w:szCs w:val="24"/>
        </w:rPr>
        <w:t>日</w:t>
      </w: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rPr>
          <w:rFonts w:hint="eastAsia" w:ascii="Times New Roman" w:hAnsi="Times New Roman" w:eastAsia="宋体" w:cs="Times New Roman"/>
          <w:sz w:val="24"/>
          <w:szCs w:val="24"/>
        </w:rPr>
      </w:pPr>
    </w:p>
    <w:p>
      <w:pPr>
        <w:spacing w:line="360" w:lineRule="auto"/>
        <w:jc w:val="both"/>
        <w:rPr>
          <w:rFonts w:hint="eastAsia" w:ascii="Times New Roman" w:hAnsi="Times New Roman" w:eastAsia="宋体" w:cs="Times New Roman"/>
          <w:sz w:val="24"/>
          <w:szCs w:val="24"/>
        </w:rPr>
      </w:pPr>
    </w:p>
    <w:p>
      <w:pPr>
        <w:spacing w:line="360" w:lineRule="auto"/>
        <w:jc w:val="both"/>
        <w:rPr>
          <w:rFonts w:hint="eastAsia" w:ascii="Times New Roman" w:hAnsi="Times New Roman" w:eastAsia="宋体" w:cs="Times New Roman"/>
          <w:sz w:val="24"/>
          <w:szCs w:val="24"/>
        </w:rPr>
      </w:pPr>
    </w:p>
    <w:p>
      <w:pPr>
        <w:spacing w:line="360" w:lineRule="auto"/>
        <w:jc w:val="both"/>
        <w:rPr>
          <w:rFonts w:hint="eastAsia" w:ascii="Times New Roman" w:hAnsi="Times New Roman" w:eastAsia="宋体" w:cs="Times New Roman"/>
          <w:sz w:val="24"/>
          <w:szCs w:val="24"/>
        </w:rPr>
      </w:pPr>
    </w:p>
    <w:p>
      <w:pPr>
        <w:spacing w:line="360" w:lineRule="auto"/>
        <w:jc w:val="both"/>
        <w:rPr>
          <w:rFonts w:hint="eastAsia" w:ascii="Times New Roman" w:hAnsi="Times New Roman" w:eastAsia="宋体" w:cs="Times New Roman"/>
          <w:sz w:val="24"/>
          <w:szCs w:val="24"/>
        </w:rPr>
      </w:pPr>
    </w:p>
    <w:p>
      <w:pPr>
        <w:spacing w:line="360" w:lineRule="auto"/>
        <w:jc w:val="both"/>
        <w:rPr>
          <w:rFonts w:hint="eastAsia" w:ascii="Times New Roman" w:hAnsi="Times New Roman" w:eastAsia="宋体" w:cs="Times New Roman"/>
          <w:sz w:val="24"/>
          <w:szCs w:val="24"/>
        </w:rPr>
      </w:pPr>
    </w:p>
    <w:p>
      <w:pPr>
        <w:spacing w:line="360" w:lineRule="auto"/>
        <w:jc w:val="both"/>
        <w:rPr>
          <w:rFonts w:hint="eastAsia" w:ascii="Times New Roman" w:hAnsi="Times New Roman" w:eastAsia="宋体" w:cs="Times New Roman"/>
          <w:sz w:val="24"/>
          <w:szCs w:val="24"/>
        </w:rPr>
      </w:pPr>
    </w:p>
    <w:p>
      <w:pPr>
        <w:spacing w:line="360" w:lineRule="auto"/>
        <w:jc w:val="both"/>
        <w:rPr>
          <w:rFonts w:hint="eastAsia" w:ascii="Times New Roman" w:hAnsi="Times New Roman" w:eastAsia="宋体" w:cs="Times New Roman"/>
          <w:sz w:val="24"/>
          <w:szCs w:val="24"/>
        </w:rPr>
      </w:pPr>
    </w:p>
    <w:p>
      <w:pPr>
        <w:spacing w:line="360" w:lineRule="auto"/>
        <w:jc w:val="both"/>
        <w:rPr>
          <w:rFonts w:hint="eastAsia" w:ascii="Times New Roman" w:hAnsi="Times New Roman" w:eastAsia="宋体" w:cs="Times New Roman"/>
          <w:sz w:val="24"/>
          <w:szCs w:val="24"/>
        </w:rPr>
      </w:pPr>
    </w:p>
    <w:p>
      <w:pPr>
        <w:spacing w:line="360" w:lineRule="auto"/>
        <w:jc w:val="both"/>
        <w:rPr>
          <w:rFonts w:hint="eastAsia" w:ascii="Times New Roman" w:hAnsi="Times New Roman" w:eastAsia="宋体" w:cs="Times New Roman"/>
          <w:sz w:val="24"/>
          <w:szCs w:val="24"/>
        </w:rPr>
      </w:pPr>
    </w:p>
    <w:p>
      <w:pPr>
        <w:spacing w:line="360" w:lineRule="auto"/>
        <w:jc w:val="both"/>
        <w:rPr>
          <w:rFonts w:hint="eastAsia" w:ascii="Times New Roman" w:hAnsi="Times New Roman" w:eastAsia="宋体" w:cs="Times New Roman"/>
          <w:sz w:val="24"/>
          <w:szCs w:val="24"/>
        </w:rPr>
      </w:pPr>
    </w:p>
    <w:p>
      <w:pPr>
        <w:spacing w:line="360" w:lineRule="auto"/>
        <w:jc w:val="both"/>
        <w:rPr>
          <w:rFonts w:hint="eastAsia" w:ascii="Times New Roman" w:hAnsi="Times New Roman" w:eastAsia="宋体" w:cs="Times New Roman"/>
          <w:sz w:val="24"/>
          <w:szCs w:val="24"/>
        </w:rPr>
      </w:pPr>
    </w:p>
    <w:p>
      <w:pPr>
        <w:spacing w:line="360" w:lineRule="auto"/>
        <w:jc w:val="both"/>
        <w:rPr>
          <w:rFonts w:hint="eastAsia" w:ascii="Times New Roman" w:hAnsi="Times New Roman" w:eastAsia="宋体" w:cs="Times New Roman"/>
          <w:sz w:val="24"/>
          <w:szCs w:val="24"/>
        </w:rPr>
      </w:pPr>
    </w:p>
    <w:p>
      <w:pPr>
        <w:spacing w:line="360" w:lineRule="auto"/>
        <w:jc w:val="both"/>
        <w:rPr>
          <w:rFonts w:ascii="Times New Roman" w:hAnsi="Times New Roman" w:eastAsia="宋体" w:cs="Times New Roman"/>
          <w:sz w:val="24"/>
          <w:szCs w:val="24"/>
          <w:lang w:val="en-US"/>
        </w:rPr>
      </w:pPr>
      <w:r>
        <w:rPr>
          <w:rFonts w:hint="eastAsia" w:ascii="Times New Roman" w:hAnsi="Times New Roman" w:eastAsia="宋体" w:cs="Times New Roman"/>
          <w:sz w:val="24"/>
          <w:szCs w:val="24"/>
        </w:rPr>
        <w:t>证券代码：000</w:t>
      </w:r>
      <w:r>
        <w:rPr>
          <w:rFonts w:ascii="Times New Roman" w:hAnsi="Times New Roman" w:eastAsia="宋体" w:cs="Times New Roman"/>
          <w:sz w:val="24"/>
          <w:szCs w:val="24"/>
        </w:rPr>
        <w:t>756</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证券简称：新华制药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 公告编号：202</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44</w:t>
      </w:r>
    </w:p>
    <w:p>
      <w:pPr>
        <w:spacing w:line="360" w:lineRule="auto"/>
        <w:ind w:firstLine="1044" w:firstLineChars="200"/>
        <w:jc w:val="center"/>
        <w:rPr>
          <w:rFonts w:ascii="Times New Roman" w:hAnsi="Times New Roman" w:eastAsia="宋体" w:cs="Times New Roman"/>
          <w:b/>
          <w:sz w:val="52"/>
          <w:szCs w:val="52"/>
        </w:rPr>
      </w:pPr>
    </w:p>
    <w:p>
      <w:pPr>
        <w:spacing w:line="360" w:lineRule="auto"/>
        <w:ind w:firstLine="723" w:firstLineChars="200"/>
        <w:jc w:val="center"/>
        <w:rPr>
          <w:rFonts w:ascii="Times New Roman" w:hAnsi="Times New Roman" w:eastAsia="宋体" w:cs="Times New Roman"/>
          <w:b/>
          <w:sz w:val="36"/>
          <w:szCs w:val="36"/>
        </w:rPr>
      </w:pPr>
      <w:bookmarkStart w:id="4" w:name="_Hlk67813373"/>
    </w:p>
    <w:p>
      <w:pPr>
        <w:spacing w:line="360" w:lineRule="auto"/>
        <w:ind w:firstLine="723" w:firstLineChars="200"/>
        <w:jc w:val="center"/>
        <w:rPr>
          <w:rFonts w:ascii="Times New Roman" w:hAnsi="Times New Roman" w:eastAsia="宋体" w:cs="Times New Roman"/>
          <w:b/>
          <w:sz w:val="36"/>
          <w:szCs w:val="36"/>
        </w:rPr>
      </w:pPr>
    </w:p>
    <w:p>
      <w:pPr>
        <w:spacing w:line="360" w:lineRule="auto"/>
        <w:ind w:firstLine="723" w:firstLineChars="200"/>
        <w:jc w:val="center"/>
        <w:rPr>
          <w:rFonts w:ascii="Times New Roman" w:hAnsi="Times New Roman" w:eastAsia="宋体" w:cs="Times New Roman"/>
          <w:b/>
          <w:sz w:val="36"/>
          <w:szCs w:val="36"/>
        </w:rPr>
      </w:pPr>
    </w:p>
    <w:p>
      <w:pPr>
        <w:spacing w:line="360" w:lineRule="auto"/>
        <w:ind w:firstLine="723" w:firstLineChars="200"/>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山东新华制药股份有限公司</w:t>
      </w:r>
    </w:p>
    <w:p>
      <w:pPr>
        <w:spacing w:line="360" w:lineRule="auto"/>
        <w:ind w:firstLine="964" w:firstLineChars="200"/>
        <w:jc w:val="center"/>
        <w:rPr>
          <w:rFonts w:ascii="Times New Roman" w:hAnsi="Times New Roman" w:eastAsia="宋体" w:cs="Times New Roman"/>
          <w:b/>
          <w:sz w:val="48"/>
          <w:szCs w:val="48"/>
        </w:rPr>
      </w:pPr>
    </w:p>
    <w:p>
      <w:pPr>
        <w:spacing w:line="360" w:lineRule="auto"/>
        <w:ind w:firstLine="420" w:firstLineChars="200"/>
        <w:jc w:val="center"/>
        <w:rPr>
          <w:rFonts w:ascii="Times New Roman" w:hAnsi="Times New Roman" w:eastAsia="宋体" w:cs="Times New Roman"/>
          <w:b/>
          <w:sz w:val="48"/>
          <w:szCs w:val="48"/>
        </w:rPr>
      </w:pPr>
      <w:r>
        <w:drawing>
          <wp:inline distT="0" distB="0" distL="0" distR="0">
            <wp:extent cx="1847850" cy="1532255"/>
            <wp:effectExtent l="0" t="0" r="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1887460" cy="1565228"/>
                    </a:xfrm>
                    <a:prstGeom prst="rect">
                      <a:avLst/>
                    </a:prstGeom>
                  </pic:spPr>
                </pic:pic>
              </a:graphicData>
            </a:graphic>
          </wp:inline>
        </w:drawing>
      </w:r>
    </w:p>
    <w:p>
      <w:pPr>
        <w:spacing w:line="360" w:lineRule="auto"/>
        <w:ind w:firstLine="964" w:firstLineChars="200"/>
        <w:jc w:val="center"/>
        <w:rPr>
          <w:rFonts w:ascii="Times New Roman" w:hAnsi="Times New Roman" w:eastAsia="宋体" w:cs="Times New Roman"/>
          <w:b/>
          <w:sz w:val="48"/>
          <w:szCs w:val="48"/>
        </w:rPr>
      </w:pPr>
    </w:p>
    <w:p>
      <w:pPr>
        <w:spacing w:line="360" w:lineRule="auto"/>
        <w:ind w:firstLine="723" w:firstLineChars="200"/>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2</w:t>
      </w:r>
      <w:r>
        <w:rPr>
          <w:rFonts w:ascii="Times New Roman" w:hAnsi="Times New Roman" w:eastAsia="宋体" w:cs="Times New Roman"/>
          <w:b/>
          <w:sz w:val="36"/>
          <w:szCs w:val="36"/>
        </w:rPr>
        <w:t>021</w:t>
      </w:r>
      <w:r>
        <w:rPr>
          <w:rFonts w:hint="eastAsia" w:ascii="Times New Roman" w:hAnsi="Times New Roman" w:eastAsia="宋体" w:cs="Times New Roman"/>
          <w:b/>
          <w:sz w:val="36"/>
          <w:szCs w:val="36"/>
        </w:rPr>
        <w:t>年度</w:t>
      </w:r>
      <w:r>
        <w:rPr>
          <w:rFonts w:ascii="Times New Roman" w:hAnsi="Times New Roman" w:eastAsia="宋体" w:cs="Times New Roman"/>
          <w:b/>
          <w:sz w:val="36"/>
          <w:szCs w:val="36"/>
        </w:rPr>
        <w:t>非公开发行A</w:t>
      </w:r>
      <w:r>
        <w:rPr>
          <w:rFonts w:hint="eastAsia" w:ascii="Times New Roman" w:hAnsi="Times New Roman" w:eastAsia="宋体" w:cs="Times New Roman"/>
          <w:b/>
          <w:sz w:val="36"/>
          <w:szCs w:val="36"/>
        </w:rPr>
        <w:t>股股票预案</w:t>
      </w:r>
      <w:r>
        <w:rPr>
          <w:rFonts w:hint="eastAsia" w:ascii="楷体" w:hAnsi="楷体" w:eastAsia="楷体" w:cs="Times New Roman"/>
          <w:b/>
          <w:sz w:val="36"/>
          <w:szCs w:val="36"/>
        </w:rPr>
        <w:t>（修订稿）</w:t>
      </w:r>
    </w:p>
    <w:p>
      <w:pPr>
        <w:spacing w:line="360" w:lineRule="auto"/>
        <w:ind w:firstLine="964" w:firstLineChars="200"/>
        <w:jc w:val="center"/>
        <w:rPr>
          <w:rFonts w:ascii="Times New Roman" w:hAnsi="Times New Roman" w:eastAsia="宋体" w:cs="Times New Roman"/>
          <w:b/>
          <w:sz w:val="48"/>
          <w:szCs w:val="48"/>
        </w:rPr>
      </w:pPr>
    </w:p>
    <w:p>
      <w:pPr>
        <w:spacing w:line="360" w:lineRule="auto"/>
        <w:ind w:firstLine="964" w:firstLineChars="200"/>
        <w:jc w:val="center"/>
        <w:rPr>
          <w:rFonts w:ascii="Times New Roman" w:hAnsi="Times New Roman" w:eastAsia="宋体" w:cs="Times New Roman"/>
          <w:b/>
          <w:sz w:val="48"/>
          <w:szCs w:val="48"/>
        </w:rPr>
      </w:pPr>
    </w:p>
    <w:p>
      <w:pPr>
        <w:spacing w:line="360" w:lineRule="auto"/>
        <w:ind w:firstLine="964" w:firstLineChars="200"/>
        <w:jc w:val="center"/>
        <w:rPr>
          <w:rFonts w:ascii="Times New Roman" w:hAnsi="Times New Roman" w:eastAsia="宋体" w:cs="Times New Roman"/>
          <w:b/>
          <w:sz w:val="48"/>
          <w:szCs w:val="48"/>
        </w:rPr>
      </w:pPr>
    </w:p>
    <w:p>
      <w:pPr>
        <w:spacing w:line="360" w:lineRule="auto"/>
        <w:ind w:firstLine="964" w:firstLineChars="200"/>
        <w:jc w:val="center"/>
        <w:rPr>
          <w:rFonts w:ascii="Times New Roman" w:hAnsi="Times New Roman" w:eastAsia="宋体" w:cs="Times New Roman"/>
          <w:b/>
          <w:sz w:val="48"/>
          <w:szCs w:val="48"/>
        </w:rPr>
      </w:pPr>
    </w:p>
    <w:p>
      <w:pPr>
        <w:spacing w:line="360" w:lineRule="auto"/>
        <w:ind w:firstLine="964" w:firstLineChars="200"/>
        <w:jc w:val="center"/>
        <w:rPr>
          <w:rFonts w:ascii="Times New Roman" w:hAnsi="Times New Roman" w:eastAsia="宋体" w:cs="Times New Roman"/>
          <w:b/>
          <w:sz w:val="48"/>
          <w:szCs w:val="48"/>
        </w:rPr>
      </w:pPr>
    </w:p>
    <w:p>
      <w:pPr>
        <w:spacing w:line="360" w:lineRule="auto"/>
        <w:ind w:firstLine="964" w:firstLineChars="200"/>
        <w:jc w:val="center"/>
        <w:rPr>
          <w:rFonts w:ascii="Times New Roman" w:hAnsi="Times New Roman" w:eastAsia="宋体" w:cs="Times New Roman"/>
          <w:b/>
          <w:sz w:val="48"/>
          <w:szCs w:val="48"/>
        </w:rPr>
      </w:pPr>
    </w:p>
    <w:p>
      <w:pPr>
        <w:spacing w:line="360" w:lineRule="auto"/>
        <w:rPr>
          <w:rFonts w:ascii="Times New Roman" w:hAnsi="Times New Roman" w:eastAsia="宋体" w:cs="Times New Roman"/>
          <w:b/>
          <w:sz w:val="48"/>
          <w:szCs w:val="48"/>
        </w:rPr>
      </w:pPr>
    </w:p>
    <w:p>
      <w:pPr>
        <w:spacing w:line="360" w:lineRule="auto"/>
        <w:ind w:firstLine="602" w:firstLineChars="200"/>
        <w:jc w:val="center"/>
        <w:rPr>
          <w:rFonts w:ascii="Times New Roman" w:hAnsi="Times New Roman" w:eastAsia="宋体" w:cs="Times New Roman"/>
          <w:b/>
          <w:sz w:val="30"/>
          <w:szCs w:val="30"/>
        </w:rPr>
      </w:pPr>
      <w:r>
        <w:rPr>
          <w:rFonts w:ascii="Times New Roman" w:hAnsi="Times New Roman" w:eastAsia="宋体" w:cs="Times New Roman"/>
          <w:b/>
          <w:sz w:val="30"/>
          <w:szCs w:val="30"/>
        </w:rPr>
        <w:t>二〇二</w:t>
      </w:r>
      <w:r>
        <w:rPr>
          <w:rFonts w:hint="eastAsia" w:ascii="Times New Roman" w:hAnsi="Times New Roman" w:eastAsia="宋体" w:cs="Times New Roman"/>
          <w:b/>
          <w:sz w:val="30"/>
          <w:szCs w:val="30"/>
        </w:rPr>
        <w:t>一</w:t>
      </w:r>
      <w:r>
        <w:rPr>
          <w:rFonts w:ascii="Times New Roman" w:hAnsi="Times New Roman" w:eastAsia="宋体" w:cs="Times New Roman"/>
          <w:b/>
          <w:sz w:val="30"/>
          <w:szCs w:val="30"/>
        </w:rPr>
        <w:t>年</w:t>
      </w:r>
      <w:r>
        <w:rPr>
          <w:rFonts w:hint="eastAsia" w:ascii="Times New Roman" w:hAnsi="Times New Roman" w:eastAsia="宋体" w:cs="Times New Roman"/>
          <w:b/>
          <w:sz w:val="30"/>
          <w:szCs w:val="30"/>
        </w:rPr>
        <w:t>八</w:t>
      </w:r>
      <w:r>
        <w:rPr>
          <w:rFonts w:ascii="Times New Roman" w:hAnsi="Times New Roman" w:eastAsia="宋体" w:cs="Times New Roman"/>
          <w:b/>
          <w:sz w:val="30"/>
          <w:szCs w:val="30"/>
        </w:rPr>
        <w:t>月</w:t>
      </w:r>
      <w:bookmarkEnd w:id="4"/>
    </w:p>
    <w:p>
      <w:pPr>
        <w:widowControl/>
        <w:spacing w:line="360" w:lineRule="auto"/>
        <w:ind w:firstLine="602" w:firstLineChars="200"/>
        <w:jc w:val="left"/>
        <w:rPr>
          <w:rFonts w:ascii="Times New Roman" w:hAnsi="Times New Roman" w:eastAsia="宋体" w:cs="Times New Roman"/>
          <w:b/>
          <w:sz w:val="30"/>
          <w:szCs w:val="30"/>
        </w:rPr>
        <w:sectPr>
          <w:headerReference r:id="rId5" w:type="first"/>
          <w:footerReference r:id="rId8" w:type="first"/>
          <w:headerReference r:id="rId3" w:type="default"/>
          <w:footerReference r:id="rId6" w:type="default"/>
          <w:headerReference r:id="rId4" w:type="even"/>
          <w:footerReference r:id="rId7" w:type="even"/>
          <w:pgSz w:w="11900" w:h="16840"/>
          <w:pgMar w:top="1213" w:right="1406" w:bottom="1213" w:left="1406" w:header="851" w:footer="992" w:gutter="0"/>
          <w:pgNumType w:fmt="decimal"/>
          <w:cols w:space="0" w:num="1"/>
          <w:titlePg/>
          <w:rtlGutter w:val="0"/>
          <w:docGrid w:type="lines" w:linePitch="312" w:charSpace="0"/>
        </w:sectPr>
      </w:pPr>
    </w:p>
    <w:p>
      <w:pPr>
        <w:widowControl/>
        <w:spacing w:line="360" w:lineRule="auto"/>
        <w:ind w:firstLine="602" w:firstLineChars="200"/>
        <w:jc w:val="left"/>
        <w:rPr>
          <w:rFonts w:ascii="Times New Roman" w:hAnsi="Times New Roman" w:eastAsia="宋体" w:cs="Times New Roman"/>
          <w:b/>
          <w:sz w:val="30"/>
          <w:szCs w:val="30"/>
        </w:rPr>
      </w:pPr>
    </w:p>
    <w:p>
      <w:pPr>
        <w:pStyle w:val="66"/>
        <w:spacing w:afterLines="0"/>
      </w:pPr>
      <w:bookmarkStart w:id="5" w:name="_Toc15504172"/>
      <w:bookmarkStart w:id="6" w:name="_Toc15503541"/>
      <w:bookmarkStart w:id="7" w:name="_Toc79406416"/>
      <w:bookmarkStart w:id="8" w:name="_Toc67934559"/>
      <w:r>
        <w:rPr>
          <w:rFonts w:hint="eastAsia"/>
        </w:rPr>
        <w:t>公司声明</w:t>
      </w:r>
      <w:bookmarkEnd w:id="5"/>
      <w:bookmarkEnd w:id="6"/>
      <w:bookmarkEnd w:id="7"/>
      <w:bookmarkEnd w:id="8"/>
    </w:p>
    <w:p>
      <w:pPr>
        <w:pStyle w:val="67"/>
        <w:ind w:firstLine="480"/>
      </w:pPr>
    </w:p>
    <w:p>
      <w:pPr>
        <w:pStyle w:val="67"/>
        <w:ind w:firstLine="480"/>
      </w:pPr>
      <w:r>
        <w:t>1</w:t>
      </w:r>
      <w:r>
        <w:rPr>
          <w:rFonts w:hint="eastAsia"/>
        </w:rPr>
        <w:t>、公司及董事会全体成员保证本预案内容真实、准确和完整，并确认不存在虚假记载、误导性陈述或重大遗漏。</w:t>
      </w:r>
    </w:p>
    <w:p>
      <w:pPr>
        <w:pStyle w:val="67"/>
        <w:ind w:firstLine="480"/>
      </w:pPr>
      <w:r>
        <w:t>2</w:t>
      </w:r>
      <w:r>
        <w:rPr>
          <w:rFonts w:hint="eastAsia"/>
        </w:rPr>
        <w:t>、本次非公开发行股票完成后，公司经营与收益的变化由公司自行负责；因本次非公开发行股票引致的投资风险，由投资者自行负责。</w:t>
      </w:r>
    </w:p>
    <w:p>
      <w:pPr>
        <w:pStyle w:val="67"/>
        <w:ind w:firstLine="480"/>
      </w:pPr>
      <w:r>
        <w:t>3</w:t>
      </w:r>
      <w:r>
        <w:rPr>
          <w:rFonts w:hint="eastAsia"/>
        </w:rPr>
        <w:t>、本预案是公司董事会对本次非公开发行股票的说明，任何与之相反的声明均属不实陈述。</w:t>
      </w:r>
    </w:p>
    <w:p>
      <w:pPr>
        <w:pStyle w:val="67"/>
        <w:ind w:firstLine="480"/>
      </w:pPr>
      <w:r>
        <w:t>4</w:t>
      </w:r>
      <w:r>
        <w:rPr>
          <w:rFonts w:hint="eastAsia"/>
        </w:rPr>
        <w:t>、投资者如有任何疑问，应咨询自己的股票经纪人、律师、专业会计师或其他专业顾问。</w:t>
      </w:r>
    </w:p>
    <w:p>
      <w:pPr>
        <w:pStyle w:val="67"/>
        <w:ind w:firstLine="480"/>
      </w:pPr>
      <w:r>
        <w:t>5</w:t>
      </w:r>
      <w:r>
        <w:rPr>
          <w:rFonts w:hint="eastAsia"/>
        </w:rPr>
        <w:t>、本预案所述事项并不代表审批机关对于本次非公开发行股票相关事项的实质性判断、确认、批准或核准。本预案所述本次非公开发行股票相关事项的生效和完成尚待取得有关审批机关的批准或核准。</w:t>
      </w: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pStyle w:val="66"/>
        <w:spacing w:afterLines="0"/>
      </w:pPr>
      <w:bookmarkStart w:id="9" w:name="_Toc79406417"/>
      <w:bookmarkStart w:id="10" w:name="_Toc15504173"/>
      <w:bookmarkStart w:id="11" w:name="_Toc15503542"/>
      <w:bookmarkStart w:id="12" w:name="_Toc67934560"/>
      <w:r>
        <w:rPr>
          <w:rFonts w:hint="eastAsia"/>
        </w:rPr>
        <w:t>特别提示</w:t>
      </w:r>
      <w:bookmarkEnd w:id="9"/>
      <w:bookmarkEnd w:id="10"/>
      <w:bookmarkEnd w:id="11"/>
      <w:bookmarkEnd w:id="12"/>
    </w:p>
    <w:p>
      <w:pPr>
        <w:pStyle w:val="67"/>
        <w:ind w:firstLine="480"/>
      </w:pPr>
    </w:p>
    <w:p>
      <w:pPr>
        <w:pStyle w:val="67"/>
        <w:ind w:firstLine="480"/>
      </w:pPr>
      <w:r>
        <w:t>1</w:t>
      </w:r>
      <w:r>
        <w:rPr>
          <w:rFonts w:hint="eastAsia"/>
        </w:rPr>
        <w:t>、本次非公开发行股票相关事项已经公司第十届董事会</w:t>
      </w:r>
      <w:r>
        <w:t>2021</w:t>
      </w:r>
      <w:r>
        <w:rPr>
          <w:rFonts w:hint="eastAsia"/>
        </w:rPr>
        <w:t>年第二次临时会议审议通过。</w:t>
      </w:r>
      <w:r>
        <w:rPr>
          <w:rFonts w:ascii="楷体" w:hAnsi="楷体" w:eastAsia="楷体"/>
          <w:b/>
        </w:rPr>
        <w:t>2021</w:t>
      </w:r>
      <w:r>
        <w:rPr>
          <w:rFonts w:hint="eastAsia" w:ascii="楷体" w:hAnsi="楷体" w:eastAsia="楷体"/>
          <w:b/>
        </w:rPr>
        <w:t>年</w:t>
      </w:r>
      <w:r>
        <w:rPr>
          <w:rFonts w:ascii="楷体" w:hAnsi="楷体" w:eastAsia="楷体"/>
          <w:b/>
        </w:rPr>
        <w:t>4</w:t>
      </w:r>
      <w:r>
        <w:rPr>
          <w:rFonts w:hint="eastAsia" w:ascii="楷体" w:hAnsi="楷体" w:eastAsia="楷体"/>
          <w:b/>
        </w:rPr>
        <w:t>月</w:t>
      </w:r>
      <w:r>
        <w:rPr>
          <w:rFonts w:ascii="楷体" w:hAnsi="楷体" w:eastAsia="楷体"/>
          <w:b/>
        </w:rPr>
        <w:t>23</w:t>
      </w:r>
      <w:r>
        <w:rPr>
          <w:rFonts w:hint="eastAsia" w:ascii="楷体" w:hAnsi="楷体" w:eastAsia="楷体"/>
          <w:b/>
        </w:rPr>
        <w:t>日，华鲁控股集团有限公司批复了公司本次非公开发行股票事项。</w:t>
      </w:r>
      <w:r>
        <w:rPr>
          <w:rFonts w:ascii="楷体" w:hAnsi="楷体" w:eastAsia="楷体"/>
          <w:b/>
        </w:rPr>
        <w:t>2021</w:t>
      </w:r>
      <w:r>
        <w:rPr>
          <w:rFonts w:hint="eastAsia" w:ascii="楷体" w:hAnsi="楷体" w:eastAsia="楷体"/>
          <w:b/>
        </w:rPr>
        <w:t>年</w:t>
      </w:r>
      <w:r>
        <w:rPr>
          <w:rFonts w:ascii="楷体" w:hAnsi="楷体" w:eastAsia="楷体"/>
          <w:b/>
        </w:rPr>
        <w:t>6</w:t>
      </w:r>
      <w:r>
        <w:rPr>
          <w:rFonts w:hint="eastAsia" w:ascii="楷体" w:hAnsi="楷体" w:eastAsia="楷体"/>
          <w:b/>
        </w:rPr>
        <w:t>月</w:t>
      </w:r>
      <w:r>
        <w:rPr>
          <w:rFonts w:ascii="楷体" w:hAnsi="楷体" w:eastAsia="楷体"/>
          <w:b/>
        </w:rPr>
        <w:t>22</w:t>
      </w:r>
      <w:r>
        <w:rPr>
          <w:rFonts w:hint="eastAsia" w:ascii="楷体" w:hAnsi="楷体" w:eastAsia="楷体"/>
          <w:b/>
        </w:rPr>
        <w:t>日，香港证监会执行人员有条件地授出清洗豁免，豁免华鲁投资及其一致行动人因认购公司非公开发行的</w:t>
      </w:r>
      <w:r>
        <w:rPr>
          <w:rFonts w:ascii="楷体" w:hAnsi="楷体" w:eastAsia="楷体"/>
          <w:b/>
        </w:rPr>
        <w:t>A</w:t>
      </w:r>
      <w:r>
        <w:rPr>
          <w:rFonts w:hint="eastAsia" w:ascii="楷体" w:hAnsi="楷体" w:eastAsia="楷体"/>
          <w:b/>
        </w:rPr>
        <w:t>股股份而须就公司股份作出全面要约的义务。</w:t>
      </w:r>
      <w:r>
        <w:rPr>
          <w:rFonts w:ascii="楷体" w:hAnsi="楷体" w:eastAsia="楷体"/>
          <w:b/>
        </w:rPr>
        <w:t>2021</w:t>
      </w:r>
      <w:r>
        <w:rPr>
          <w:rFonts w:hint="eastAsia" w:ascii="楷体" w:hAnsi="楷体" w:eastAsia="楷体"/>
          <w:b/>
        </w:rPr>
        <w:t>年</w:t>
      </w:r>
      <w:r>
        <w:rPr>
          <w:rFonts w:ascii="楷体" w:hAnsi="楷体" w:eastAsia="楷体"/>
          <w:b/>
        </w:rPr>
        <w:t>6</w:t>
      </w:r>
      <w:r>
        <w:rPr>
          <w:rFonts w:hint="eastAsia" w:ascii="楷体" w:hAnsi="楷体" w:eastAsia="楷体"/>
          <w:b/>
        </w:rPr>
        <w:t>月</w:t>
      </w:r>
      <w:r>
        <w:rPr>
          <w:rFonts w:ascii="楷体" w:hAnsi="楷体" w:eastAsia="楷体"/>
          <w:b/>
        </w:rPr>
        <w:t>30</w:t>
      </w:r>
      <w:r>
        <w:rPr>
          <w:rFonts w:hint="eastAsia" w:ascii="楷体" w:hAnsi="楷体" w:eastAsia="楷体"/>
          <w:b/>
        </w:rPr>
        <w:t>日公司召开的</w:t>
      </w:r>
      <w:r>
        <w:rPr>
          <w:rFonts w:ascii="楷体" w:hAnsi="楷体" w:eastAsia="楷体"/>
          <w:b/>
        </w:rPr>
        <w:t>2020</w:t>
      </w:r>
      <w:r>
        <w:rPr>
          <w:rFonts w:hint="eastAsia" w:ascii="楷体" w:hAnsi="楷体" w:eastAsia="楷体"/>
          <w:b/>
        </w:rPr>
        <w:t>年度周年股东大会、</w:t>
      </w:r>
      <w:r>
        <w:rPr>
          <w:rFonts w:ascii="楷体" w:hAnsi="楷体" w:eastAsia="楷体"/>
          <w:b/>
        </w:rPr>
        <w:t>2021</w:t>
      </w:r>
      <w:r>
        <w:rPr>
          <w:rFonts w:hint="eastAsia" w:ascii="楷体" w:hAnsi="楷体" w:eastAsia="楷体"/>
          <w:b/>
        </w:rPr>
        <w:t>年第一次</w:t>
      </w:r>
      <w:r>
        <w:rPr>
          <w:rFonts w:ascii="楷体" w:hAnsi="楷体" w:eastAsia="楷体"/>
          <w:b/>
        </w:rPr>
        <w:t>A</w:t>
      </w:r>
      <w:r>
        <w:rPr>
          <w:rFonts w:hint="eastAsia" w:ascii="楷体" w:hAnsi="楷体" w:eastAsia="楷体"/>
          <w:b/>
        </w:rPr>
        <w:t>股类别股东会议及</w:t>
      </w:r>
      <w:r>
        <w:rPr>
          <w:rFonts w:ascii="楷体" w:hAnsi="楷体" w:eastAsia="楷体"/>
          <w:b/>
        </w:rPr>
        <w:t>2021</w:t>
      </w:r>
      <w:r>
        <w:rPr>
          <w:rFonts w:hint="eastAsia" w:ascii="楷体" w:hAnsi="楷体" w:eastAsia="楷体"/>
          <w:b/>
        </w:rPr>
        <w:t>年第一次</w:t>
      </w:r>
      <w:r>
        <w:rPr>
          <w:rFonts w:ascii="楷体" w:hAnsi="楷体" w:eastAsia="楷体"/>
          <w:b/>
        </w:rPr>
        <w:t>H</w:t>
      </w:r>
      <w:r>
        <w:rPr>
          <w:rFonts w:hint="eastAsia" w:ascii="楷体" w:hAnsi="楷体" w:eastAsia="楷体"/>
          <w:b/>
        </w:rPr>
        <w:t>股类别股东会议审议通过本次非公开发行股票相关事项。本次非公开发行方案调整的相关议案已经公司</w:t>
      </w:r>
      <w:r>
        <w:rPr>
          <w:rFonts w:ascii="楷体" w:hAnsi="楷体" w:eastAsia="楷体"/>
          <w:b/>
        </w:rPr>
        <w:t>2021</w:t>
      </w:r>
      <w:r>
        <w:rPr>
          <w:rFonts w:hint="eastAsia" w:ascii="楷体" w:hAnsi="楷体" w:eastAsia="楷体"/>
          <w:b/>
        </w:rPr>
        <w:t>年</w:t>
      </w:r>
      <w:r>
        <w:rPr>
          <w:rFonts w:ascii="楷体" w:hAnsi="楷体" w:eastAsia="楷体"/>
          <w:b/>
        </w:rPr>
        <w:t>8</w:t>
      </w:r>
      <w:r>
        <w:rPr>
          <w:rFonts w:hint="eastAsia" w:ascii="楷体" w:hAnsi="楷体" w:eastAsia="楷体"/>
          <w:b/>
        </w:rPr>
        <w:t>月</w:t>
      </w:r>
      <w:r>
        <w:rPr>
          <w:rFonts w:hint="eastAsia" w:ascii="楷体" w:hAnsi="楷体" w:eastAsia="楷体"/>
          <w:b/>
          <w:lang w:val="en-US" w:eastAsia="zh-CN"/>
        </w:rPr>
        <w:t>13</w:t>
      </w:r>
      <w:r>
        <w:rPr>
          <w:rFonts w:hint="eastAsia" w:ascii="楷体" w:hAnsi="楷体" w:eastAsia="楷体"/>
          <w:b/>
        </w:rPr>
        <w:t>日召开的第十届董事会</w:t>
      </w:r>
      <w:r>
        <w:rPr>
          <w:rFonts w:ascii="楷体" w:hAnsi="楷体" w:eastAsia="楷体"/>
          <w:b/>
        </w:rPr>
        <w:t>2021</w:t>
      </w:r>
      <w:r>
        <w:rPr>
          <w:rFonts w:hint="eastAsia" w:ascii="楷体" w:hAnsi="楷体" w:eastAsia="楷体"/>
          <w:b/>
        </w:rPr>
        <w:t>年第三次临时会议审议通过。</w:t>
      </w:r>
      <w:r>
        <w:rPr>
          <w:rFonts w:hint="eastAsia"/>
        </w:rPr>
        <w:t>本次非公开发行尚需中国证监会核准。</w:t>
      </w:r>
    </w:p>
    <w:p>
      <w:pPr>
        <w:pStyle w:val="67"/>
        <w:ind w:firstLine="480"/>
      </w:pPr>
      <w:r>
        <w:t>2</w:t>
      </w:r>
      <w:r>
        <w:rPr>
          <w:rFonts w:hint="eastAsia"/>
        </w:rPr>
        <w:t>、本次非公开发行对象为华鲁投资，华鲁投资为公司控股股东华鲁控股集团有限公司的全资子公司，华鲁投资已与公司签署了《附条件生效的股份认购合同》。本次非公开发行构成关联交易，公司董事会在表决本次非公开发行股票相关议案时，关联董事回避表决。在公司股东大会审议本次非公开发行股票相关议案时，关联股东将对相关议案回避表决。</w:t>
      </w:r>
    </w:p>
    <w:p>
      <w:pPr>
        <w:pStyle w:val="67"/>
        <w:ind w:firstLine="480"/>
      </w:pPr>
      <w:r>
        <w:t>3</w:t>
      </w:r>
      <w:r>
        <w:rPr>
          <w:rFonts w:hint="eastAsia"/>
        </w:rPr>
        <w:t>、本次发行股票数量不超过</w:t>
      </w:r>
      <w:r>
        <w:rPr>
          <w:rFonts w:ascii="楷体" w:hAnsi="楷体" w:eastAsia="楷体"/>
          <w:b/>
        </w:rPr>
        <w:t>37,091,988</w:t>
      </w:r>
      <w:r>
        <w:rPr>
          <w:rFonts w:hint="eastAsia"/>
        </w:rPr>
        <w:t>股（含本数），发行数量的上限未超过本次非公开发行前公司总股本的30%。最终发行数量由公司董事会根据股东大会的授权与保荐机构（主承销商）协商确定。在定价基准日至发行日期间，若公司股票发生派发股利、送红股、转增股本等除权、除息等事项的，本次非公开发行股票数量将做相应调整。</w:t>
      </w:r>
    </w:p>
    <w:p>
      <w:pPr>
        <w:pStyle w:val="67"/>
        <w:ind w:firstLine="480"/>
      </w:pPr>
      <w:r>
        <w:rPr>
          <w:rFonts w:hint="eastAsia"/>
        </w:rPr>
        <w:t>若本次非公开发行的股份总数及募集金额因监管政策变化或根据发行核准文件的要求予以调整的，则公司股份发行数量及募集金额届时将相应调整。</w:t>
      </w:r>
    </w:p>
    <w:p>
      <w:pPr>
        <w:pStyle w:val="67"/>
        <w:ind w:firstLine="480"/>
      </w:pPr>
      <w:r>
        <w:t>4</w:t>
      </w:r>
      <w:r>
        <w:rPr>
          <w:rFonts w:hint="eastAsia"/>
        </w:rPr>
        <w:t>、本次非公开发行的定价基准日为公司第十届董事会</w:t>
      </w:r>
      <w:r>
        <w:t>2021</w:t>
      </w:r>
      <w:r>
        <w:rPr>
          <w:rFonts w:hint="eastAsia"/>
        </w:rPr>
        <w:t>年第二次临时会议决议公告日（即2021年4月15日），发行价格不低于定价基准日前20个交易日公司股票交易均价的80%（定价基准日前20个交易日股票交易均价=定价基准日前20个交易日公司股票交易总额/定价基准日前20个交易日公司股票交易总量）与定价基准日前公司最近一年末经审计的归属于母公司普通股股东的每股净资产金额的孰高值（向上舍入至取2位小数）。</w:t>
      </w:r>
      <w:r>
        <w:rPr>
          <w:rFonts w:hint="eastAsia" w:ascii="楷体" w:hAnsi="楷体" w:eastAsia="楷体"/>
          <w:b/>
        </w:rPr>
        <w:t>经公司第十届董事会2</w:t>
      </w:r>
      <w:r>
        <w:rPr>
          <w:rFonts w:ascii="楷体" w:hAnsi="楷体" w:eastAsia="楷体"/>
          <w:b/>
        </w:rPr>
        <w:t>021</w:t>
      </w:r>
      <w:r>
        <w:rPr>
          <w:rFonts w:hint="eastAsia" w:ascii="楷体" w:hAnsi="楷体" w:eastAsia="楷体"/>
          <w:b/>
        </w:rPr>
        <w:t>年第二次临时会议审议通过，发行价格为</w:t>
      </w:r>
      <w:r>
        <w:rPr>
          <w:rFonts w:ascii="楷体" w:hAnsi="楷体" w:eastAsia="楷体"/>
          <w:b/>
        </w:rPr>
        <w:t>6.89</w:t>
      </w:r>
      <w:r>
        <w:rPr>
          <w:rFonts w:hint="eastAsia" w:ascii="楷体" w:hAnsi="楷体" w:eastAsia="楷体"/>
          <w:b/>
        </w:rPr>
        <w:t>元</w:t>
      </w:r>
      <w:r>
        <w:rPr>
          <w:rFonts w:ascii="楷体" w:hAnsi="楷体" w:eastAsia="楷体"/>
          <w:b/>
        </w:rPr>
        <w:t>/</w:t>
      </w:r>
      <w:r>
        <w:rPr>
          <w:rFonts w:hint="eastAsia" w:ascii="楷体" w:hAnsi="楷体" w:eastAsia="楷体"/>
          <w:b/>
        </w:rPr>
        <w:t>股。</w:t>
      </w:r>
    </w:p>
    <w:p>
      <w:pPr>
        <w:pStyle w:val="67"/>
        <w:ind w:firstLine="480"/>
      </w:pPr>
      <w:r>
        <w:rPr>
          <w:rFonts w:hint="eastAsia"/>
        </w:rPr>
        <w:t>若公司A股股票在定价基准日至发行日期间发生派息、送股、资本公积转增股本等除权、除息事项，则本次非公开发行的发行价格将作相应调整。</w:t>
      </w:r>
    </w:p>
    <w:p>
      <w:pPr>
        <w:pStyle w:val="67"/>
        <w:ind w:firstLine="482"/>
        <w:rPr>
          <w:rFonts w:ascii="楷体" w:hAnsi="楷体" w:eastAsia="楷体"/>
          <w:b/>
        </w:rPr>
      </w:pPr>
      <w:r>
        <w:rPr>
          <w:rFonts w:hint="eastAsia" w:ascii="楷体" w:hAnsi="楷体" w:eastAsia="楷体"/>
          <w:b/>
        </w:rPr>
        <w:t>鉴于公司</w:t>
      </w:r>
      <w:r>
        <w:rPr>
          <w:rFonts w:ascii="楷体" w:hAnsi="楷体" w:eastAsia="楷体"/>
          <w:b/>
        </w:rPr>
        <w:t>2020</w:t>
      </w:r>
      <w:r>
        <w:rPr>
          <w:rFonts w:hint="eastAsia" w:ascii="楷体" w:hAnsi="楷体" w:eastAsia="楷体"/>
          <w:b/>
        </w:rPr>
        <w:t>年度权益分派方案已实施完毕，公司本次非公开发行股票的发行价格由</w:t>
      </w:r>
      <w:r>
        <w:rPr>
          <w:rFonts w:ascii="楷体" w:hAnsi="楷体" w:eastAsia="楷体"/>
          <w:b/>
        </w:rPr>
        <w:t>6.89</w:t>
      </w:r>
      <w:r>
        <w:rPr>
          <w:rFonts w:hint="eastAsia" w:ascii="楷体" w:hAnsi="楷体" w:eastAsia="楷体"/>
          <w:b/>
        </w:rPr>
        <w:t>元</w:t>
      </w:r>
      <w:r>
        <w:rPr>
          <w:rFonts w:ascii="楷体" w:hAnsi="楷体" w:eastAsia="楷体"/>
          <w:b/>
        </w:rPr>
        <w:t>/</w:t>
      </w:r>
      <w:r>
        <w:rPr>
          <w:rFonts w:hint="eastAsia" w:ascii="楷体" w:hAnsi="楷体" w:eastAsia="楷体"/>
          <w:b/>
        </w:rPr>
        <w:t>股调整为</w:t>
      </w:r>
      <w:r>
        <w:rPr>
          <w:rFonts w:ascii="楷体" w:hAnsi="楷体" w:eastAsia="楷体"/>
          <w:b/>
        </w:rPr>
        <w:t>6.74</w:t>
      </w:r>
      <w:r>
        <w:rPr>
          <w:rFonts w:hint="eastAsia" w:ascii="楷体" w:hAnsi="楷体" w:eastAsia="楷体"/>
          <w:b/>
        </w:rPr>
        <w:t>元</w:t>
      </w:r>
      <w:r>
        <w:rPr>
          <w:rFonts w:ascii="楷体" w:hAnsi="楷体" w:eastAsia="楷体"/>
          <w:b/>
        </w:rPr>
        <w:t>/</w:t>
      </w:r>
      <w:r>
        <w:rPr>
          <w:rFonts w:hint="eastAsia" w:ascii="楷体" w:hAnsi="楷体" w:eastAsia="楷体"/>
          <w:b/>
        </w:rPr>
        <w:t>股。</w:t>
      </w:r>
    </w:p>
    <w:p>
      <w:pPr>
        <w:pStyle w:val="67"/>
        <w:ind w:firstLine="480"/>
      </w:pPr>
      <w:r>
        <w:t>5</w:t>
      </w:r>
      <w:r>
        <w:rPr>
          <w:rFonts w:hint="eastAsia"/>
        </w:rPr>
        <w:t>、本次非公开发行募集资金总额为不超过人民币</w:t>
      </w:r>
      <w:r>
        <w:t>25,000</w:t>
      </w:r>
      <w:r>
        <w:rPr>
          <w:rFonts w:hint="eastAsia"/>
        </w:rPr>
        <w:t>万元（含本数），扣除发行费用后全部用于偿还有息负债及补充流动资金</w:t>
      </w:r>
      <w:r>
        <w:t>，</w:t>
      </w:r>
      <w:r>
        <w:rPr>
          <w:rFonts w:hint="eastAsia"/>
        </w:rPr>
        <w:t>其中偿还有息债务不超过1.4亿元，剩余部分补充公司流动资金。</w:t>
      </w:r>
    </w:p>
    <w:p>
      <w:pPr>
        <w:pStyle w:val="67"/>
        <w:ind w:firstLine="480"/>
      </w:pPr>
      <w:r>
        <w:rPr>
          <w:rFonts w:hint="eastAsia"/>
        </w:rPr>
        <w:t>6、华鲁投资认购本次非公开发行的股份，自发行结束之日起3</w:t>
      </w:r>
      <w:r>
        <w:t>6</w:t>
      </w:r>
      <w:r>
        <w:rPr>
          <w:rFonts w:hint="eastAsia"/>
        </w:rPr>
        <w:t>个月内不得转让。锁定期结束后，按中国证监会及深圳证券交易所的有关规定执行。</w:t>
      </w:r>
    </w:p>
    <w:p>
      <w:pPr>
        <w:pStyle w:val="67"/>
        <w:ind w:firstLine="480"/>
      </w:pPr>
      <w:r>
        <w:rPr>
          <w:rFonts w:hint="eastAsia"/>
        </w:rPr>
        <w:t>7、公司利润分配政策、最近三年现金分红情况、未来三年股东回报规划的具体内容详见“第六节  公司利润分配政策及股利分配情况”。</w:t>
      </w:r>
    </w:p>
    <w:p>
      <w:pPr>
        <w:pStyle w:val="67"/>
        <w:ind w:firstLine="480"/>
      </w:pPr>
      <w:r>
        <w:rPr>
          <w:rFonts w:hint="eastAsia"/>
        </w:rPr>
        <w:t>8、本次非公开发行股票不会导致公司控股股东与实际控制人变化，不会导致公司股权分布不具备上市条件。</w:t>
      </w:r>
    </w:p>
    <w:p>
      <w:pPr>
        <w:pStyle w:val="67"/>
        <w:ind w:firstLine="480"/>
      </w:pPr>
      <w:r>
        <w:rPr>
          <w:rFonts w:hint="eastAsia"/>
        </w:rPr>
        <w:t>9、关于本次发行是否摊薄即期回报的情况说明，详见本预案“第七节  摊薄即期回报的风险及采取的措施”。</w:t>
      </w:r>
    </w:p>
    <w:p>
      <w:pPr>
        <w:pStyle w:val="67"/>
        <w:ind w:firstLine="480"/>
      </w:pPr>
      <w:r>
        <w:rPr>
          <w:rFonts w:hint="eastAsia"/>
        </w:rPr>
        <w:t>同时，公司特别提醒投资者，公司在分析本次发行对即期回报的摊薄影响过程中，对净利润作出的假设，并非公司的盈利预测，为应对即期回报被摊薄风险而制定的填补回报具体措施不等于对公司未来利润做出保证。</w:t>
      </w:r>
    </w:p>
    <w:p>
      <w:pPr>
        <w:pStyle w:val="67"/>
        <w:ind w:firstLine="480"/>
      </w:pPr>
      <w:r>
        <w:rPr>
          <w:rFonts w:hint="eastAsia"/>
        </w:rPr>
        <w:t>10、本次非公开发行股票方案的有效期为自公司股东大会审议通过之日起十二个月。</w:t>
      </w:r>
    </w:p>
    <w:p>
      <w:pPr>
        <w:pStyle w:val="67"/>
        <w:ind w:firstLine="480"/>
      </w:pPr>
      <w:r>
        <w:rPr>
          <w:rFonts w:hint="eastAsia"/>
        </w:rPr>
        <w:t>11、董事会特别提醒投资者仔细阅读本预案“第五节 六、本次发行的相关风险因素”有关内容，注意投资风险。</w:t>
      </w:r>
    </w:p>
    <w:p>
      <w:pPr>
        <w:widowControl/>
        <w:jc w:val="left"/>
      </w:pPr>
      <w:r>
        <w:br w:type="page"/>
      </w:r>
    </w:p>
    <w:p>
      <w:pPr>
        <w:spacing w:line="400" w:lineRule="exact"/>
        <w:jc w:val="center"/>
        <w:outlineLvl w:val="0"/>
        <w:rPr>
          <w:rFonts w:ascii="Times New Roman" w:hAnsi="Times New Roman" w:eastAsia="黑体" w:cs="Times New Roman"/>
          <w:b/>
          <w:bCs/>
          <w:sz w:val="36"/>
          <w:szCs w:val="36"/>
        </w:rPr>
      </w:pPr>
      <w:bookmarkStart w:id="13" w:name="_Toc67934561"/>
      <w:bookmarkStart w:id="14" w:name="_Toc15503543"/>
      <w:bookmarkStart w:id="15" w:name="_Toc79406418"/>
      <w:bookmarkStart w:id="16" w:name="_Toc15504174"/>
      <w:r>
        <w:rPr>
          <w:rFonts w:hint="eastAsia" w:ascii="Times New Roman" w:hAnsi="Times New Roman" w:eastAsia="黑体" w:cs="Times New Roman"/>
          <w:b/>
          <w:bCs/>
          <w:sz w:val="36"/>
          <w:szCs w:val="36"/>
        </w:rPr>
        <w:t>目  录</w:t>
      </w:r>
      <w:bookmarkEnd w:id="13"/>
      <w:bookmarkEnd w:id="14"/>
      <w:bookmarkEnd w:id="15"/>
      <w:bookmarkEnd w:id="16"/>
    </w:p>
    <w:sdt>
      <w:sdtPr>
        <w:rPr>
          <w:rFonts w:asciiTheme="minorHAnsi" w:hAnsiTheme="minorHAnsi" w:eastAsiaTheme="minorEastAsia" w:cstheme="minorBidi"/>
          <w:color w:val="auto"/>
          <w:kern w:val="2"/>
          <w:sz w:val="20"/>
          <w:szCs w:val="21"/>
          <w:lang w:val="zh-CN"/>
        </w:rPr>
        <w:id w:val="251778358"/>
      </w:sdtPr>
      <w:sdtEndPr>
        <w:rPr>
          <w:rFonts w:asciiTheme="minorHAnsi" w:hAnsiTheme="minorHAnsi" w:eastAsiaTheme="minorEastAsia" w:cstheme="minorBidi"/>
          <w:b/>
          <w:bCs/>
          <w:color w:val="auto"/>
          <w:kern w:val="2"/>
          <w:sz w:val="20"/>
          <w:szCs w:val="21"/>
          <w:lang w:val="zh-CN"/>
        </w:rPr>
      </w:sdtEndPr>
      <w:sdtContent>
        <w:p>
          <w:pPr>
            <w:pStyle w:val="91"/>
            <w:spacing w:before="0" w:line="240" w:lineRule="auto"/>
            <w:rPr>
              <w:rStyle w:val="72"/>
              <w:sz w:val="24"/>
              <w:szCs w:val="22"/>
            </w:rPr>
          </w:pPr>
        </w:p>
        <w:p>
          <w:pPr>
            <w:pStyle w:val="18"/>
            <w:ind w:left="105"/>
            <w:rPr>
              <w:rFonts w:cs="Times New Roman" w:eastAsiaTheme="minorEastAsia"/>
              <w:sz w:val="22"/>
              <w:szCs w:val="22"/>
            </w:rPr>
          </w:pPr>
          <w:r>
            <w:rPr>
              <w:rFonts w:cs="Times New Roman" w:eastAsiaTheme="minorEastAsia"/>
              <w:sz w:val="22"/>
              <w:szCs w:val="22"/>
            </w:rPr>
            <w:fldChar w:fldCharType="begin"/>
          </w:r>
          <w:r>
            <w:rPr>
              <w:rFonts w:cs="Times New Roman" w:eastAsiaTheme="minorEastAsia"/>
              <w:sz w:val="22"/>
              <w:szCs w:val="22"/>
            </w:rPr>
            <w:instrText xml:space="preserve"> TOC \o "1-2" \u </w:instrText>
          </w:r>
          <w:r>
            <w:rPr>
              <w:rFonts w:cs="Times New Roman" w:eastAsiaTheme="minorEastAsia"/>
              <w:sz w:val="22"/>
              <w:szCs w:val="22"/>
            </w:rPr>
            <w:fldChar w:fldCharType="separate"/>
          </w:r>
          <w:r>
            <w:rPr>
              <w:rFonts w:cs="Times New Roman" w:eastAsiaTheme="minorEastAsia"/>
              <w:sz w:val="22"/>
              <w:szCs w:val="22"/>
            </w:rPr>
            <w:t>公司声明</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_Toc79406416 \h </w:instrText>
          </w:r>
          <w:r>
            <w:rPr>
              <w:rFonts w:cs="Times New Roman" w:eastAsiaTheme="minorEastAsia"/>
              <w:sz w:val="22"/>
              <w:szCs w:val="22"/>
            </w:rPr>
            <w:fldChar w:fldCharType="separate"/>
          </w:r>
          <w:r>
            <w:rPr>
              <w:rFonts w:cs="Times New Roman" w:eastAsiaTheme="minorEastAsia"/>
              <w:sz w:val="22"/>
              <w:szCs w:val="22"/>
            </w:rPr>
            <w:t>1</w:t>
          </w:r>
          <w:r>
            <w:rPr>
              <w:rFonts w:cs="Times New Roman" w:eastAsiaTheme="minorEastAsia"/>
              <w:sz w:val="22"/>
              <w:szCs w:val="22"/>
            </w:rPr>
            <w:fldChar w:fldCharType="end"/>
          </w:r>
        </w:p>
        <w:p>
          <w:pPr>
            <w:pStyle w:val="18"/>
            <w:ind w:left="105"/>
            <w:rPr>
              <w:rFonts w:cs="Times New Roman" w:eastAsiaTheme="minorEastAsia"/>
              <w:sz w:val="22"/>
              <w:szCs w:val="22"/>
            </w:rPr>
          </w:pPr>
          <w:r>
            <w:rPr>
              <w:rFonts w:cs="Times New Roman" w:eastAsiaTheme="minorEastAsia"/>
              <w:sz w:val="22"/>
              <w:szCs w:val="22"/>
            </w:rPr>
            <w:t>特别提示</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_Toc79406417 \h </w:instrText>
          </w:r>
          <w:r>
            <w:rPr>
              <w:rFonts w:cs="Times New Roman" w:eastAsiaTheme="minorEastAsia"/>
              <w:sz w:val="22"/>
              <w:szCs w:val="22"/>
            </w:rPr>
            <w:fldChar w:fldCharType="separate"/>
          </w:r>
          <w:r>
            <w:rPr>
              <w:rFonts w:cs="Times New Roman" w:eastAsiaTheme="minorEastAsia"/>
              <w:sz w:val="22"/>
              <w:szCs w:val="22"/>
            </w:rPr>
            <w:t>2</w:t>
          </w:r>
          <w:r>
            <w:rPr>
              <w:rFonts w:cs="Times New Roman" w:eastAsiaTheme="minorEastAsia"/>
              <w:sz w:val="22"/>
              <w:szCs w:val="22"/>
            </w:rPr>
            <w:fldChar w:fldCharType="end"/>
          </w:r>
        </w:p>
        <w:p>
          <w:pPr>
            <w:pStyle w:val="18"/>
            <w:ind w:left="105"/>
            <w:rPr>
              <w:rFonts w:cs="Times New Roman" w:eastAsiaTheme="minorEastAsia"/>
              <w:sz w:val="22"/>
              <w:szCs w:val="22"/>
            </w:rPr>
          </w:pPr>
          <w:r>
            <w:rPr>
              <w:rFonts w:cs="Times New Roman" w:eastAsiaTheme="minorEastAsia"/>
              <w:b/>
              <w:bCs/>
              <w:sz w:val="22"/>
              <w:szCs w:val="22"/>
            </w:rPr>
            <w:t>目  录</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_Toc79406418 \h </w:instrText>
          </w:r>
          <w:r>
            <w:rPr>
              <w:rFonts w:cs="Times New Roman" w:eastAsiaTheme="minorEastAsia"/>
              <w:sz w:val="22"/>
              <w:szCs w:val="22"/>
            </w:rPr>
            <w:fldChar w:fldCharType="separate"/>
          </w:r>
          <w:r>
            <w:rPr>
              <w:rFonts w:cs="Times New Roman" w:eastAsiaTheme="minorEastAsia"/>
              <w:sz w:val="22"/>
              <w:szCs w:val="22"/>
            </w:rPr>
            <w:t>4</w:t>
          </w:r>
          <w:r>
            <w:rPr>
              <w:rFonts w:cs="Times New Roman" w:eastAsiaTheme="minorEastAsia"/>
              <w:sz w:val="22"/>
              <w:szCs w:val="22"/>
            </w:rPr>
            <w:fldChar w:fldCharType="end"/>
          </w:r>
        </w:p>
        <w:p>
          <w:pPr>
            <w:pStyle w:val="18"/>
            <w:ind w:left="105"/>
            <w:rPr>
              <w:rFonts w:cs="Times New Roman" w:eastAsiaTheme="minorEastAsia"/>
              <w:sz w:val="22"/>
              <w:szCs w:val="22"/>
            </w:rPr>
          </w:pPr>
          <w:r>
            <w:rPr>
              <w:rFonts w:cs="Times New Roman" w:eastAsiaTheme="minorEastAsia"/>
              <w:sz w:val="22"/>
              <w:szCs w:val="22"/>
            </w:rPr>
            <w:t>释义</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_Toc79406419 \h </w:instrText>
          </w:r>
          <w:r>
            <w:rPr>
              <w:rFonts w:cs="Times New Roman" w:eastAsiaTheme="minorEastAsia"/>
              <w:sz w:val="22"/>
              <w:szCs w:val="22"/>
            </w:rPr>
            <w:fldChar w:fldCharType="separate"/>
          </w:r>
          <w:r>
            <w:rPr>
              <w:rFonts w:cs="Times New Roman" w:eastAsiaTheme="minorEastAsia"/>
              <w:sz w:val="22"/>
              <w:szCs w:val="22"/>
            </w:rPr>
            <w:t>7</w:t>
          </w:r>
          <w:r>
            <w:rPr>
              <w:rFonts w:cs="Times New Roman" w:eastAsiaTheme="minorEastAsia"/>
              <w:sz w:val="22"/>
              <w:szCs w:val="22"/>
            </w:rPr>
            <w:fldChar w:fldCharType="end"/>
          </w:r>
        </w:p>
        <w:p>
          <w:pPr>
            <w:pStyle w:val="18"/>
            <w:tabs>
              <w:tab w:val="left" w:pos="823"/>
            </w:tabs>
            <w:ind w:left="105"/>
            <w:rPr>
              <w:rFonts w:cs="Times New Roman" w:eastAsiaTheme="minorEastAsia"/>
              <w:sz w:val="22"/>
              <w:szCs w:val="22"/>
            </w:rPr>
          </w:pPr>
          <w:r>
            <w:rPr>
              <w:rFonts w:cs="Times New Roman" w:eastAsiaTheme="minorEastAsia"/>
              <w:sz w:val="22"/>
              <w:szCs w:val="22"/>
            </w:rPr>
            <w:t>第一节</w:t>
          </w:r>
          <w:r>
            <w:rPr>
              <w:rFonts w:cs="Times New Roman" w:eastAsiaTheme="minorEastAsia"/>
              <w:sz w:val="22"/>
              <w:szCs w:val="22"/>
            </w:rPr>
            <w:tab/>
          </w:r>
          <w:r>
            <w:rPr>
              <w:rFonts w:cs="Times New Roman" w:eastAsiaTheme="minorEastAsia"/>
              <w:sz w:val="22"/>
              <w:szCs w:val="22"/>
            </w:rPr>
            <w:t>本次非公开发行股票方案概要</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_Toc79406420 \h </w:instrText>
          </w:r>
          <w:r>
            <w:rPr>
              <w:rFonts w:cs="Times New Roman" w:eastAsiaTheme="minorEastAsia"/>
              <w:sz w:val="22"/>
              <w:szCs w:val="22"/>
            </w:rPr>
            <w:fldChar w:fldCharType="separate"/>
          </w:r>
          <w:r>
            <w:rPr>
              <w:rFonts w:cs="Times New Roman" w:eastAsiaTheme="minorEastAsia"/>
              <w:sz w:val="22"/>
              <w:szCs w:val="22"/>
            </w:rPr>
            <w:t>8</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一、发行人概况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_Toc79406421 \h </w:instrText>
          </w:r>
          <w:r>
            <w:rPr>
              <w:rFonts w:cs="Times New Roman" w:eastAsiaTheme="minorEastAsia"/>
              <w:sz w:val="22"/>
              <w:szCs w:val="22"/>
            </w:rPr>
            <w:fldChar w:fldCharType="separate"/>
          </w:r>
          <w:r>
            <w:rPr>
              <w:rFonts w:cs="Times New Roman" w:eastAsiaTheme="minorEastAsia"/>
              <w:sz w:val="22"/>
              <w:szCs w:val="22"/>
            </w:rPr>
            <w:t>8</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二、上市公司本次非公开发行的背景和目的</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_Toc79406422 \h </w:instrText>
          </w:r>
          <w:r>
            <w:rPr>
              <w:rFonts w:cs="Times New Roman" w:eastAsiaTheme="minorEastAsia"/>
              <w:sz w:val="22"/>
              <w:szCs w:val="22"/>
            </w:rPr>
            <w:fldChar w:fldCharType="separate"/>
          </w:r>
          <w:r>
            <w:rPr>
              <w:rFonts w:cs="Times New Roman" w:eastAsiaTheme="minorEastAsia"/>
              <w:sz w:val="22"/>
              <w:szCs w:val="22"/>
            </w:rPr>
            <w:t>9</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三、发行对象及其与公司的关系</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_Toc79406423 \h </w:instrText>
          </w:r>
          <w:r>
            <w:rPr>
              <w:rFonts w:cs="Times New Roman" w:eastAsiaTheme="minorEastAsia"/>
              <w:sz w:val="22"/>
              <w:szCs w:val="22"/>
            </w:rPr>
            <w:fldChar w:fldCharType="separate"/>
          </w:r>
          <w:r>
            <w:rPr>
              <w:rFonts w:cs="Times New Roman" w:eastAsiaTheme="minorEastAsia"/>
              <w:sz w:val="22"/>
              <w:szCs w:val="22"/>
            </w:rPr>
            <w:t>10</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四、本次非公开发行方案概要</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_Toc79406424 \h </w:instrText>
          </w:r>
          <w:r>
            <w:rPr>
              <w:rFonts w:cs="Times New Roman" w:eastAsiaTheme="minorEastAsia"/>
              <w:sz w:val="22"/>
              <w:szCs w:val="22"/>
            </w:rPr>
            <w:fldChar w:fldCharType="separate"/>
          </w:r>
          <w:r>
            <w:rPr>
              <w:rFonts w:cs="Times New Roman" w:eastAsiaTheme="minorEastAsia"/>
              <w:sz w:val="22"/>
              <w:szCs w:val="22"/>
            </w:rPr>
            <w:t>11</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五、本次发行股票募集资金用途</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_Toc79406425 \h </w:instrText>
          </w:r>
          <w:r>
            <w:rPr>
              <w:rFonts w:cs="Times New Roman" w:eastAsiaTheme="minorEastAsia"/>
              <w:sz w:val="22"/>
              <w:szCs w:val="22"/>
            </w:rPr>
            <w:fldChar w:fldCharType="separate"/>
          </w:r>
          <w:r>
            <w:rPr>
              <w:rFonts w:cs="Times New Roman" w:eastAsiaTheme="minorEastAsia"/>
              <w:sz w:val="22"/>
              <w:szCs w:val="22"/>
            </w:rPr>
            <w:t>13</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六、本次发行是否构成关联交易</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_Toc79406426 \h </w:instrText>
          </w:r>
          <w:r>
            <w:rPr>
              <w:rFonts w:cs="Times New Roman" w:eastAsiaTheme="minorEastAsia"/>
              <w:sz w:val="22"/>
              <w:szCs w:val="22"/>
            </w:rPr>
            <w:fldChar w:fldCharType="separate"/>
          </w:r>
          <w:r>
            <w:rPr>
              <w:rFonts w:cs="Times New Roman" w:eastAsiaTheme="minorEastAsia"/>
              <w:sz w:val="22"/>
              <w:szCs w:val="22"/>
            </w:rPr>
            <w:t>13</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七、本次发行是否导致公司控制权发生变化</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_Toc79406427 \h </w:instrText>
          </w:r>
          <w:r>
            <w:rPr>
              <w:rFonts w:cs="Times New Roman" w:eastAsiaTheme="minorEastAsia"/>
              <w:sz w:val="22"/>
              <w:szCs w:val="22"/>
            </w:rPr>
            <w:fldChar w:fldCharType="separate"/>
          </w:r>
          <w:r>
            <w:rPr>
              <w:rFonts w:cs="Times New Roman" w:eastAsiaTheme="minorEastAsia"/>
              <w:sz w:val="22"/>
              <w:szCs w:val="22"/>
            </w:rPr>
            <w:t>14</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八、本次发行方案已经取得有关主管部门批准的情况以及尚需呈报批准的程序</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_Toc79406428 \h </w:instrText>
          </w:r>
          <w:r>
            <w:rPr>
              <w:rFonts w:cs="Times New Roman" w:eastAsiaTheme="minorEastAsia"/>
              <w:sz w:val="22"/>
              <w:szCs w:val="22"/>
            </w:rPr>
            <w:fldChar w:fldCharType="separate"/>
          </w:r>
          <w:r>
            <w:rPr>
              <w:rFonts w:cs="Times New Roman" w:eastAsiaTheme="minorEastAsia"/>
              <w:sz w:val="22"/>
              <w:szCs w:val="22"/>
            </w:rPr>
            <w:t>14</w:t>
          </w:r>
          <w:r>
            <w:rPr>
              <w:rFonts w:cs="Times New Roman" w:eastAsiaTheme="minorEastAsia"/>
              <w:sz w:val="22"/>
              <w:szCs w:val="22"/>
            </w:rPr>
            <w:fldChar w:fldCharType="end"/>
          </w:r>
        </w:p>
        <w:p>
          <w:pPr>
            <w:pStyle w:val="18"/>
            <w:ind w:left="105"/>
            <w:rPr>
              <w:rFonts w:cs="Times New Roman" w:eastAsiaTheme="minorEastAsia"/>
              <w:sz w:val="22"/>
              <w:szCs w:val="22"/>
            </w:rPr>
          </w:pPr>
          <w:r>
            <w:rPr>
              <w:rFonts w:cs="Times New Roman" w:eastAsiaTheme="minorEastAsia"/>
              <w:sz w:val="22"/>
              <w:szCs w:val="22"/>
            </w:rPr>
            <w:t>第二节 发行对象基本情况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_Toc79406429 \h </w:instrText>
          </w:r>
          <w:r>
            <w:rPr>
              <w:rFonts w:cs="Times New Roman" w:eastAsiaTheme="minorEastAsia"/>
              <w:sz w:val="22"/>
              <w:szCs w:val="22"/>
            </w:rPr>
            <w:fldChar w:fldCharType="separate"/>
          </w:r>
          <w:r>
            <w:rPr>
              <w:rFonts w:cs="Times New Roman" w:eastAsiaTheme="minorEastAsia"/>
              <w:sz w:val="22"/>
              <w:szCs w:val="22"/>
            </w:rPr>
            <w:t>16</w:t>
          </w:r>
          <w:r>
            <w:rPr>
              <w:rFonts w:cs="Times New Roman" w:eastAsiaTheme="minorEastAsia"/>
              <w:sz w:val="22"/>
              <w:szCs w:val="22"/>
            </w:rPr>
            <w:fldChar w:fldCharType="end"/>
          </w:r>
        </w:p>
        <w:p>
          <w:pPr>
            <w:pStyle w:val="22"/>
            <w:tabs>
              <w:tab w:val="left" w:pos="823"/>
            </w:tabs>
            <w:ind w:left="105" w:firstLine="220"/>
            <w:rPr>
              <w:rFonts w:cs="Times New Roman" w:eastAsiaTheme="minorEastAsia"/>
              <w:sz w:val="22"/>
              <w:szCs w:val="22"/>
            </w:rPr>
          </w:pPr>
          <w:r>
            <w:rPr>
              <w:rFonts w:cs="Times New Roman" w:eastAsiaTheme="minorEastAsia"/>
              <w:sz w:val="22"/>
              <w:szCs w:val="22"/>
            </w:rPr>
            <w:t>一、</w:t>
          </w:r>
          <w:r>
            <w:rPr>
              <w:rFonts w:cs="Times New Roman" w:eastAsiaTheme="minorEastAsia"/>
              <w:sz w:val="22"/>
              <w:szCs w:val="22"/>
            </w:rPr>
            <w:tab/>
          </w:r>
          <w:r>
            <w:rPr>
              <w:rFonts w:cs="Times New Roman" w:eastAsiaTheme="minorEastAsia"/>
              <w:sz w:val="22"/>
              <w:szCs w:val="22"/>
            </w:rPr>
            <w:t>概况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_Toc79406430 \h </w:instrText>
          </w:r>
          <w:r>
            <w:rPr>
              <w:rFonts w:cs="Times New Roman" w:eastAsiaTheme="minorEastAsia"/>
              <w:sz w:val="22"/>
              <w:szCs w:val="22"/>
            </w:rPr>
            <w:fldChar w:fldCharType="separate"/>
          </w:r>
          <w:r>
            <w:rPr>
              <w:rFonts w:cs="Times New Roman" w:eastAsiaTheme="minorEastAsia"/>
              <w:sz w:val="22"/>
              <w:szCs w:val="22"/>
            </w:rPr>
            <w:t>16</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二、股权控制关系</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_Toc79406431 \h </w:instrText>
          </w:r>
          <w:r>
            <w:rPr>
              <w:rFonts w:cs="Times New Roman" w:eastAsiaTheme="minorEastAsia"/>
              <w:sz w:val="22"/>
              <w:szCs w:val="22"/>
            </w:rPr>
            <w:fldChar w:fldCharType="separate"/>
          </w:r>
          <w:r>
            <w:rPr>
              <w:rFonts w:cs="Times New Roman" w:eastAsiaTheme="minorEastAsia"/>
              <w:sz w:val="22"/>
              <w:szCs w:val="22"/>
            </w:rPr>
            <w:t>16</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三、华鲁投资主营业务情况及最近三年业务发展情况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_Toc79406432 \h </w:instrText>
          </w:r>
          <w:r>
            <w:rPr>
              <w:rFonts w:cs="Times New Roman" w:eastAsiaTheme="minorEastAsia"/>
              <w:sz w:val="22"/>
              <w:szCs w:val="22"/>
            </w:rPr>
            <w:fldChar w:fldCharType="separate"/>
          </w:r>
          <w:r>
            <w:rPr>
              <w:rFonts w:cs="Times New Roman" w:eastAsiaTheme="minorEastAsia"/>
              <w:sz w:val="22"/>
              <w:szCs w:val="22"/>
            </w:rPr>
            <w:t>16</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四、华鲁投资最近一年主要财务数据</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_Toc79406433 \h </w:instrText>
          </w:r>
          <w:r>
            <w:rPr>
              <w:rFonts w:cs="Times New Roman" w:eastAsiaTheme="minorEastAsia"/>
              <w:sz w:val="22"/>
              <w:szCs w:val="22"/>
            </w:rPr>
            <w:fldChar w:fldCharType="separate"/>
          </w:r>
          <w:r>
            <w:rPr>
              <w:rFonts w:cs="Times New Roman" w:eastAsiaTheme="minorEastAsia"/>
              <w:sz w:val="22"/>
              <w:szCs w:val="22"/>
            </w:rPr>
            <w:t>17</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五、华鲁投资及其董事、监事和高级管理人员最近五年受过行政处罚、刑事处罚及涉及与经济纠纷有关的重大民事诉讼、仲裁情况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_Toc79406434 \h </w:instrText>
          </w:r>
          <w:r>
            <w:rPr>
              <w:rFonts w:cs="Times New Roman" w:eastAsiaTheme="minorEastAsia"/>
              <w:sz w:val="22"/>
              <w:szCs w:val="22"/>
            </w:rPr>
            <w:fldChar w:fldCharType="separate"/>
          </w:r>
          <w:r>
            <w:rPr>
              <w:rFonts w:cs="Times New Roman" w:eastAsiaTheme="minorEastAsia"/>
              <w:sz w:val="22"/>
              <w:szCs w:val="22"/>
            </w:rPr>
            <w:t>17</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六、本次发行完成后，华鲁投资及其控股股东、实际控制人与公司的同业竞争及关联交易情况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_Toc79406435 \h </w:instrText>
          </w:r>
          <w:r>
            <w:rPr>
              <w:rFonts w:cs="Times New Roman" w:eastAsiaTheme="minorEastAsia"/>
              <w:sz w:val="22"/>
              <w:szCs w:val="22"/>
            </w:rPr>
            <w:fldChar w:fldCharType="separate"/>
          </w:r>
          <w:r>
            <w:rPr>
              <w:rFonts w:cs="Times New Roman" w:eastAsiaTheme="minorEastAsia"/>
              <w:sz w:val="22"/>
              <w:szCs w:val="22"/>
            </w:rPr>
            <w:t>17</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七、本次发行预案披露前24个月内，华鲁投资及其控股股东、实际控制人与公司之间的重大交易情况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_Toc79406436 \h </w:instrText>
          </w:r>
          <w:r>
            <w:rPr>
              <w:rFonts w:cs="Times New Roman" w:eastAsiaTheme="minorEastAsia"/>
              <w:sz w:val="22"/>
              <w:szCs w:val="22"/>
            </w:rPr>
            <w:fldChar w:fldCharType="separate"/>
          </w:r>
          <w:r>
            <w:rPr>
              <w:rFonts w:cs="Times New Roman" w:eastAsiaTheme="minorEastAsia"/>
              <w:sz w:val="22"/>
              <w:szCs w:val="22"/>
            </w:rPr>
            <w:t>17</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八、本次认购资金来源情况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_Toc79406437 \h </w:instrText>
          </w:r>
          <w:r>
            <w:rPr>
              <w:rFonts w:cs="Times New Roman" w:eastAsiaTheme="minorEastAsia"/>
              <w:sz w:val="22"/>
              <w:szCs w:val="22"/>
            </w:rPr>
            <w:fldChar w:fldCharType="separate"/>
          </w:r>
          <w:r>
            <w:rPr>
              <w:rFonts w:cs="Times New Roman" w:eastAsiaTheme="minorEastAsia"/>
              <w:sz w:val="22"/>
              <w:szCs w:val="22"/>
            </w:rPr>
            <w:t>18</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九、关于豁免华鲁控股要约收购的说明</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_Toc79406438 \h </w:instrText>
          </w:r>
          <w:r>
            <w:rPr>
              <w:rFonts w:cs="Times New Roman" w:eastAsiaTheme="minorEastAsia"/>
              <w:sz w:val="22"/>
              <w:szCs w:val="22"/>
            </w:rPr>
            <w:fldChar w:fldCharType="separate"/>
          </w:r>
          <w:r>
            <w:rPr>
              <w:rFonts w:cs="Times New Roman" w:eastAsiaTheme="minorEastAsia"/>
              <w:sz w:val="22"/>
              <w:szCs w:val="22"/>
            </w:rPr>
            <w:t>18</w:t>
          </w:r>
          <w:r>
            <w:rPr>
              <w:rFonts w:cs="Times New Roman" w:eastAsiaTheme="minorEastAsia"/>
              <w:sz w:val="22"/>
              <w:szCs w:val="22"/>
            </w:rPr>
            <w:fldChar w:fldCharType="end"/>
          </w:r>
        </w:p>
        <w:p>
          <w:pPr>
            <w:pStyle w:val="18"/>
            <w:ind w:left="105"/>
            <w:rPr>
              <w:rFonts w:cs="Times New Roman" w:eastAsiaTheme="minorEastAsia"/>
              <w:sz w:val="22"/>
              <w:szCs w:val="22"/>
            </w:rPr>
          </w:pPr>
          <w:r>
            <w:rPr>
              <w:rFonts w:cs="Times New Roman" w:eastAsiaTheme="minorEastAsia"/>
              <w:sz w:val="22"/>
              <w:szCs w:val="22"/>
            </w:rPr>
            <w:t>第三节 附条件生效的股份认购合同</w:t>
          </w:r>
          <w:r>
            <w:rPr>
              <w:rFonts w:hint="eastAsia" w:ascii="楷体" w:hAnsi="楷体" w:eastAsia="楷体" w:cs="Times New Roman"/>
              <w:b/>
              <w:bCs/>
              <w:sz w:val="22"/>
              <w:szCs w:val="22"/>
            </w:rPr>
            <w:t>及补充合同</w:t>
          </w:r>
          <w:r>
            <w:rPr>
              <w:rFonts w:cs="Times New Roman" w:eastAsiaTheme="minorEastAsia"/>
              <w:sz w:val="22"/>
              <w:szCs w:val="22"/>
            </w:rPr>
            <w:t>摘要</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_Toc79406439 \h </w:instrText>
          </w:r>
          <w:r>
            <w:rPr>
              <w:rFonts w:cs="Times New Roman" w:eastAsiaTheme="minorEastAsia"/>
              <w:sz w:val="22"/>
              <w:szCs w:val="22"/>
            </w:rPr>
            <w:fldChar w:fldCharType="separate"/>
          </w:r>
          <w:r>
            <w:rPr>
              <w:rFonts w:cs="Times New Roman" w:eastAsiaTheme="minorEastAsia"/>
              <w:sz w:val="22"/>
              <w:szCs w:val="22"/>
            </w:rPr>
            <w:t>19</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一、附条件生效的股份认购合同摘要</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_Toc79406440 \h </w:instrText>
          </w:r>
          <w:r>
            <w:rPr>
              <w:rFonts w:cs="Times New Roman" w:eastAsiaTheme="minorEastAsia"/>
              <w:sz w:val="22"/>
              <w:szCs w:val="22"/>
            </w:rPr>
            <w:fldChar w:fldCharType="separate"/>
          </w:r>
          <w:r>
            <w:rPr>
              <w:rFonts w:cs="Times New Roman" w:eastAsiaTheme="minorEastAsia"/>
              <w:sz w:val="22"/>
              <w:szCs w:val="22"/>
            </w:rPr>
            <w:t>19</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（一）合同主体和签署时间</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_Toc79406441 \h </w:instrText>
          </w:r>
          <w:r>
            <w:rPr>
              <w:rFonts w:cs="Times New Roman" w:eastAsiaTheme="minorEastAsia"/>
              <w:sz w:val="22"/>
              <w:szCs w:val="22"/>
            </w:rPr>
            <w:fldChar w:fldCharType="separate"/>
          </w:r>
          <w:r>
            <w:rPr>
              <w:rFonts w:cs="Times New Roman" w:eastAsiaTheme="minorEastAsia"/>
              <w:sz w:val="22"/>
              <w:szCs w:val="22"/>
            </w:rPr>
            <w:t>19</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（二）认购标的及认购股份数量、定价原则及认购金额、锁定期</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_Toc79406442 \h </w:instrText>
          </w:r>
          <w:r>
            <w:rPr>
              <w:rFonts w:cs="Times New Roman" w:eastAsiaTheme="minorEastAsia"/>
              <w:sz w:val="22"/>
              <w:szCs w:val="22"/>
            </w:rPr>
            <w:fldChar w:fldCharType="separate"/>
          </w:r>
          <w:r>
            <w:rPr>
              <w:rFonts w:cs="Times New Roman" w:eastAsiaTheme="minorEastAsia"/>
              <w:sz w:val="22"/>
              <w:szCs w:val="22"/>
            </w:rPr>
            <w:t>19</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（三）支付方式</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_Toc79406443 \h </w:instrText>
          </w:r>
          <w:r>
            <w:rPr>
              <w:rFonts w:cs="Times New Roman" w:eastAsiaTheme="minorEastAsia"/>
              <w:sz w:val="22"/>
              <w:szCs w:val="22"/>
            </w:rPr>
            <w:fldChar w:fldCharType="separate"/>
          </w:r>
          <w:r>
            <w:rPr>
              <w:rFonts w:cs="Times New Roman" w:eastAsiaTheme="minorEastAsia"/>
              <w:sz w:val="22"/>
              <w:szCs w:val="22"/>
            </w:rPr>
            <w:t>20</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（四）合同的生效条件</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_Toc79406444 \h </w:instrText>
          </w:r>
          <w:r>
            <w:rPr>
              <w:rFonts w:cs="Times New Roman" w:eastAsiaTheme="minorEastAsia"/>
              <w:sz w:val="22"/>
              <w:szCs w:val="22"/>
            </w:rPr>
            <w:fldChar w:fldCharType="separate"/>
          </w:r>
          <w:r>
            <w:rPr>
              <w:rFonts w:cs="Times New Roman" w:eastAsiaTheme="minorEastAsia"/>
              <w:sz w:val="22"/>
              <w:szCs w:val="22"/>
            </w:rPr>
            <w:t>20</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（五）违约责任</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_Toc79406445 \h </w:instrText>
          </w:r>
          <w:r>
            <w:rPr>
              <w:rFonts w:cs="Times New Roman" w:eastAsiaTheme="minorEastAsia"/>
              <w:sz w:val="22"/>
              <w:szCs w:val="22"/>
            </w:rPr>
            <w:fldChar w:fldCharType="separate"/>
          </w:r>
          <w:r>
            <w:rPr>
              <w:rFonts w:cs="Times New Roman" w:eastAsiaTheme="minorEastAsia"/>
              <w:sz w:val="22"/>
              <w:szCs w:val="22"/>
            </w:rPr>
            <w:t>21</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（六）合同的补充、修改、转让和终止</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_Toc79406446 \h </w:instrText>
          </w:r>
          <w:r>
            <w:rPr>
              <w:rFonts w:cs="Times New Roman" w:eastAsiaTheme="minorEastAsia"/>
              <w:sz w:val="22"/>
              <w:szCs w:val="22"/>
            </w:rPr>
            <w:fldChar w:fldCharType="separate"/>
          </w:r>
          <w:r>
            <w:rPr>
              <w:rFonts w:cs="Times New Roman" w:eastAsiaTheme="minorEastAsia"/>
              <w:sz w:val="22"/>
              <w:szCs w:val="22"/>
            </w:rPr>
            <w:t>21</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（七）其他</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_Toc79406447 \h </w:instrText>
          </w:r>
          <w:r>
            <w:rPr>
              <w:rFonts w:cs="Times New Roman" w:eastAsiaTheme="minorEastAsia"/>
              <w:sz w:val="22"/>
              <w:szCs w:val="22"/>
            </w:rPr>
            <w:fldChar w:fldCharType="separate"/>
          </w:r>
          <w:r>
            <w:rPr>
              <w:rFonts w:cs="Times New Roman" w:eastAsiaTheme="minorEastAsia"/>
              <w:sz w:val="22"/>
              <w:szCs w:val="22"/>
            </w:rPr>
            <w:t>22</w:t>
          </w:r>
          <w:r>
            <w:rPr>
              <w:rFonts w:cs="Times New Roman" w:eastAsiaTheme="minorEastAsia"/>
              <w:sz w:val="22"/>
              <w:szCs w:val="22"/>
            </w:rPr>
            <w:fldChar w:fldCharType="end"/>
          </w:r>
        </w:p>
        <w:p>
          <w:pPr>
            <w:pStyle w:val="22"/>
            <w:ind w:left="105" w:firstLine="221"/>
            <w:rPr>
              <w:rFonts w:ascii="楷体" w:hAnsi="楷体" w:eastAsia="楷体" w:cs="Times New Roman"/>
              <w:b/>
              <w:bCs/>
              <w:sz w:val="22"/>
              <w:szCs w:val="22"/>
            </w:rPr>
          </w:pPr>
          <w:r>
            <w:rPr>
              <w:rFonts w:ascii="楷体" w:hAnsi="楷体" w:eastAsia="楷体" w:cs="Times New Roman"/>
              <w:b/>
              <w:bCs/>
              <w:sz w:val="22"/>
              <w:szCs w:val="22"/>
            </w:rPr>
            <w:t>二、附条件生效的股份认购合同之补充合同摘要</w:t>
          </w:r>
          <w:r>
            <w:rPr>
              <w:rFonts w:ascii="楷体" w:hAnsi="楷体" w:eastAsia="楷体" w:cs="Times New Roman"/>
              <w:b/>
              <w:bCs/>
              <w:sz w:val="22"/>
              <w:szCs w:val="22"/>
            </w:rPr>
            <w:tab/>
          </w:r>
          <w:r>
            <w:rPr>
              <w:rFonts w:ascii="楷体" w:hAnsi="楷体" w:eastAsia="楷体" w:cs="Times New Roman"/>
              <w:b/>
              <w:bCs/>
              <w:sz w:val="22"/>
              <w:szCs w:val="22"/>
            </w:rPr>
            <w:fldChar w:fldCharType="begin"/>
          </w:r>
          <w:r>
            <w:rPr>
              <w:rFonts w:ascii="楷体" w:hAnsi="楷体" w:eastAsia="楷体" w:cs="Times New Roman"/>
              <w:b/>
              <w:bCs/>
              <w:sz w:val="22"/>
              <w:szCs w:val="22"/>
            </w:rPr>
            <w:instrText xml:space="preserve"> PAGEREF _Toc79406448 \h </w:instrText>
          </w:r>
          <w:r>
            <w:rPr>
              <w:rFonts w:ascii="楷体" w:hAnsi="楷体" w:eastAsia="楷体" w:cs="Times New Roman"/>
              <w:b/>
              <w:bCs/>
              <w:sz w:val="22"/>
              <w:szCs w:val="22"/>
            </w:rPr>
            <w:fldChar w:fldCharType="separate"/>
          </w:r>
          <w:r>
            <w:rPr>
              <w:rFonts w:ascii="楷体" w:hAnsi="楷体" w:eastAsia="楷体" w:cs="Times New Roman"/>
              <w:b/>
              <w:bCs/>
              <w:sz w:val="22"/>
              <w:szCs w:val="22"/>
            </w:rPr>
            <w:t>22</w:t>
          </w:r>
          <w:r>
            <w:rPr>
              <w:rFonts w:ascii="楷体" w:hAnsi="楷体" w:eastAsia="楷体" w:cs="Times New Roman"/>
              <w:b/>
              <w:bCs/>
              <w:sz w:val="22"/>
              <w:szCs w:val="22"/>
            </w:rPr>
            <w:fldChar w:fldCharType="end"/>
          </w:r>
        </w:p>
        <w:p>
          <w:pPr>
            <w:pStyle w:val="22"/>
            <w:ind w:left="105" w:firstLine="221"/>
            <w:rPr>
              <w:rFonts w:ascii="楷体" w:hAnsi="楷体" w:eastAsia="楷体" w:cs="Times New Roman"/>
              <w:b/>
              <w:bCs/>
              <w:sz w:val="22"/>
              <w:szCs w:val="22"/>
            </w:rPr>
          </w:pPr>
          <w:r>
            <w:rPr>
              <w:rFonts w:ascii="楷体" w:hAnsi="楷体" w:eastAsia="楷体" w:cs="Times New Roman"/>
              <w:b/>
              <w:bCs/>
              <w:sz w:val="22"/>
              <w:szCs w:val="22"/>
            </w:rPr>
            <w:t>（一）合同主体和签署时间</w:t>
          </w:r>
          <w:r>
            <w:rPr>
              <w:rFonts w:ascii="楷体" w:hAnsi="楷体" w:eastAsia="楷体" w:cs="Times New Roman"/>
              <w:b/>
              <w:bCs/>
              <w:sz w:val="22"/>
              <w:szCs w:val="22"/>
            </w:rPr>
            <w:tab/>
          </w:r>
          <w:r>
            <w:rPr>
              <w:rFonts w:ascii="楷体" w:hAnsi="楷体" w:eastAsia="楷体" w:cs="Times New Roman"/>
              <w:b/>
              <w:bCs/>
              <w:sz w:val="22"/>
              <w:szCs w:val="22"/>
            </w:rPr>
            <w:fldChar w:fldCharType="begin"/>
          </w:r>
          <w:r>
            <w:rPr>
              <w:rFonts w:ascii="楷体" w:hAnsi="楷体" w:eastAsia="楷体" w:cs="Times New Roman"/>
              <w:b/>
              <w:bCs/>
              <w:sz w:val="22"/>
              <w:szCs w:val="22"/>
            </w:rPr>
            <w:instrText xml:space="preserve"> PAGEREF _Toc79406449 \h </w:instrText>
          </w:r>
          <w:r>
            <w:rPr>
              <w:rFonts w:ascii="楷体" w:hAnsi="楷体" w:eastAsia="楷体" w:cs="Times New Roman"/>
              <w:b/>
              <w:bCs/>
              <w:sz w:val="22"/>
              <w:szCs w:val="22"/>
            </w:rPr>
            <w:fldChar w:fldCharType="separate"/>
          </w:r>
          <w:r>
            <w:rPr>
              <w:rFonts w:ascii="楷体" w:hAnsi="楷体" w:eastAsia="楷体" w:cs="Times New Roman"/>
              <w:b/>
              <w:bCs/>
              <w:sz w:val="22"/>
              <w:szCs w:val="22"/>
            </w:rPr>
            <w:t>22</w:t>
          </w:r>
          <w:r>
            <w:rPr>
              <w:rFonts w:ascii="楷体" w:hAnsi="楷体" w:eastAsia="楷体" w:cs="Times New Roman"/>
              <w:b/>
              <w:bCs/>
              <w:sz w:val="22"/>
              <w:szCs w:val="22"/>
            </w:rPr>
            <w:fldChar w:fldCharType="end"/>
          </w:r>
        </w:p>
        <w:p>
          <w:pPr>
            <w:pStyle w:val="22"/>
            <w:ind w:left="105" w:firstLine="221"/>
            <w:rPr>
              <w:rFonts w:ascii="楷体" w:hAnsi="楷体" w:eastAsia="楷体" w:cs="Times New Roman"/>
              <w:b/>
              <w:bCs/>
              <w:sz w:val="22"/>
              <w:szCs w:val="22"/>
            </w:rPr>
          </w:pPr>
          <w:r>
            <w:rPr>
              <w:rFonts w:ascii="楷体" w:hAnsi="楷体" w:eastAsia="楷体" w:cs="Times New Roman"/>
              <w:b/>
              <w:bCs/>
              <w:sz w:val="22"/>
              <w:szCs w:val="22"/>
            </w:rPr>
            <w:t>（二）认购价格及认购数量</w:t>
          </w:r>
          <w:r>
            <w:rPr>
              <w:rFonts w:ascii="楷体" w:hAnsi="楷体" w:eastAsia="楷体" w:cs="Times New Roman"/>
              <w:b/>
              <w:bCs/>
              <w:sz w:val="22"/>
              <w:szCs w:val="22"/>
            </w:rPr>
            <w:tab/>
          </w:r>
          <w:r>
            <w:rPr>
              <w:rFonts w:ascii="楷体" w:hAnsi="楷体" w:eastAsia="楷体" w:cs="Times New Roman"/>
              <w:b/>
              <w:bCs/>
              <w:sz w:val="22"/>
              <w:szCs w:val="22"/>
            </w:rPr>
            <w:fldChar w:fldCharType="begin"/>
          </w:r>
          <w:r>
            <w:rPr>
              <w:rFonts w:ascii="楷体" w:hAnsi="楷体" w:eastAsia="楷体" w:cs="Times New Roman"/>
              <w:b/>
              <w:bCs/>
              <w:sz w:val="22"/>
              <w:szCs w:val="22"/>
            </w:rPr>
            <w:instrText xml:space="preserve"> PAGEREF _Toc79406450 \h </w:instrText>
          </w:r>
          <w:r>
            <w:rPr>
              <w:rFonts w:ascii="楷体" w:hAnsi="楷体" w:eastAsia="楷体" w:cs="Times New Roman"/>
              <w:b/>
              <w:bCs/>
              <w:sz w:val="22"/>
              <w:szCs w:val="22"/>
            </w:rPr>
            <w:fldChar w:fldCharType="separate"/>
          </w:r>
          <w:r>
            <w:rPr>
              <w:rFonts w:ascii="楷体" w:hAnsi="楷体" w:eastAsia="楷体" w:cs="Times New Roman"/>
              <w:b/>
              <w:bCs/>
              <w:sz w:val="22"/>
              <w:szCs w:val="22"/>
            </w:rPr>
            <w:t>22</w:t>
          </w:r>
          <w:r>
            <w:rPr>
              <w:rFonts w:ascii="楷体" w:hAnsi="楷体" w:eastAsia="楷体" w:cs="Times New Roman"/>
              <w:b/>
              <w:bCs/>
              <w:sz w:val="22"/>
              <w:szCs w:val="22"/>
            </w:rPr>
            <w:fldChar w:fldCharType="end"/>
          </w:r>
        </w:p>
        <w:p>
          <w:pPr>
            <w:pStyle w:val="22"/>
            <w:ind w:left="105" w:firstLine="221"/>
            <w:rPr>
              <w:rFonts w:ascii="楷体" w:hAnsi="楷体" w:eastAsia="楷体" w:cs="Times New Roman"/>
              <w:b/>
              <w:bCs/>
              <w:sz w:val="22"/>
              <w:szCs w:val="22"/>
            </w:rPr>
          </w:pPr>
          <w:r>
            <w:rPr>
              <w:rFonts w:ascii="楷体" w:hAnsi="楷体" w:eastAsia="楷体" w:cs="Times New Roman"/>
              <w:b/>
              <w:bCs/>
              <w:sz w:val="22"/>
              <w:szCs w:val="22"/>
            </w:rPr>
            <w:t>（三）其他</w:t>
          </w:r>
          <w:r>
            <w:rPr>
              <w:rFonts w:ascii="楷体" w:hAnsi="楷体" w:eastAsia="楷体" w:cs="Times New Roman"/>
              <w:b/>
              <w:bCs/>
              <w:sz w:val="22"/>
              <w:szCs w:val="22"/>
            </w:rPr>
            <w:tab/>
          </w:r>
          <w:r>
            <w:rPr>
              <w:rFonts w:ascii="楷体" w:hAnsi="楷体" w:eastAsia="楷体" w:cs="Times New Roman"/>
              <w:b/>
              <w:bCs/>
              <w:sz w:val="22"/>
              <w:szCs w:val="22"/>
            </w:rPr>
            <w:fldChar w:fldCharType="begin"/>
          </w:r>
          <w:r>
            <w:rPr>
              <w:rFonts w:ascii="楷体" w:hAnsi="楷体" w:eastAsia="楷体" w:cs="Times New Roman"/>
              <w:b/>
              <w:bCs/>
              <w:sz w:val="22"/>
              <w:szCs w:val="22"/>
            </w:rPr>
            <w:instrText xml:space="preserve"> PAGEREF _Toc79406451 \h </w:instrText>
          </w:r>
          <w:r>
            <w:rPr>
              <w:rFonts w:ascii="楷体" w:hAnsi="楷体" w:eastAsia="楷体" w:cs="Times New Roman"/>
              <w:b/>
              <w:bCs/>
              <w:sz w:val="22"/>
              <w:szCs w:val="22"/>
            </w:rPr>
            <w:fldChar w:fldCharType="separate"/>
          </w:r>
          <w:r>
            <w:rPr>
              <w:rFonts w:ascii="楷体" w:hAnsi="楷体" w:eastAsia="楷体" w:cs="Times New Roman"/>
              <w:b/>
              <w:bCs/>
              <w:sz w:val="22"/>
              <w:szCs w:val="22"/>
            </w:rPr>
            <w:t>23</w:t>
          </w:r>
          <w:r>
            <w:rPr>
              <w:rFonts w:ascii="楷体" w:hAnsi="楷体" w:eastAsia="楷体" w:cs="Times New Roman"/>
              <w:b/>
              <w:bCs/>
              <w:sz w:val="22"/>
              <w:szCs w:val="22"/>
            </w:rPr>
            <w:fldChar w:fldCharType="end"/>
          </w:r>
        </w:p>
        <w:p>
          <w:pPr>
            <w:pStyle w:val="18"/>
            <w:ind w:left="105"/>
            <w:rPr>
              <w:rFonts w:cs="Times New Roman" w:eastAsiaTheme="minorEastAsia"/>
              <w:sz w:val="22"/>
              <w:szCs w:val="22"/>
            </w:rPr>
          </w:pPr>
          <w:r>
            <w:rPr>
              <w:rFonts w:cs="Times New Roman" w:eastAsiaTheme="minorEastAsia"/>
              <w:sz w:val="22"/>
              <w:szCs w:val="22"/>
            </w:rPr>
            <w:t>第四节 董事会关于本次募集资金使用的可行性分析</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_Toc79406452 \h </w:instrText>
          </w:r>
          <w:r>
            <w:rPr>
              <w:rFonts w:cs="Times New Roman" w:eastAsiaTheme="minorEastAsia"/>
              <w:sz w:val="22"/>
              <w:szCs w:val="22"/>
            </w:rPr>
            <w:fldChar w:fldCharType="separate"/>
          </w:r>
          <w:r>
            <w:rPr>
              <w:rFonts w:cs="Times New Roman" w:eastAsiaTheme="minorEastAsia"/>
              <w:sz w:val="22"/>
              <w:szCs w:val="22"/>
            </w:rPr>
            <w:t>24</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一、本次募集资金的使用计划</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_Toc79406453 \h </w:instrText>
          </w:r>
          <w:r>
            <w:rPr>
              <w:rFonts w:cs="Times New Roman" w:eastAsiaTheme="minorEastAsia"/>
              <w:sz w:val="22"/>
              <w:szCs w:val="22"/>
            </w:rPr>
            <w:fldChar w:fldCharType="separate"/>
          </w:r>
          <w:r>
            <w:rPr>
              <w:rFonts w:cs="Times New Roman" w:eastAsiaTheme="minorEastAsia"/>
              <w:sz w:val="22"/>
              <w:szCs w:val="22"/>
            </w:rPr>
            <w:t>24</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二、本次募集资金使用的必要性和可行性分析</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_Toc79406454 \h </w:instrText>
          </w:r>
          <w:r>
            <w:rPr>
              <w:rFonts w:cs="Times New Roman" w:eastAsiaTheme="minorEastAsia"/>
              <w:sz w:val="22"/>
              <w:szCs w:val="22"/>
            </w:rPr>
            <w:fldChar w:fldCharType="separate"/>
          </w:r>
          <w:r>
            <w:rPr>
              <w:rFonts w:cs="Times New Roman" w:eastAsiaTheme="minorEastAsia"/>
              <w:sz w:val="22"/>
              <w:szCs w:val="22"/>
            </w:rPr>
            <w:t>24</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三、本次募集资金投向涉及的报批事项</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_Toc79406455 \h </w:instrText>
          </w:r>
          <w:r>
            <w:rPr>
              <w:rFonts w:cs="Times New Roman" w:eastAsiaTheme="minorEastAsia"/>
              <w:sz w:val="22"/>
              <w:szCs w:val="22"/>
            </w:rPr>
            <w:fldChar w:fldCharType="separate"/>
          </w:r>
          <w:r>
            <w:rPr>
              <w:rFonts w:cs="Times New Roman" w:eastAsiaTheme="minorEastAsia"/>
              <w:sz w:val="22"/>
              <w:szCs w:val="22"/>
            </w:rPr>
            <w:t>25</w:t>
          </w:r>
          <w:r>
            <w:rPr>
              <w:rFonts w:cs="Times New Roman" w:eastAsiaTheme="minorEastAsia"/>
              <w:sz w:val="22"/>
              <w:szCs w:val="22"/>
            </w:rPr>
            <w:fldChar w:fldCharType="end"/>
          </w:r>
        </w:p>
        <w:p>
          <w:pPr>
            <w:pStyle w:val="18"/>
            <w:ind w:left="105"/>
            <w:rPr>
              <w:rFonts w:cs="Times New Roman" w:eastAsiaTheme="minorEastAsia"/>
              <w:sz w:val="22"/>
              <w:szCs w:val="22"/>
            </w:rPr>
          </w:pPr>
          <w:r>
            <w:rPr>
              <w:rFonts w:cs="Times New Roman" w:eastAsiaTheme="minorEastAsia"/>
              <w:sz w:val="22"/>
              <w:szCs w:val="22"/>
            </w:rPr>
            <w:t>第五节 董事会关于本次发行对公司影响的讨论与分析</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_Toc79406456 \h </w:instrText>
          </w:r>
          <w:r>
            <w:rPr>
              <w:rFonts w:cs="Times New Roman" w:eastAsiaTheme="minorEastAsia"/>
              <w:sz w:val="22"/>
              <w:szCs w:val="22"/>
            </w:rPr>
            <w:fldChar w:fldCharType="separate"/>
          </w:r>
          <w:r>
            <w:rPr>
              <w:rFonts w:cs="Times New Roman" w:eastAsiaTheme="minorEastAsia"/>
              <w:sz w:val="22"/>
              <w:szCs w:val="22"/>
            </w:rPr>
            <w:t>26</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一、本次发行对公司业务、资产、公司章程、股东结构以及高级管理人员的影响</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_Toc79406457 \h </w:instrText>
          </w:r>
          <w:r>
            <w:rPr>
              <w:rFonts w:cs="Times New Roman" w:eastAsiaTheme="minorEastAsia"/>
              <w:sz w:val="22"/>
              <w:szCs w:val="22"/>
            </w:rPr>
            <w:fldChar w:fldCharType="separate"/>
          </w:r>
          <w:r>
            <w:rPr>
              <w:rFonts w:cs="Times New Roman" w:eastAsiaTheme="minorEastAsia"/>
              <w:sz w:val="22"/>
              <w:szCs w:val="22"/>
            </w:rPr>
            <w:t>26</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二、本次发行后公司财务状况、盈利能力以及现金流量的变动情况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_Toc79406458 \h </w:instrText>
          </w:r>
          <w:r>
            <w:rPr>
              <w:rFonts w:cs="Times New Roman" w:eastAsiaTheme="minorEastAsia"/>
              <w:sz w:val="22"/>
              <w:szCs w:val="22"/>
            </w:rPr>
            <w:fldChar w:fldCharType="separate"/>
          </w:r>
          <w:r>
            <w:rPr>
              <w:rFonts w:cs="Times New Roman" w:eastAsiaTheme="minorEastAsia"/>
              <w:sz w:val="22"/>
              <w:szCs w:val="22"/>
            </w:rPr>
            <w:t>27</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三、公司与控股股东、实际控制人及其关联人之间的业务关系、管理关系、关联交易及同业竞争等变化情况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_Toc79406459 \h </w:instrText>
          </w:r>
          <w:r>
            <w:rPr>
              <w:rFonts w:cs="Times New Roman" w:eastAsiaTheme="minorEastAsia"/>
              <w:sz w:val="22"/>
              <w:szCs w:val="22"/>
            </w:rPr>
            <w:fldChar w:fldCharType="separate"/>
          </w:r>
          <w:r>
            <w:rPr>
              <w:rFonts w:cs="Times New Roman" w:eastAsiaTheme="minorEastAsia"/>
              <w:sz w:val="22"/>
              <w:szCs w:val="22"/>
            </w:rPr>
            <w:t>27</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四、本次发行完成后，公司是否存在资金、资产被控股股东及关联人占用的情形，或公司为控股股东及其关联人提供担保的情形</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_Toc79406460 \h </w:instrText>
          </w:r>
          <w:r>
            <w:rPr>
              <w:rFonts w:cs="Times New Roman" w:eastAsiaTheme="minorEastAsia"/>
              <w:sz w:val="22"/>
              <w:szCs w:val="22"/>
            </w:rPr>
            <w:fldChar w:fldCharType="separate"/>
          </w:r>
          <w:r>
            <w:rPr>
              <w:rFonts w:cs="Times New Roman" w:eastAsiaTheme="minorEastAsia"/>
              <w:sz w:val="22"/>
              <w:szCs w:val="22"/>
            </w:rPr>
            <w:t>27</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五、公司负债结构是否合理，是否存在通过本次发行大量增加负债（包括或有负债）的情况，是否存在负债比例过低、财务成本不合理的情况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_Toc79406461 \h </w:instrText>
          </w:r>
          <w:r>
            <w:rPr>
              <w:rFonts w:cs="Times New Roman" w:eastAsiaTheme="minorEastAsia"/>
              <w:sz w:val="22"/>
              <w:szCs w:val="22"/>
            </w:rPr>
            <w:fldChar w:fldCharType="separate"/>
          </w:r>
          <w:r>
            <w:rPr>
              <w:rFonts w:cs="Times New Roman" w:eastAsiaTheme="minorEastAsia"/>
              <w:sz w:val="22"/>
              <w:szCs w:val="22"/>
            </w:rPr>
            <w:t>28</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六、本次发行相关的风险因素</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_Toc79406462 \h </w:instrText>
          </w:r>
          <w:r>
            <w:rPr>
              <w:rFonts w:cs="Times New Roman" w:eastAsiaTheme="minorEastAsia"/>
              <w:sz w:val="22"/>
              <w:szCs w:val="22"/>
            </w:rPr>
            <w:fldChar w:fldCharType="separate"/>
          </w:r>
          <w:r>
            <w:rPr>
              <w:rFonts w:cs="Times New Roman" w:eastAsiaTheme="minorEastAsia"/>
              <w:sz w:val="22"/>
              <w:szCs w:val="22"/>
            </w:rPr>
            <w:t>28</w:t>
          </w:r>
          <w:r>
            <w:rPr>
              <w:rFonts w:cs="Times New Roman" w:eastAsiaTheme="minorEastAsia"/>
              <w:sz w:val="22"/>
              <w:szCs w:val="22"/>
            </w:rPr>
            <w:fldChar w:fldCharType="end"/>
          </w:r>
        </w:p>
        <w:p>
          <w:pPr>
            <w:pStyle w:val="18"/>
            <w:ind w:left="105"/>
            <w:rPr>
              <w:rFonts w:cs="Times New Roman" w:eastAsiaTheme="minorEastAsia"/>
              <w:sz w:val="22"/>
              <w:szCs w:val="22"/>
            </w:rPr>
          </w:pPr>
          <w:r>
            <w:rPr>
              <w:rFonts w:cs="Times New Roman" w:eastAsiaTheme="minorEastAsia"/>
              <w:sz w:val="22"/>
              <w:szCs w:val="22"/>
            </w:rPr>
            <w:t>第六节 公司利润分配政策及股利分配情况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_Toc79406463 \h </w:instrText>
          </w:r>
          <w:r>
            <w:rPr>
              <w:rFonts w:cs="Times New Roman" w:eastAsiaTheme="minorEastAsia"/>
              <w:sz w:val="22"/>
              <w:szCs w:val="22"/>
            </w:rPr>
            <w:fldChar w:fldCharType="separate"/>
          </w:r>
          <w:r>
            <w:rPr>
              <w:rFonts w:cs="Times New Roman" w:eastAsiaTheme="minorEastAsia"/>
              <w:sz w:val="22"/>
              <w:szCs w:val="22"/>
            </w:rPr>
            <w:t>30</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一、公司利润分配政策及执行情况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_Toc79406464 \h </w:instrText>
          </w:r>
          <w:r>
            <w:rPr>
              <w:rFonts w:cs="Times New Roman" w:eastAsiaTheme="minorEastAsia"/>
              <w:sz w:val="22"/>
              <w:szCs w:val="22"/>
            </w:rPr>
            <w:fldChar w:fldCharType="separate"/>
          </w:r>
          <w:r>
            <w:rPr>
              <w:rFonts w:cs="Times New Roman" w:eastAsiaTheme="minorEastAsia"/>
              <w:sz w:val="22"/>
              <w:szCs w:val="22"/>
            </w:rPr>
            <w:t>30</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二、公司近三年的分红情况及未分配利润的使用情况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_Toc79406465 \h </w:instrText>
          </w:r>
          <w:r>
            <w:rPr>
              <w:rFonts w:cs="Times New Roman" w:eastAsiaTheme="minorEastAsia"/>
              <w:sz w:val="22"/>
              <w:szCs w:val="22"/>
            </w:rPr>
            <w:fldChar w:fldCharType="separate"/>
          </w:r>
          <w:r>
            <w:rPr>
              <w:rFonts w:cs="Times New Roman" w:eastAsiaTheme="minorEastAsia"/>
              <w:sz w:val="22"/>
              <w:szCs w:val="22"/>
            </w:rPr>
            <w:t>32</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三、未来三年分红计划</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_Toc79406466 \h </w:instrText>
          </w:r>
          <w:r>
            <w:rPr>
              <w:rFonts w:cs="Times New Roman" w:eastAsiaTheme="minorEastAsia"/>
              <w:sz w:val="22"/>
              <w:szCs w:val="22"/>
            </w:rPr>
            <w:fldChar w:fldCharType="separate"/>
          </w:r>
          <w:r>
            <w:rPr>
              <w:rFonts w:cs="Times New Roman" w:eastAsiaTheme="minorEastAsia"/>
              <w:sz w:val="22"/>
              <w:szCs w:val="22"/>
            </w:rPr>
            <w:t>32</w:t>
          </w:r>
          <w:r>
            <w:rPr>
              <w:rFonts w:cs="Times New Roman" w:eastAsiaTheme="minorEastAsia"/>
              <w:sz w:val="22"/>
              <w:szCs w:val="22"/>
            </w:rPr>
            <w:fldChar w:fldCharType="end"/>
          </w:r>
        </w:p>
        <w:p>
          <w:pPr>
            <w:pStyle w:val="18"/>
            <w:ind w:left="105"/>
            <w:rPr>
              <w:rFonts w:cs="Times New Roman" w:eastAsiaTheme="minorEastAsia"/>
              <w:sz w:val="22"/>
              <w:szCs w:val="22"/>
            </w:rPr>
          </w:pPr>
          <w:r>
            <w:rPr>
              <w:rFonts w:cs="Times New Roman" w:eastAsiaTheme="minorEastAsia"/>
              <w:sz w:val="22"/>
              <w:szCs w:val="22"/>
            </w:rPr>
            <w:t>第七节 摊薄即期回报的风险及采取的措施</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_Toc79406467 \h </w:instrText>
          </w:r>
          <w:r>
            <w:rPr>
              <w:rFonts w:cs="Times New Roman" w:eastAsiaTheme="minorEastAsia"/>
              <w:sz w:val="22"/>
              <w:szCs w:val="22"/>
            </w:rPr>
            <w:fldChar w:fldCharType="separate"/>
          </w:r>
          <w:r>
            <w:rPr>
              <w:rFonts w:cs="Times New Roman" w:eastAsiaTheme="minorEastAsia"/>
              <w:sz w:val="22"/>
              <w:szCs w:val="22"/>
            </w:rPr>
            <w:t>36</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一、本次非公开发行摊薄即期收益的风险及对公司主要财务指标的影响分析</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_Toc79406468 \h </w:instrText>
          </w:r>
          <w:r>
            <w:rPr>
              <w:rFonts w:cs="Times New Roman" w:eastAsiaTheme="minorEastAsia"/>
              <w:sz w:val="22"/>
              <w:szCs w:val="22"/>
            </w:rPr>
            <w:fldChar w:fldCharType="separate"/>
          </w:r>
          <w:r>
            <w:rPr>
              <w:rFonts w:cs="Times New Roman" w:eastAsiaTheme="minorEastAsia"/>
              <w:sz w:val="22"/>
              <w:szCs w:val="22"/>
            </w:rPr>
            <w:t>36</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二、本次募投项目与公司现有业务的关系及公司从事募投项目在人员、技术、市场等方面的储备情况</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_Toc79406469 \h </w:instrText>
          </w:r>
          <w:r>
            <w:rPr>
              <w:rFonts w:cs="Times New Roman" w:eastAsiaTheme="minorEastAsia"/>
              <w:sz w:val="22"/>
              <w:szCs w:val="22"/>
            </w:rPr>
            <w:fldChar w:fldCharType="separate"/>
          </w:r>
          <w:r>
            <w:rPr>
              <w:rFonts w:cs="Times New Roman" w:eastAsiaTheme="minorEastAsia"/>
              <w:sz w:val="22"/>
              <w:szCs w:val="22"/>
            </w:rPr>
            <w:t>38</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三、公司采取的填补回报的具体措施</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_Toc79406470 \h </w:instrText>
          </w:r>
          <w:r>
            <w:rPr>
              <w:rFonts w:cs="Times New Roman" w:eastAsiaTheme="minorEastAsia"/>
              <w:sz w:val="22"/>
              <w:szCs w:val="22"/>
            </w:rPr>
            <w:fldChar w:fldCharType="separate"/>
          </w:r>
          <w:r>
            <w:rPr>
              <w:rFonts w:cs="Times New Roman" w:eastAsiaTheme="minorEastAsia"/>
              <w:sz w:val="22"/>
              <w:szCs w:val="22"/>
            </w:rPr>
            <w:t>38</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四、公司董事、高级管理人员对公司填补回报措施的承诺</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_Toc79406471 \h </w:instrText>
          </w:r>
          <w:r>
            <w:rPr>
              <w:rFonts w:cs="Times New Roman" w:eastAsiaTheme="minorEastAsia"/>
              <w:sz w:val="22"/>
              <w:szCs w:val="22"/>
            </w:rPr>
            <w:fldChar w:fldCharType="separate"/>
          </w:r>
          <w:r>
            <w:rPr>
              <w:rFonts w:cs="Times New Roman" w:eastAsiaTheme="minorEastAsia"/>
              <w:sz w:val="22"/>
              <w:szCs w:val="22"/>
            </w:rPr>
            <w:t>40</w:t>
          </w:r>
          <w:r>
            <w:rPr>
              <w:rFonts w:cs="Times New Roman" w:eastAsiaTheme="minorEastAsia"/>
              <w:sz w:val="22"/>
              <w:szCs w:val="22"/>
            </w:rPr>
            <w:fldChar w:fldCharType="end"/>
          </w:r>
        </w:p>
        <w:p>
          <w:pPr>
            <w:pStyle w:val="22"/>
            <w:ind w:left="105" w:firstLine="220"/>
            <w:rPr>
              <w:rFonts w:cs="Times New Roman" w:eastAsiaTheme="minorEastAsia"/>
              <w:sz w:val="22"/>
              <w:szCs w:val="22"/>
            </w:rPr>
          </w:pPr>
          <w:r>
            <w:rPr>
              <w:rFonts w:cs="Times New Roman" w:eastAsiaTheme="minorEastAsia"/>
              <w:sz w:val="22"/>
              <w:szCs w:val="22"/>
            </w:rPr>
            <w:t>五、公司控股股东对公司填补回报措施的承诺</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_Toc79406472 \h </w:instrText>
          </w:r>
          <w:r>
            <w:rPr>
              <w:rFonts w:cs="Times New Roman" w:eastAsiaTheme="minorEastAsia"/>
              <w:sz w:val="22"/>
              <w:szCs w:val="22"/>
            </w:rPr>
            <w:fldChar w:fldCharType="separate"/>
          </w:r>
          <w:r>
            <w:rPr>
              <w:rFonts w:cs="Times New Roman" w:eastAsiaTheme="minorEastAsia"/>
              <w:sz w:val="22"/>
              <w:szCs w:val="22"/>
            </w:rPr>
            <w:t>40</w:t>
          </w:r>
          <w:r>
            <w:rPr>
              <w:rFonts w:cs="Times New Roman" w:eastAsiaTheme="minorEastAsia"/>
              <w:sz w:val="22"/>
              <w:szCs w:val="22"/>
            </w:rPr>
            <w:fldChar w:fldCharType="end"/>
          </w:r>
        </w:p>
        <w:p>
          <w:pPr>
            <w:pStyle w:val="18"/>
            <w:ind w:left="105"/>
            <w:rPr>
              <w:rFonts w:cs="Times New Roman" w:eastAsiaTheme="minorEastAsia"/>
              <w:sz w:val="22"/>
              <w:szCs w:val="22"/>
            </w:rPr>
          </w:pPr>
          <w:r>
            <w:rPr>
              <w:rFonts w:cs="Times New Roman" w:eastAsiaTheme="minorEastAsia"/>
              <w:sz w:val="22"/>
              <w:szCs w:val="22"/>
            </w:rPr>
            <w:t>第八节 其他有必要披露的事项</w:t>
          </w:r>
          <w:r>
            <w:rPr>
              <w:rFonts w:cs="Times New Roman" w:eastAsiaTheme="minorEastAsia"/>
              <w:sz w:val="22"/>
              <w:szCs w:val="22"/>
            </w:rPr>
            <w:tab/>
          </w:r>
          <w:r>
            <w:rPr>
              <w:rFonts w:cs="Times New Roman" w:eastAsiaTheme="minorEastAsia"/>
              <w:sz w:val="22"/>
              <w:szCs w:val="22"/>
            </w:rPr>
            <w:fldChar w:fldCharType="begin"/>
          </w:r>
          <w:r>
            <w:rPr>
              <w:rFonts w:cs="Times New Roman" w:eastAsiaTheme="minorEastAsia"/>
              <w:sz w:val="22"/>
              <w:szCs w:val="22"/>
            </w:rPr>
            <w:instrText xml:space="preserve"> PAGEREF _Toc79406473 \h </w:instrText>
          </w:r>
          <w:r>
            <w:rPr>
              <w:rFonts w:cs="Times New Roman" w:eastAsiaTheme="minorEastAsia"/>
              <w:sz w:val="22"/>
              <w:szCs w:val="22"/>
            </w:rPr>
            <w:fldChar w:fldCharType="separate"/>
          </w:r>
          <w:r>
            <w:rPr>
              <w:rFonts w:cs="Times New Roman" w:eastAsiaTheme="minorEastAsia"/>
              <w:sz w:val="22"/>
              <w:szCs w:val="22"/>
            </w:rPr>
            <w:t>42</w:t>
          </w:r>
          <w:r>
            <w:rPr>
              <w:rFonts w:cs="Times New Roman" w:eastAsiaTheme="minorEastAsia"/>
              <w:sz w:val="22"/>
              <w:szCs w:val="22"/>
            </w:rPr>
            <w:fldChar w:fldCharType="end"/>
          </w:r>
        </w:p>
        <w:p>
          <w:pPr>
            <w:jc w:val="left"/>
          </w:pPr>
          <w:r>
            <w:rPr>
              <w:rFonts w:ascii="Times New Roman" w:hAnsi="Times New Roman" w:cs="Times New Roman"/>
              <w:sz w:val="22"/>
            </w:rPr>
            <w:fldChar w:fldCharType="end"/>
          </w:r>
        </w:p>
      </w:sdtContent>
    </w:sdt>
    <w:p>
      <w:pPr>
        <w:snapToGrid w:val="0"/>
        <w:spacing w:line="600" w:lineRule="exact"/>
        <w:ind w:left="105" w:leftChars="50"/>
        <w:rPr>
          <w:rFonts w:ascii="Times New Roman" w:hAnsi="Times New Roman" w:eastAsia="宋体" w:cs="Times New Roman"/>
          <w:sz w:val="24"/>
          <w:szCs w:val="24"/>
        </w:rPr>
      </w:pPr>
      <w:bookmarkStart w:id="17" w:name="_Toc15503544"/>
      <w:bookmarkStart w:id="18" w:name="_Toc15504175"/>
    </w:p>
    <w:p>
      <w:pPr>
        <w:spacing w:line="400" w:lineRule="exact"/>
        <w:jc w:val="center"/>
        <w:outlineLvl w:val="0"/>
        <w:rPr>
          <w:rFonts w:ascii="Times New Roman" w:hAnsi="Times New Roman" w:eastAsia="黑体" w:cs="Times New Roman"/>
          <w:b/>
          <w:bCs/>
          <w:sz w:val="36"/>
          <w:szCs w:val="36"/>
        </w:rPr>
        <w:sectPr>
          <w:footerReference r:id="rId9" w:type="first"/>
          <w:pgSz w:w="11900" w:h="16840"/>
          <w:pgMar w:top="1440" w:right="1803" w:bottom="1440" w:left="1803" w:header="851" w:footer="992" w:gutter="0"/>
          <w:paperSrc/>
          <w:pgNumType w:fmt="decimal"/>
          <w:cols w:space="0" w:num="1"/>
          <w:titlePg/>
          <w:rtlGutter w:val="0"/>
          <w:docGrid w:type="lines" w:linePitch="312" w:charSpace="0"/>
        </w:sectPr>
      </w:pPr>
    </w:p>
    <w:p>
      <w:pPr>
        <w:pStyle w:val="66"/>
        <w:spacing w:afterLines="0"/>
      </w:pPr>
      <w:bookmarkStart w:id="19" w:name="_Toc79406419"/>
      <w:bookmarkStart w:id="20" w:name="_Toc67934562"/>
      <w:r>
        <w:rPr>
          <w:rFonts w:hint="eastAsia"/>
        </w:rPr>
        <w:t>释义</w:t>
      </w:r>
      <w:bookmarkEnd w:id="17"/>
      <w:bookmarkEnd w:id="18"/>
      <w:bookmarkEnd w:id="19"/>
      <w:bookmarkEnd w:id="20"/>
    </w:p>
    <w:p>
      <w:pPr>
        <w:spacing w:line="360" w:lineRule="auto"/>
        <w:ind w:firstLine="480" w:firstLineChars="200"/>
        <w:rPr>
          <w:rFonts w:ascii="Times New Roman" w:hAnsi="Times New Roman" w:eastAsia="宋体" w:cs="Times New Roman"/>
          <w:sz w:val="24"/>
          <w:szCs w:val="24"/>
        </w:rPr>
      </w:pPr>
    </w:p>
    <w:p>
      <w:pPr>
        <w:pStyle w:val="67"/>
        <w:ind w:firstLine="480"/>
      </w:pPr>
      <w:r>
        <w:rPr>
          <w:rFonts w:hint="eastAsia"/>
        </w:rPr>
        <w:t>在本预案中，除文中另有说明外，下列词语具有以下特定含义：</w:t>
      </w:r>
    </w:p>
    <w:tbl>
      <w:tblPr>
        <w:tblStyle w:val="31"/>
        <w:tblW w:w="8516" w:type="dxa"/>
        <w:jc w:val="center"/>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584"/>
        <w:gridCol w:w="5466"/>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3" w:hRule="atLeast"/>
          <w:tblHeader/>
          <w:jc w:val="center"/>
        </w:trPr>
        <w:tc>
          <w:tcPr>
            <w:tcW w:w="2466" w:type="dxa"/>
            <w:vAlign w:val="center"/>
          </w:tcPr>
          <w:p>
            <w:pPr>
              <w:tabs>
                <w:tab w:val="left" w:pos="7920"/>
                <w:tab w:val="left" w:pos="8280"/>
              </w:tabs>
              <w:spacing w:line="300" w:lineRule="exact"/>
              <w:ind w:firstLine="198" w:firstLineChars="94"/>
              <w:jc w:val="center"/>
              <w:rPr>
                <w:rFonts w:ascii="Times New Roman" w:hAnsi="Times New Roman" w:eastAsia="宋体" w:cs="Times New Roman"/>
                <w:b/>
                <w:szCs w:val="21"/>
              </w:rPr>
            </w:pPr>
            <w:r>
              <w:rPr>
                <w:rFonts w:hint="eastAsia" w:ascii="Times New Roman" w:hAnsi="Times New Roman" w:eastAsia="宋体" w:cs="Times New Roman"/>
                <w:b/>
                <w:szCs w:val="21"/>
              </w:rPr>
              <w:t>简称</w:t>
            </w:r>
          </w:p>
        </w:tc>
        <w:tc>
          <w:tcPr>
            <w:tcW w:w="584" w:type="dxa"/>
            <w:vAlign w:val="center"/>
          </w:tcPr>
          <w:p>
            <w:pPr>
              <w:tabs>
                <w:tab w:val="left" w:pos="7920"/>
                <w:tab w:val="left" w:pos="8280"/>
              </w:tabs>
              <w:spacing w:line="300" w:lineRule="exact"/>
              <w:ind w:firstLine="422" w:firstLineChars="200"/>
              <w:jc w:val="center"/>
              <w:rPr>
                <w:rFonts w:ascii="Times New Roman" w:hAnsi="Times New Roman" w:eastAsia="宋体" w:cs="Times New Roman"/>
                <w:b/>
                <w:szCs w:val="21"/>
              </w:rPr>
            </w:pPr>
          </w:p>
        </w:tc>
        <w:tc>
          <w:tcPr>
            <w:tcW w:w="5466" w:type="dxa"/>
            <w:vAlign w:val="center"/>
          </w:tcPr>
          <w:p>
            <w:pPr>
              <w:tabs>
                <w:tab w:val="left" w:pos="7920"/>
                <w:tab w:val="left" w:pos="8280"/>
              </w:tabs>
              <w:spacing w:line="300" w:lineRule="exact"/>
              <w:ind w:firstLine="198" w:firstLineChars="94"/>
              <w:jc w:val="center"/>
              <w:rPr>
                <w:rFonts w:ascii="Times New Roman" w:hAnsi="Times New Roman" w:eastAsia="宋体" w:cs="Times New Roman"/>
                <w:b/>
                <w:szCs w:val="21"/>
              </w:rPr>
            </w:pPr>
            <w:r>
              <w:rPr>
                <w:rFonts w:hint="eastAsia" w:ascii="Times New Roman" w:hAnsi="Times New Roman" w:eastAsia="宋体" w:cs="Times New Roman"/>
                <w:b/>
                <w:szCs w:val="21"/>
              </w:rPr>
              <w:t>释义</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b/>
                <w:szCs w:val="21"/>
              </w:rPr>
            </w:pPr>
            <w:r>
              <w:rPr>
                <w:rFonts w:hint="eastAsia" w:ascii="Times New Roman" w:hAnsi="Times New Roman" w:eastAsia="宋体" w:cs="Times New Roman"/>
                <w:szCs w:val="21"/>
              </w:rPr>
              <w:t>本预案</w:t>
            </w:r>
          </w:p>
        </w:tc>
        <w:tc>
          <w:tcPr>
            <w:tcW w:w="584" w:type="dxa"/>
            <w:vAlign w:val="center"/>
          </w:tcPr>
          <w:p>
            <w:pPr>
              <w:tabs>
                <w:tab w:val="left" w:pos="7920"/>
                <w:tab w:val="left" w:pos="8280"/>
              </w:tabs>
              <w:spacing w:line="300" w:lineRule="exact"/>
              <w:jc w:val="center"/>
              <w:rPr>
                <w:rFonts w:ascii="Times New Roman" w:hAnsi="Times New Roman" w:eastAsia="宋体" w:cs="Times New Roman"/>
                <w:b/>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b/>
                <w:szCs w:val="21"/>
              </w:rPr>
            </w:pPr>
            <w:r>
              <w:rPr>
                <w:rFonts w:hint="eastAsia" w:ascii="Times New Roman" w:hAnsi="Times New Roman" w:eastAsia="宋体" w:cs="Times New Roman"/>
                <w:szCs w:val="21"/>
              </w:rPr>
              <w:t>《山东新华制药股份有限公司2021年度非公开发行</w:t>
            </w:r>
            <w:r>
              <w:rPr>
                <w:rFonts w:ascii="Times New Roman" w:hAnsi="Times New Roman" w:eastAsia="宋体" w:cs="Times New Roman"/>
                <w:szCs w:val="21"/>
              </w:rPr>
              <w:t>A</w:t>
            </w:r>
            <w:r>
              <w:rPr>
                <w:rFonts w:hint="eastAsia" w:ascii="Times New Roman" w:hAnsi="Times New Roman" w:eastAsia="宋体" w:cs="Times New Roman"/>
                <w:szCs w:val="21"/>
              </w:rPr>
              <w:t>股股票预案</w:t>
            </w:r>
            <w:r>
              <w:rPr>
                <w:rFonts w:hint="eastAsia" w:ascii="楷体" w:hAnsi="楷体" w:eastAsia="楷体" w:cs="Times New Roman"/>
                <w:b/>
                <w:szCs w:val="21"/>
              </w:rPr>
              <w:t>（修订稿）</w:t>
            </w:r>
            <w:r>
              <w:rPr>
                <w:rFonts w:hint="eastAsia" w:ascii="Times New Roman" w:hAnsi="Times New Roman" w:eastAsia="宋体" w:cs="Times New Roman"/>
                <w:szCs w:val="21"/>
              </w:rPr>
              <w:t>》</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新华制药、发行人、上市公司、本公司、公司</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山东新华制药股份有限公司</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华鲁控股、控股股东</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华鲁集团控股有限公司</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华鲁投资、发行对象</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华鲁投资发展有限公司</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本次非公开发行股票、本次非公开发行、本次发行</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山东新华制药股份有限公司2</w:t>
            </w:r>
            <w:r>
              <w:rPr>
                <w:rFonts w:ascii="Times New Roman" w:hAnsi="Times New Roman" w:eastAsia="宋体" w:cs="Times New Roman"/>
                <w:szCs w:val="21"/>
              </w:rPr>
              <w:t>021</w:t>
            </w:r>
            <w:r>
              <w:rPr>
                <w:rFonts w:hint="eastAsia" w:ascii="Times New Roman" w:hAnsi="Times New Roman" w:eastAsia="宋体" w:cs="Times New Roman"/>
                <w:szCs w:val="21"/>
              </w:rPr>
              <w:t>年度非公开发行</w:t>
            </w:r>
            <w:r>
              <w:rPr>
                <w:rFonts w:ascii="Times New Roman" w:hAnsi="Times New Roman" w:eastAsia="宋体" w:cs="Times New Roman"/>
                <w:szCs w:val="21"/>
              </w:rPr>
              <w:t>A</w:t>
            </w:r>
            <w:r>
              <w:rPr>
                <w:rFonts w:hint="eastAsia" w:ascii="Times New Roman" w:hAnsi="Times New Roman" w:eastAsia="宋体" w:cs="Times New Roman"/>
                <w:szCs w:val="21"/>
              </w:rPr>
              <w:t>股股票</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维斌公司</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维斌有限公司（WELL BRING LTD.,</w:t>
            </w:r>
            <w:r>
              <w:rPr>
                <w:rFonts w:ascii="Times New Roman" w:hAnsi="Times New Roman" w:eastAsia="宋体" w:cs="Times New Roman"/>
                <w:szCs w:val="21"/>
              </w:rPr>
              <w:t xml:space="preserve"> </w:t>
            </w:r>
            <w:r>
              <w:rPr>
                <w:rFonts w:hint="eastAsia" w:ascii="Times New Roman" w:hAnsi="Times New Roman" w:eastAsia="宋体" w:cs="Times New Roman"/>
                <w:szCs w:val="21"/>
              </w:rPr>
              <w:t>香港）</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董事会</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山东新华制药股份有限公司董事会</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股东大会</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山东新华制药股份有限公司股东大会</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公司章程</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山东新华制药股份有限公司章程</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国家卫健委</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中华人民共和国国家卫生健康委员会</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山东省国资委</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山东省人民政府国有资产监督管理委员会</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中国证监会</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中国证券监督管理委员会</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《公司法》</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《中华人民共和国公司法》</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《证券法》</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《中华人民共和国证券法》</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ascii="Times New Roman" w:hAnsi="Times New Roman" w:eastAsia="宋体" w:cs="Times New Roman"/>
                <w:color w:val="000000"/>
                <w:szCs w:val="21"/>
              </w:rPr>
              <w:t>CMO</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ascii="Times New Roman" w:hAnsi="Times New Roman" w:eastAsia="宋体" w:cs="Times New Roman"/>
                <w:color w:val="000000"/>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ascii="Times New Roman" w:hAnsi="Times New Roman" w:eastAsia="宋体" w:cs="Times New Roman"/>
                <w:color w:val="000000"/>
                <w:szCs w:val="21"/>
              </w:rPr>
              <w:t>Contract Manufacture Organization</w:t>
            </w:r>
            <w:r>
              <w:rPr>
                <w:rFonts w:hint="eastAsia" w:ascii="Times New Roman" w:hAnsi="Times New Roman" w:eastAsia="宋体" w:cs="Times New Roman"/>
                <w:color w:val="000000"/>
                <w:szCs w:val="21"/>
              </w:rPr>
              <w:t>，合同加工外包机构，主要是接受制药公司的委托，提供产品生产时所需要的工艺开发、配方开发、临床试验用药、化学或生物合成的原料药生产、中间体制造、制剂生产（如粉剂、针剂）以及包装等服务</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ascii="Times New Roman" w:hAnsi="Times New Roman" w:eastAsia="宋体" w:cs="Times New Roman"/>
                <w:color w:val="000000"/>
                <w:szCs w:val="21"/>
              </w:rPr>
              <w:t>CRO</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ascii="Times New Roman" w:hAnsi="Times New Roman" w:eastAsia="宋体" w:cs="Times New Roman"/>
                <w:color w:val="000000"/>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ascii="Times New Roman" w:hAnsi="Times New Roman" w:eastAsia="宋体" w:cs="Times New Roman"/>
                <w:color w:val="000000"/>
                <w:szCs w:val="21"/>
              </w:rPr>
              <w:t>Contract Research Organization</w:t>
            </w:r>
            <w:r>
              <w:rPr>
                <w:rFonts w:hint="eastAsia" w:ascii="Times New Roman" w:hAnsi="Times New Roman" w:eastAsia="宋体" w:cs="Times New Roman"/>
                <w:color w:val="000000"/>
                <w:szCs w:val="21"/>
              </w:rPr>
              <w:t>，合同定制研发机构，主要为制药企业及生物技术公司提供临床前药物发现、临床前研究和临床试验等服务的机构</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元、万元、亿元</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人民币元、人民币万元、人民币亿元</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2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hint="eastAsia" w:ascii="Times New Roman" w:hAnsi="Times New Roman" w:eastAsia="宋体" w:cs="Times New Roman"/>
                <w:szCs w:val="21"/>
              </w:rPr>
              <w:t>最近三年及一期、报告期</w:t>
            </w:r>
          </w:p>
        </w:tc>
        <w:tc>
          <w:tcPr>
            <w:tcW w:w="584" w:type="dxa"/>
            <w:vAlign w:val="center"/>
          </w:tcPr>
          <w:p>
            <w:pPr>
              <w:tabs>
                <w:tab w:val="left" w:pos="7920"/>
                <w:tab w:val="left" w:pos="8280"/>
              </w:tabs>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指</w:t>
            </w:r>
          </w:p>
        </w:tc>
        <w:tc>
          <w:tcPr>
            <w:tcW w:w="5466" w:type="dxa"/>
            <w:vAlign w:val="center"/>
          </w:tcPr>
          <w:p>
            <w:pPr>
              <w:tabs>
                <w:tab w:val="left" w:pos="7920"/>
                <w:tab w:val="left" w:pos="8280"/>
              </w:tabs>
              <w:spacing w:line="300" w:lineRule="exact"/>
              <w:jc w:val="left"/>
              <w:rPr>
                <w:rFonts w:ascii="Times New Roman" w:hAnsi="Times New Roman" w:eastAsia="宋体" w:cs="Times New Roman"/>
                <w:szCs w:val="21"/>
              </w:rPr>
            </w:pPr>
            <w:r>
              <w:rPr>
                <w:rFonts w:ascii="Times New Roman" w:hAnsi="Times New Roman" w:eastAsia="宋体" w:cs="Times New Roman"/>
                <w:szCs w:val="21"/>
              </w:rPr>
              <w:t>2018</w:t>
            </w:r>
            <w:r>
              <w:rPr>
                <w:rFonts w:hint="eastAsia" w:ascii="Times New Roman" w:hAnsi="Times New Roman" w:eastAsia="宋体" w:cs="Times New Roman"/>
                <w:szCs w:val="21"/>
              </w:rPr>
              <w:t>年、</w:t>
            </w:r>
            <w:r>
              <w:rPr>
                <w:rFonts w:ascii="Times New Roman" w:hAnsi="Times New Roman" w:eastAsia="宋体" w:cs="Times New Roman"/>
                <w:szCs w:val="21"/>
              </w:rPr>
              <w:t>2019</w:t>
            </w:r>
            <w:r>
              <w:rPr>
                <w:rFonts w:hint="eastAsia" w:ascii="Times New Roman" w:hAnsi="Times New Roman" w:eastAsia="宋体" w:cs="Times New Roman"/>
                <w:szCs w:val="21"/>
              </w:rPr>
              <w:t>年、</w:t>
            </w:r>
            <w:r>
              <w:rPr>
                <w:rFonts w:ascii="Times New Roman" w:hAnsi="Times New Roman" w:eastAsia="宋体" w:cs="Times New Roman"/>
                <w:szCs w:val="21"/>
              </w:rPr>
              <w:t>2020</w:t>
            </w:r>
            <w:r>
              <w:rPr>
                <w:rFonts w:hint="eastAsia" w:ascii="Times New Roman" w:hAnsi="Times New Roman" w:eastAsia="宋体" w:cs="Times New Roman"/>
                <w:szCs w:val="21"/>
              </w:rPr>
              <w:t>年及2021年1-3月</w:t>
            </w:r>
          </w:p>
        </w:tc>
      </w:tr>
    </w:tbl>
    <w:p>
      <w:pPr>
        <w:spacing w:line="400" w:lineRule="exact"/>
        <w:jc w:val="center"/>
        <w:outlineLvl w:val="0"/>
        <w:rPr>
          <w:rFonts w:ascii="Times New Roman" w:hAnsi="Times New Roman" w:eastAsia="黑体" w:cs="Times New Roman"/>
          <w:b/>
          <w:bCs/>
          <w:sz w:val="36"/>
          <w:szCs w:val="36"/>
        </w:rPr>
        <w:sectPr>
          <w:pgSz w:w="11900" w:h="16840"/>
          <w:pgMar w:top="1213" w:right="1406" w:bottom="1213" w:left="1406" w:header="851" w:footer="992" w:gutter="0"/>
          <w:pgNumType w:fmt="decimal"/>
          <w:cols w:space="0" w:num="1"/>
          <w:titlePg/>
          <w:rtlGutter w:val="0"/>
          <w:docGrid w:type="lines" w:linePitch="312" w:charSpace="0"/>
        </w:sectPr>
      </w:pPr>
      <w:bookmarkStart w:id="21" w:name="_Toc15504176"/>
      <w:bookmarkStart w:id="22" w:name="_Toc15503545"/>
    </w:p>
    <w:p>
      <w:pPr>
        <w:pStyle w:val="66"/>
        <w:numPr>
          <w:ilvl w:val="0"/>
          <w:numId w:val="1"/>
        </w:numPr>
        <w:spacing w:afterLines="0"/>
      </w:pPr>
      <w:bookmarkStart w:id="23" w:name="_Toc79406420"/>
      <w:bookmarkStart w:id="24" w:name="_Toc67934563"/>
      <w:r>
        <w:rPr>
          <w:rFonts w:hint="eastAsia"/>
        </w:rPr>
        <w:t>本次非公开发行股票方案概要</w:t>
      </w:r>
      <w:bookmarkEnd w:id="21"/>
      <w:bookmarkEnd w:id="22"/>
      <w:bookmarkEnd w:id="23"/>
      <w:bookmarkEnd w:id="24"/>
      <w:bookmarkStart w:id="25" w:name="_Toc15503546"/>
      <w:bookmarkStart w:id="26" w:name="_Toc22734850"/>
      <w:bookmarkStart w:id="27" w:name="_Toc15504177"/>
    </w:p>
    <w:p>
      <w:pPr>
        <w:pStyle w:val="69"/>
        <w:spacing w:afterLines="0"/>
        <w:ind w:firstLine="560"/>
      </w:pPr>
    </w:p>
    <w:p>
      <w:pPr>
        <w:pStyle w:val="69"/>
        <w:spacing w:afterLines="0"/>
        <w:ind w:firstLine="560"/>
      </w:pPr>
      <w:bookmarkStart w:id="28" w:name="_Toc79406421"/>
      <w:r>
        <w:rPr>
          <w:rFonts w:hint="eastAsia"/>
        </w:rPr>
        <w:t>一、发行人概况</w:t>
      </w:r>
      <w:bookmarkEnd w:id="25"/>
      <w:bookmarkEnd w:id="26"/>
      <w:bookmarkEnd w:id="27"/>
      <w:bookmarkEnd w:id="28"/>
    </w:p>
    <w:tbl>
      <w:tblPr>
        <w:tblStyle w:val="31"/>
        <w:tblW w:w="853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公司名称</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山东新华制药股份有限公司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英文名称</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SHANDONG XINHUA PHARMACEUTICAL COMPANY LIMITED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上市地点</w:t>
            </w:r>
          </w:p>
        </w:tc>
        <w:tc>
          <w:tcPr>
            <w:tcW w:w="6441" w:type="dxa"/>
            <w:vAlign w:val="center"/>
          </w:tcPr>
          <w:p>
            <w:pPr>
              <w:spacing w:line="340" w:lineRule="exact"/>
              <w:rPr>
                <w:rFonts w:ascii="Times New Roman" w:hAnsi="Times New Roman" w:eastAsia="宋体" w:cs="Times New Roman"/>
                <w:szCs w:val="21"/>
              </w:rPr>
            </w:pPr>
            <w:r>
              <w:rPr>
                <w:rFonts w:ascii="Times New Roman" w:hAnsi="Times New Roman" w:eastAsia="宋体" w:cs="Times New Roman"/>
                <w:szCs w:val="21"/>
              </w:rPr>
              <w:t>深圳证券交易所、香港联合交易所有限公司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证券简称</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新华制药、山东新华制药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证券代码</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000756.SZ、</w:t>
            </w:r>
            <w:r>
              <w:rPr>
                <w:rFonts w:hint="eastAsia" w:ascii="Times New Roman" w:hAnsi="Times New Roman" w:eastAsia="宋体" w:cs="Times New Roman"/>
                <w:szCs w:val="21"/>
              </w:rPr>
              <w:t>H</w:t>
            </w:r>
            <w:r>
              <w:rPr>
                <w:rFonts w:ascii="Times New Roman" w:hAnsi="Times New Roman" w:eastAsia="宋体" w:cs="Times New Roman"/>
                <w:szCs w:val="21"/>
              </w:rPr>
              <w:t>K.00719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法定代表人</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张代铭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注册资本</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宋体"/>
                <w:szCs w:val="21"/>
              </w:rPr>
              <w:t>62</w:t>
            </w:r>
            <w:r>
              <w:rPr>
                <w:rFonts w:hint="eastAsia" w:ascii="Times New Roman" w:hAnsi="Times New Roman" w:eastAsia="宋体" w:cs="宋体"/>
                <w:szCs w:val="21"/>
              </w:rPr>
              <w:t>7</w:t>
            </w:r>
            <w:r>
              <w:rPr>
                <w:rFonts w:ascii="Times New Roman" w:hAnsi="Times New Roman" w:eastAsia="宋体" w:cs="宋体"/>
                <w:szCs w:val="21"/>
              </w:rPr>
              <w:t>,</w:t>
            </w:r>
            <w:r>
              <w:rPr>
                <w:rFonts w:hint="eastAsia" w:ascii="Times New Roman" w:hAnsi="Times New Roman" w:eastAsia="宋体" w:cs="宋体"/>
                <w:szCs w:val="21"/>
              </w:rPr>
              <w:t>367</w:t>
            </w:r>
            <w:r>
              <w:rPr>
                <w:rFonts w:ascii="Times New Roman" w:hAnsi="Times New Roman" w:eastAsia="宋体" w:cs="宋体"/>
                <w:szCs w:val="21"/>
              </w:rPr>
              <w:t>,447.00</w:t>
            </w:r>
            <w:r>
              <w:rPr>
                <w:rFonts w:hint="eastAsia" w:ascii="Times New Roman" w:hAnsi="Times New Roman" w:eastAsia="宋体" w:cs="宋体"/>
                <w:szCs w:val="21"/>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注册地址</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山东省淄博市高新技术产业开发区化工区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办公地址</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山东省淄博市高新区鲁泰大道1号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统一社会信用代码</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宋体"/>
                <w:szCs w:val="21"/>
              </w:rPr>
              <w:t>91370300164103727C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注册登记机构</w:t>
            </w:r>
          </w:p>
        </w:tc>
        <w:tc>
          <w:tcPr>
            <w:tcW w:w="6441" w:type="dxa"/>
            <w:vAlign w:val="center"/>
          </w:tcPr>
          <w:p>
            <w:pPr>
              <w:widowControl/>
              <w:spacing w:line="360" w:lineRule="auto"/>
              <w:rPr>
                <w:rFonts w:ascii="Times New Roman" w:hAnsi="Times New Roman" w:eastAsia="宋体" w:cs="Times New Roman"/>
                <w:szCs w:val="21"/>
              </w:rPr>
            </w:pPr>
            <w:r>
              <w:rPr>
                <w:rFonts w:hint="eastAsia" w:ascii="Times New Roman" w:hAnsi="Times New Roman" w:eastAsia="宋体" w:cs="宋体"/>
                <w:szCs w:val="21"/>
              </w:rPr>
              <w:t>山东省淄博市工商行政管理局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办公地址邮政编码</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255086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公司电话</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86-533-2166666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公司传真</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86-533-2287508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公司网址</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http://www.xhzy.com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电子信箱</w:t>
            </w:r>
          </w:p>
        </w:tc>
        <w:tc>
          <w:tcPr>
            <w:tcW w:w="6441" w:type="dxa"/>
            <w:vAlign w:val="center"/>
          </w:tcPr>
          <w:p>
            <w:pPr>
              <w:widowControl/>
              <w:spacing w:line="360" w:lineRule="auto"/>
              <w:rPr>
                <w:rFonts w:ascii="Times New Roman" w:hAnsi="Times New Roman" w:eastAsia="宋体" w:cs="Times New Roman"/>
                <w:szCs w:val="21"/>
              </w:rPr>
            </w:pPr>
            <w:r>
              <w:rPr>
                <w:rFonts w:ascii="Times New Roman" w:hAnsi="Times New Roman" w:eastAsia="宋体" w:cs="Times New Roman"/>
                <w:szCs w:val="21"/>
              </w:rPr>
              <w:t>xhzy@xhzy.com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093" w:type="dxa"/>
            <w:vAlign w:val="center"/>
          </w:tcPr>
          <w:p>
            <w:pPr>
              <w:widowControl/>
              <w:spacing w:line="360" w:lineRule="auto"/>
              <w:jc w:val="center"/>
              <w:rPr>
                <w:rFonts w:ascii="Times New Roman" w:hAnsi="Times New Roman" w:eastAsia="宋体" w:cs="Times New Roman"/>
                <w:szCs w:val="21"/>
              </w:rPr>
            </w:pPr>
            <w:r>
              <w:rPr>
                <w:rFonts w:ascii="Times New Roman" w:hAnsi="Times New Roman" w:eastAsia="宋体" w:cs="Times New Roman"/>
                <w:szCs w:val="21"/>
              </w:rPr>
              <w:t>经营范围</w:t>
            </w:r>
          </w:p>
        </w:tc>
        <w:tc>
          <w:tcPr>
            <w:tcW w:w="6441" w:type="dxa"/>
            <w:vAlign w:val="center"/>
          </w:tcPr>
          <w:p>
            <w:pPr>
              <w:pStyle w:val="67"/>
              <w:ind w:firstLine="0" w:firstLineChars="0"/>
              <w:rPr>
                <w:sz w:val="21"/>
                <w:szCs w:val="21"/>
              </w:rPr>
            </w:pPr>
            <w:r>
              <w:rPr>
                <w:rFonts w:hint="eastAsia"/>
                <w:sz w:val="21"/>
                <w:szCs w:val="21"/>
              </w:rPr>
              <w:t>生产、批发、零售西药、化工原料、食品添加剂、保健食品、固体饮料、兽用药品、鱼油、制药设备、医药检测仪器及仪表；自行研制开发项目的技术转让、服务、技术咨询、技术培训；批发、零售中药材、中药饮片、医疗器械（Ⅰ、Ⅱ、Ⅲ类）、隐形眼镜及护理液、检测试纸（剂）、保健食品、母\婴用品、乳制品（含婴幼儿配方奶粉）、化妆品、洗涤用品、预包装食品、散装食品、日用百货、初级农产品、海鲜、成人计生类产品；销售化学原料药、化工产品、化学试剂、医药中间体（以上三项不含危险、易制毒化学品）；进出口业务；仓储服务（不含危险品）；互联网信息咨询与服务；电商代运营（依法须经批准的项目，经相关部门批准后方可开展经营活动）。</w:t>
            </w:r>
          </w:p>
        </w:tc>
      </w:tr>
    </w:tbl>
    <w:p>
      <w:pPr>
        <w:pStyle w:val="69"/>
        <w:spacing w:before="156" w:beforeLines="50" w:afterLines="0"/>
        <w:ind w:firstLine="560"/>
      </w:pPr>
      <w:bookmarkStart w:id="29" w:name="_Toc15504178"/>
      <w:bookmarkStart w:id="30" w:name="_Toc79406422"/>
      <w:bookmarkStart w:id="31" w:name="_Toc22734851"/>
      <w:bookmarkStart w:id="32" w:name="_Toc15503547"/>
      <w:r>
        <w:rPr>
          <w:rFonts w:hint="eastAsia"/>
        </w:rPr>
        <w:t>二、上市公司本次非公开发行的背景和目的</w:t>
      </w:r>
      <w:bookmarkEnd w:id="29"/>
      <w:bookmarkEnd w:id="30"/>
      <w:bookmarkEnd w:id="31"/>
      <w:bookmarkEnd w:id="32"/>
    </w:p>
    <w:p>
      <w:pPr>
        <w:pStyle w:val="71"/>
        <w:spacing w:afterLines="0"/>
        <w:ind w:firstLine="482"/>
      </w:pPr>
      <w:bookmarkStart w:id="33" w:name="_Toc67935049"/>
      <w:bookmarkStart w:id="34" w:name="_Toc15504369"/>
      <w:bookmarkStart w:id="35" w:name="_Toc15503548"/>
      <w:bookmarkStart w:id="36" w:name="_Toc22734852"/>
      <w:bookmarkStart w:id="37" w:name="_Toc15504179"/>
      <w:r>
        <w:rPr>
          <w:rFonts w:hint="eastAsia"/>
        </w:rPr>
        <w:t>（一）本次非公开发行的背景</w:t>
      </w:r>
      <w:bookmarkEnd w:id="33"/>
      <w:bookmarkEnd w:id="34"/>
      <w:bookmarkEnd w:id="35"/>
      <w:bookmarkEnd w:id="36"/>
      <w:bookmarkEnd w:id="37"/>
    </w:p>
    <w:p>
      <w:pPr>
        <w:pStyle w:val="73"/>
        <w:ind w:firstLine="482"/>
      </w:pPr>
      <w:bookmarkStart w:id="38" w:name="_Hlk68097315"/>
      <w:r>
        <w:t>1</w:t>
      </w:r>
      <w:r>
        <w:rPr>
          <w:rFonts w:hint="eastAsia"/>
        </w:rPr>
        <w:t>、国家大力支持医药行业发展，行业市场规模持续增长</w:t>
      </w:r>
    </w:p>
    <w:p>
      <w:pPr>
        <w:pStyle w:val="67"/>
        <w:ind w:firstLine="480"/>
        <w:rPr>
          <w:bCs/>
        </w:rPr>
      </w:pPr>
      <w:r>
        <w:t>医药行业是国家战略性产业，</w:t>
      </w:r>
      <w:r>
        <w:rPr>
          <w:rFonts w:hint="eastAsia"/>
        </w:rPr>
        <w:t>也</w:t>
      </w:r>
      <w:r>
        <w:t>是关系到国计民生的重要领域。国家工业和信息化部《医药工业发展规划指南》指出：医药工业是关系国计民生的重要产业，是培育发展战略性新兴产业的重点领域，是推进健康中国建设的重要保障。</w:t>
      </w:r>
      <w:r>
        <w:rPr>
          <w:rFonts w:hint="eastAsia"/>
          <w:bCs/>
        </w:rPr>
        <w:t>《中国人民共和国药品管理法（修订）》、《关于实施健康中国行动的意见》等政策陆续出台，明确了行业发展方向，鼓励医药企业研发创新，给医药行业的发展带来了机遇。</w:t>
      </w:r>
      <w:r>
        <w:t>我国</w:t>
      </w:r>
      <w:r>
        <w:rPr>
          <w:bCs/>
        </w:rPr>
        <w:t>卫生费用占GDP比重从</w:t>
      </w:r>
      <w:r>
        <w:rPr>
          <w:rFonts w:hint="eastAsia"/>
          <w:bCs/>
        </w:rPr>
        <w:t>2</w:t>
      </w:r>
      <w:r>
        <w:rPr>
          <w:bCs/>
        </w:rPr>
        <w:t>015年的6.05%，上升到2019年</w:t>
      </w:r>
      <w:r>
        <w:rPr>
          <w:rFonts w:hint="eastAsia"/>
          <w:bCs/>
        </w:rPr>
        <w:t>的</w:t>
      </w:r>
      <w:r>
        <w:rPr>
          <w:bCs/>
        </w:rPr>
        <w:t>6.64%也</w:t>
      </w:r>
      <w:r>
        <w:rPr>
          <w:rFonts w:hint="eastAsia"/>
          <w:bCs/>
        </w:rPr>
        <w:t>体现</w:t>
      </w:r>
      <w:r>
        <w:rPr>
          <w:bCs/>
        </w:rPr>
        <w:t>了</w:t>
      </w:r>
      <w:r>
        <w:t>国家对于医疗卫生</w:t>
      </w:r>
      <w:r>
        <w:rPr>
          <w:rFonts w:hint="eastAsia"/>
        </w:rPr>
        <w:t>支持</w:t>
      </w:r>
      <w:r>
        <w:t>力度</w:t>
      </w:r>
      <w:r>
        <w:rPr>
          <w:rFonts w:hint="eastAsia"/>
        </w:rPr>
        <w:t>的</w:t>
      </w:r>
      <w:r>
        <w:t>不断提升</w:t>
      </w:r>
      <w:r>
        <w:rPr>
          <w:rFonts w:hint="eastAsia"/>
        </w:rPr>
        <w:t>。</w:t>
      </w:r>
    </w:p>
    <w:p>
      <w:pPr>
        <w:pStyle w:val="67"/>
        <w:ind w:firstLine="480"/>
      </w:pPr>
      <w:r>
        <w:t>随着国民经济的快速发展、居民生活水平的显著提高、医疗卫生体系制度的不断完善、以及人口老龄化进程的加快，人们对健康问题</w:t>
      </w:r>
      <w:r>
        <w:rPr>
          <w:rFonts w:hint="eastAsia"/>
        </w:rPr>
        <w:t>愈发重视</w:t>
      </w:r>
      <w:r>
        <w:t>，我国医药行业也得到了快速发展。根据国家卫健委发布的《我国卫生健康事业发展统计公报》，2019年我国卫生总费用预计达 6.52</w:t>
      </w:r>
      <w:r>
        <w:rPr>
          <w:rFonts w:hint="eastAsia"/>
        </w:rPr>
        <w:t>万</w:t>
      </w:r>
      <w:r>
        <w:t>亿元，较2015年的4.10</w:t>
      </w:r>
      <w:r>
        <w:rPr>
          <w:rFonts w:hint="eastAsia"/>
        </w:rPr>
        <w:t>万</w:t>
      </w:r>
      <w:r>
        <w:t>亿元增长59.02%</w:t>
      </w:r>
      <w:r>
        <w:rPr>
          <w:rFonts w:hint="eastAsia"/>
        </w:rPr>
        <w:t>，年复合增长率达到1</w:t>
      </w:r>
      <w:r>
        <w:t>4.76%，医药行业市场规模保持稳步增长。</w:t>
      </w:r>
    </w:p>
    <w:p>
      <w:pPr>
        <w:pStyle w:val="73"/>
        <w:ind w:firstLine="482"/>
      </w:pPr>
      <w:r>
        <w:rPr>
          <w:rFonts w:hint="eastAsia"/>
        </w:rPr>
        <w:t>2、公司核心战略稳步推进，运营质量持续提升</w:t>
      </w:r>
    </w:p>
    <w:p>
      <w:pPr>
        <w:pStyle w:val="67"/>
        <w:ind w:firstLine="480"/>
      </w:pPr>
      <w:r>
        <w:rPr>
          <w:rFonts w:hint="eastAsia"/>
        </w:rPr>
        <w:t>2020年公司积极应对新冠疫情冲击、市场竞争加剧等诸多因素影响，大力推进大制剂战略、国际化战略、大研发战略，运营质量持续提升。</w:t>
      </w:r>
    </w:p>
    <w:p>
      <w:pPr>
        <w:pStyle w:val="67"/>
        <w:ind w:firstLine="480"/>
      </w:pPr>
      <w:r>
        <w:rPr>
          <w:rFonts w:hint="eastAsia"/>
        </w:rPr>
        <w:t>制剂业务持续推进大制剂战略，重点发展佳和洛、舒泰得等几个大品种，在生产和营销向其倾斜，销量增长迅速。2020年公司制剂十大战略品种销量同比增长56.27%，其中佳和洛、舒泰得、头孢拉定胶囊中标品种销量分别增长68.2%、52%、145.3%。</w:t>
      </w:r>
    </w:p>
    <w:p>
      <w:pPr>
        <w:pStyle w:val="67"/>
        <w:ind w:firstLine="480"/>
      </w:pPr>
      <w:r>
        <w:rPr>
          <w:rFonts w:hint="eastAsia"/>
        </w:rPr>
        <w:t>国际化战略加快推进，2</w:t>
      </w:r>
      <w:r>
        <w:t>020</w:t>
      </w:r>
      <w:r>
        <w:rPr>
          <w:rFonts w:hint="eastAsia"/>
        </w:rPr>
        <w:t>年公司出口创汇达2.94亿美元，同比增长12.96%。产能200亿片的现代医药国际合作中心一期零缺陷通过美国FDA检查，产能50亿片的新华百利高制剂项目正式启动商业化生产，当年实现出口3亿片，国际合作的奥司他韦胶囊、EPA软胶囊等项目正式启动，公司通过制剂C</w:t>
      </w:r>
      <w:r>
        <w:t>RO</w:t>
      </w:r>
      <w:r>
        <w:rPr>
          <w:rFonts w:hint="eastAsia"/>
        </w:rPr>
        <w:t>、</w:t>
      </w:r>
      <w:r>
        <w:t>CMO</w:t>
      </w:r>
      <w:r>
        <w:rPr>
          <w:rFonts w:hint="eastAsia"/>
        </w:rPr>
        <w:t>实现企业中长期全球发展战略转型。</w:t>
      </w:r>
    </w:p>
    <w:p>
      <w:pPr>
        <w:pStyle w:val="67"/>
        <w:ind w:firstLine="480"/>
      </w:pPr>
      <w:r>
        <w:rPr>
          <w:rFonts w:hint="eastAsia"/>
        </w:rPr>
        <w:t>最近三年公司研发费用分别为18</w:t>
      </w:r>
      <w:r>
        <w:t>,</w:t>
      </w:r>
      <w:r>
        <w:rPr>
          <w:rFonts w:hint="eastAsia"/>
        </w:rPr>
        <w:t>697.58万元、23</w:t>
      </w:r>
      <w:r>
        <w:t>,</w:t>
      </w:r>
      <w:r>
        <w:rPr>
          <w:rFonts w:hint="eastAsia"/>
        </w:rPr>
        <w:t>540.10万元、29</w:t>
      </w:r>
      <w:r>
        <w:t>,834.73</w:t>
      </w:r>
      <w:r>
        <w:rPr>
          <w:rFonts w:hint="eastAsia"/>
        </w:rPr>
        <w:t>万元，随着研发投入持续增大，公司研发能力提升迅速。2</w:t>
      </w:r>
      <w:r>
        <w:t>020</w:t>
      </w:r>
      <w:r>
        <w:rPr>
          <w:rFonts w:hint="eastAsia"/>
        </w:rPr>
        <w:t>年公司设立了新华制药（中南）临床与生物医学研究院，新华制药（济南）联合研究院和新华制药（广东）西典国际医药联合研究中心。一致性评价也进入了收获期，2020年累计11个产品、16个规格通过一致性评价，公司核心竞争能力持续提升。</w:t>
      </w:r>
      <w:bookmarkEnd w:id="38"/>
    </w:p>
    <w:p>
      <w:pPr>
        <w:pStyle w:val="71"/>
        <w:spacing w:afterLines="0"/>
        <w:ind w:firstLine="482"/>
      </w:pPr>
      <w:bookmarkStart w:id="39" w:name="_Toc15504370"/>
      <w:bookmarkStart w:id="40" w:name="_Toc15504180"/>
      <w:bookmarkStart w:id="41" w:name="_Toc15503549"/>
      <w:bookmarkStart w:id="42" w:name="_Toc22734853"/>
      <w:bookmarkStart w:id="43" w:name="_Toc67935050"/>
      <w:r>
        <w:rPr>
          <w:rFonts w:hint="eastAsia"/>
        </w:rPr>
        <w:t>（二）本次非公开发行的目的</w:t>
      </w:r>
      <w:bookmarkEnd w:id="39"/>
      <w:bookmarkEnd w:id="40"/>
      <w:bookmarkEnd w:id="41"/>
      <w:bookmarkEnd w:id="42"/>
      <w:bookmarkEnd w:id="43"/>
    </w:p>
    <w:p>
      <w:pPr>
        <w:pStyle w:val="67"/>
        <w:ind w:firstLine="482"/>
        <w:rPr>
          <w:b/>
        </w:rPr>
      </w:pPr>
      <w:bookmarkStart w:id="44" w:name="_Hlk15570521"/>
      <w:bookmarkStart w:id="45" w:name="_Toc22734854"/>
      <w:bookmarkStart w:id="46" w:name="_Toc15503550"/>
      <w:bookmarkStart w:id="47" w:name="_Toc15504181"/>
      <w:r>
        <w:rPr>
          <w:b/>
        </w:rPr>
        <w:t>1</w:t>
      </w:r>
      <w:r>
        <w:rPr>
          <w:rFonts w:hint="eastAsia"/>
          <w:b/>
        </w:rPr>
        <w:t>、增强资金实力，保障公司发展的资金需求</w:t>
      </w:r>
    </w:p>
    <w:p>
      <w:pPr>
        <w:pStyle w:val="67"/>
        <w:ind w:firstLine="480"/>
      </w:pPr>
      <w:r>
        <w:rPr>
          <w:rFonts w:hint="eastAsia"/>
        </w:rPr>
        <w:t>公司201</w:t>
      </w:r>
      <w:r>
        <w:t>8</w:t>
      </w:r>
      <w:r>
        <w:rPr>
          <w:rFonts w:hint="eastAsia"/>
        </w:rPr>
        <w:t>年、201</w:t>
      </w:r>
      <w:r>
        <w:t>9</w:t>
      </w:r>
      <w:r>
        <w:rPr>
          <w:rFonts w:hint="eastAsia"/>
        </w:rPr>
        <w:t>年及20</w:t>
      </w:r>
      <w:r>
        <w:t>20</w:t>
      </w:r>
      <w:r>
        <w:rPr>
          <w:rFonts w:hint="eastAsia"/>
        </w:rPr>
        <w:t>年的营业收入分别为52.</w:t>
      </w:r>
      <w:r>
        <w:t>45</w:t>
      </w:r>
      <w:r>
        <w:rPr>
          <w:rFonts w:hint="eastAsia"/>
        </w:rPr>
        <w:t>亿元、56.06亿元和6</w:t>
      </w:r>
      <w:r>
        <w:t>0.06</w:t>
      </w:r>
      <w:r>
        <w:rPr>
          <w:rFonts w:hint="eastAsia"/>
        </w:rPr>
        <w:t>亿元，最近三年复合增长率为</w:t>
      </w:r>
      <w:r>
        <w:t>9</w:t>
      </w:r>
      <w:r>
        <w:rPr>
          <w:rFonts w:hint="eastAsia"/>
        </w:rPr>
        <w:t>.</w:t>
      </w:r>
      <w:r>
        <w:t>76</w:t>
      </w:r>
      <w:r>
        <w:rPr>
          <w:rFonts w:hint="eastAsia"/>
        </w:rPr>
        <w:t>%。随着公司业务规模的持续扩大，公司对流动资金的需求规模将持续增长。</w:t>
      </w:r>
    </w:p>
    <w:p>
      <w:pPr>
        <w:pStyle w:val="67"/>
        <w:ind w:firstLine="480"/>
      </w:pPr>
      <w:r>
        <w:rPr>
          <w:rFonts w:hint="eastAsia"/>
        </w:rPr>
        <w:t>公司属于医药制造行业，业务涉及化学原料药、制剂、医药中间体等领域，对生产、流通、管理要求较高，公司在固定资产、在建工程方面存在持续的购置、维修、改建需求，每年支出金额较大；公司所处行业为技术密集型行业，为维持竞争优势和持续发展能力，公司需持续加大对研发和技术改进的投入；此外，为进一步扩大和优化公司在</w:t>
      </w:r>
      <w:r>
        <w:t>CRO</w:t>
      </w:r>
      <w:r>
        <w:rPr>
          <w:rFonts w:hint="eastAsia"/>
        </w:rPr>
        <w:t>、C</w:t>
      </w:r>
      <w:r>
        <w:t>MO</w:t>
      </w:r>
      <w:r>
        <w:rPr>
          <w:rFonts w:hint="eastAsia"/>
        </w:rPr>
        <w:t>等业务领域的布局，公司未来研发支出亦将有所增加。随着公司业务的稳步发展，营运资金需求不断增加，通过使用本次募集资金补充流动资金，有利于推动公司资源整合，加快实现公司发展战略，夯实公司可持续发展基石，为公司的健康、稳定、持续发展奠定基础，实现股东利益最大化。</w:t>
      </w:r>
    </w:p>
    <w:p>
      <w:pPr>
        <w:pStyle w:val="67"/>
        <w:ind w:firstLine="482"/>
        <w:rPr>
          <w:b/>
        </w:rPr>
      </w:pPr>
      <w:r>
        <w:rPr>
          <w:b/>
        </w:rPr>
        <w:t>2</w:t>
      </w:r>
      <w:r>
        <w:rPr>
          <w:rFonts w:hint="eastAsia"/>
          <w:b/>
        </w:rPr>
        <w:t>、优化资产结构，提高抗风险能力</w:t>
      </w:r>
    </w:p>
    <w:p>
      <w:pPr>
        <w:pStyle w:val="67"/>
        <w:ind w:firstLine="480"/>
      </w:pPr>
      <w:r>
        <w:rPr>
          <w:rFonts w:hint="eastAsia"/>
        </w:rPr>
        <w:t>截至</w:t>
      </w:r>
      <w:r>
        <w:t>2021</w:t>
      </w:r>
      <w:r>
        <w:rPr>
          <w:rFonts w:hint="eastAsia"/>
        </w:rPr>
        <w:t>年</w:t>
      </w:r>
      <w:r>
        <w:t>3</w:t>
      </w:r>
      <w:r>
        <w:rPr>
          <w:rFonts w:hint="eastAsia"/>
        </w:rPr>
        <w:t>月</w:t>
      </w:r>
      <w:r>
        <w:t>31</w:t>
      </w:r>
      <w:r>
        <w:rPr>
          <w:rFonts w:hint="eastAsia"/>
        </w:rPr>
        <w:t>日，公司合并口径资产负债率为5</w:t>
      </w:r>
      <w:r>
        <w:t>1.43%</w:t>
      </w:r>
      <w:bookmarkEnd w:id="44"/>
      <w:r>
        <w:rPr>
          <w:rFonts w:hint="eastAsia"/>
        </w:rPr>
        <w:t>，远高于同行业上市公司平均水平。公司业务规模的扩张能力在一定程度上受制于公司整体的资金和负债状况。另一方面，在新型冠状病毒疫情、国际贸易摩擦等外部环境的变化下，对各行业的影响和冲击较大，具体到医药行业，对其资本结构的稳健性、业务的抗风险能力以及经营灵活性等提出了较高要求。</w:t>
      </w:r>
    </w:p>
    <w:p>
      <w:pPr>
        <w:pStyle w:val="67"/>
        <w:ind w:firstLine="480"/>
      </w:pPr>
      <w:r>
        <w:rPr>
          <w:rFonts w:hint="eastAsia"/>
        </w:rPr>
        <w:t>本次非公开发行募集资金到位后，将增加公司资本金，降低公司资产负债率，补充流动资金，优化公司资本结构，进一步改善财务状况，降低</w:t>
      </w:r>
      <w:r>
        <w:t>财务</w:t>
      </w:r>
      <w:r>
        <w:rPr>
          <w:rFonts w:hint="eastAsia"/>
        </w:rPr>
        <w:t>风险，提</w:t>
      </w:r>
      <w:r>
        <w:t>高</w:t>
      </w:r>
      <w:r>
        <w:rPr>
          <w:rFonts w:hint="eastAsia"/>
        </w:rPr>
        <w:t>抗风险能力。</w:t>
      </w:r>
    </w:p>
    <w:p>
      <w:pPr>
        <w:pStyle w:val="69"/>
        <w:spacing w:afterLines="0"/>
        <w:ind w:firstLine="560"/>
      </w:pPr>
      <w:bookmarkStart w:id="48" w:name="_Toc79406423"/>
      <w:r>
        <w:rPr>
          <w:rFonts w:hint="eastAsia"/>
        </w:rPr>
        <w:t>三、发行对象及其与公司的关系</w:t>
      </w:r>
      <w:bookmarkEnd w:id="45"/>
      <w:bookmarkEnd w:id="46"/>
      <w:bookmarkEnd w:id="47"/>
      <w:bookmarkEnd w:id="48"/>
    </w:p>
    <w:p>
      <w:pPr>
        <w:pStyle w:val="67"/>
        <w:ind w:firstLine="480"/>
      </w:pPr>
      <w:r>
        <w:rPr>
          <w:rFonts w:hint="eastAsia"/>
        </w:rPr>
        <w:t>本次非公开发行的发行对象为华鲁投资，华鲁投资为公司控股股东华鲁控股的全资子公司，本次发行对象以现金方式认购公司本次非公开发行的股票。</w:t>
      </w:r>
    </w:p>
    <w:p>
      <w:pPr>
        <w:pStyle w:val="67"/>
        <w:ind w:firstLine="480"/>
      </w:pPr>
      <w:r>
        <w:rPr>
          <w:rFonts w:hint="eastAsia"/>
        </w:rPr>
        <w:t>截至本预案公告之日，</w:t>
      </w:r>
      <w:bookmarkStart w:id="49" w:name="_Hlk68092783"/>
      <w:r>
        <w:rPr>
          <w:rFonts w:hint="eastAsia"/>
        </w:rPr>
        <w:t>华鲁控股直接持有公司204,864,092股股份，占总股本的32.65%，为公司的控股股东。华鲁控股及其下属子公司合计持有本公司股份数量为229,835,060股，占公司总股本的3</w:t>
      </w:r>
      <w:r>
        <w:t>6.63%</w:t>
      </w:r>
      <w:r>
        <w:rPr>
          <w:rFonts w:hint="eastAsia"/>
        </w:rPr>
        <w:t>。本次非公开发行的发行对象华鲁投资直接持有本公司股份数量为</w:t>
      </w:r>
      <w:r>
        <w:t>4,143</w:t>
      </w:r>
      <w:r>
        <w:rPr>
          <w:rFonts w:hint="eastAsia"/>
        </w:rPr>
        <w:t>,</w:t>
      </w:r>
      <w:r>
        <w:t>168</w:t>
      </w:r>
      <w:r>
        <w:rPr>
          <w:rFonts w:hint="eastAsia"/>
        </w:rPr>
        <w:t>股，占公司总股本的0.66</w:t>
      </w:r>
      <w:r>
        <w:t>%</w:t>
      </w:r>
      <w:r>
        <w:rPr>
          <w:rFonts w:hint="eastAsia"/>
        </w:rPr>
        <w:t>。</w:t>
      </w:r>
      <w:bookmarkEnd w:id="49"/>
    </w:p>
    <w:p>
      <w:pPr>
        <w:pStyle w:val="67"/>
        <w:ind w:firstLine="480"/>
      </w:pPr>
      <w:r>
        <w:rPr>
          <w:rFonts w:hint="eastAsia"/>
        </w:rPr>
        <w:t>本次非公开发行对象为公司关联方，本次非公开发行构成关联交易。发行对象符合法律、法规的规定，发行对象的基本情况详见本预案“第二节 发行对象基本情况”。</w:t>
      </w:r>
      <w:bookmarkStart w:id="50" w:name="_Toc22734855"/>
      <w:bookmarkStart w:id="51" w:name="_Toc15503551"/>
      <w:bookmarkStart w:id="52" w:name="_Toc15504182"/>
    </w:p>
    <w:p>
      <w:pPr>
        <w:pStyle w:val="69"/>
        <w:spacing w:afterLines="0"/>
        <w:ind w:firstLine="560"/>
      </w:pPr>
      <w:bookmarkStart w:id="53" w:name="_Toc79406424"/>
      <w:r>
        <w:rPr>
          <w:rFonts w:hint="eastAsia"/>
        </w:rPr>
        <w:t>四、本次非公开发行方案概要</w:t>
      </w:r>
      <w:bookmarkEnd w:id="50"/>
      <w:bookmarkEnd w:id="51"/>
      <w:bookmarkEnd w:id="52"/>
      <w:bookmarkEnd w:id="53"/>
    </w:p>
    <w:p>
      <w:pPr>
        <w:pStyle w:val="71"/>
        <w:spacing w:after="156"/>
        <w:ind w:firstLine="482"/>
      </w:pPr>
      <w:bookmarkStart w:id="54" w:name="_Toc67935053"/>
      <w:bookmarkStart w:id="55" w:name="_Hlk68093600"/>
      <w:bookmarkStart w:id="56" w:name="_Toc22734865"/>
      <w:bookmarkStart w:id="57" w:name="_Toc15503561"/>
      <w:bookmarkStart w:id="58" w:name="_Toc15504192"/>
      <w:r>
        <w:t>（一）发行股票的种类和面值</w:t>
      </w:r>
      <w:bookmarkEnd w:id="54"/>
    </w:p>
    <w:p>
      <w:pPr>
        <w:pStyle w:val="67"/>
        <w:ind w:firstLine="480"/>
      </w:pPr>
      <w:r>
        <w:t>本次非公开发行的股票种类为境内上市人民币普通股（A股），每股面值为人民币1.00元。</w:t>
      </w:r>
    </w:p>
    <w:p>
      <w:pPr>
        <w:pStyle w:val="71"/>
        <w:spacing w:after="156"/>
        <w:ind w:firstLine="482"/>
      </w:pPr>
      <w:bookmarkStart w:id="59" w:name="_Toc67935054"/>
      <w:r>
        <w:t>（二）发行方式和发行时间</w:t>
      </w:r>
      <w:bookmarkEnd w:id="59"/>
    </w:p>
    <w:p>
      <w:pPr>
        <w:pStyle w:val="67"/>
        <w:ind w:firstLine="480"/>
      </w:pPr>
      <w:r>
        <w:t>本次非公开发行的股票全部采取向特定对象非公开发行的方式，公司将在中国证监会核准批文的有效期内发行。</w:t>
      </w:r>
    </w:p>
    <w:p>
      <w:pPr>
        <w:pStyle w:val="71"/>
        <w:spacing w:after="156"/>
        <w:ind w:firstLine="482"/>
      </w:pPr>
      <w:bookmarkStart w:id="60" w:name="_Toc67935055"/>
      <w:r>
        <w:t>（三）发行对象及认购方式</w:t>
      </w:r>
      <w:bookmarkEnd w:id="60"/>
    </w:p>
    <w:p>
      <w:pPr>
        <w:pStyle w:val="67"/>
        <w:ind w:firstLine="480"/>
      </w:pPr>
      <w:r>
        <w:rPr>
          <w:rFonts w:hint="eastAsia"/>
        </w:rPr>
        <w:t>本次非公开发行的发行对象为公司控股股东华鲁控股集团有限公司的全资子公司华鲁投资。</w:t>
      </w:r>
      <w:r>
        <w:t>发行对象</w:t>
      </w:r>
      <w:r>
        <w:rPr>
          <w:rFonts w:hint="eastAsia"/>
        </w:rPr>
        <w:t>以现金方式认购公司本次非公开发行的全部股份。</w:t>
      </w:r>
    </w:p>
    <w:p>
      <w:pPr>
        <w:pStyle w:val="71"/>
        <w:spacing w:after="156"/>
        <w:ind w:firstLine="482"/>
      </w:pPr>
      <w:bookmarkStart w:id="61" w:name="_Toc67935056"/>
      <w:r>
        <w:t>（四）定价原则和发行价格</w:t>
      </w:r>
      <w:bookmarkEnd w:id="61"/>
    </w:p>
    <w:p>
      <w:pPr>
        <w:pStyle w:val="67"/>
        <w:ind w:firstLine="480"/>
      </w:pPr>
      <w:r>
        <w:rPr>
          <w:rFonts w:hint="eastAsia"/>
        </w:rPr>
        <w:t>本次非公开发行的定价基准日为公司第十届董事会</w:t>
      </w:r>
      <w:r>
        <w:t>2021</w:t>
      </w:r>
      <w:r>
        <w:rPr>
          <w:rFonts w:hint="eastAsia"/>
        </w:rPr>
        <w:t>年第二次临时会议决议公告日（即2021年4月15日），发行价格不低于定价基准日前20个交易日公司股票交易均价的80%（定价基准日前20个交易日股票交易均价=定价基准日前20个交易日公司股票交易总额/定价基准日前20个交易日公司股票交易总量）与定价基准日前公司最近一年末经审计的归属于母公司普通股股东的每股净资产金额的孰高值（向上舍入至取2位小数）。</w:t>
      </w:r>
      <w:r>
        <w:rPr>
          <w:rFonts w:hint="eastAsia" w:ascii="楷体" w:hAnsi="楷体" w:eastAsia="楷体"/>
          <w:b/>
        </w:rPr>
        <w:t>经公司第十届董事会2</w:t>
      </w:r>
      <w:r>
        <w:rPr>
          <w:rFonts w:ascii="楷体" w:hAnsi="楷体" w:eastAsia="楷体"/>
          <w:b/>
        </w:rPr>
        <w:t>021</w:t>
      </w:r>
      <w:r>
        <w:rPr>
          <w:rFonts w:hint="eastAsia" w:ascii="楷体" w:hAnsi="楷体" w:eastAsia="楷体"/>
          <w:b/>
        </w:rPr>
        <w:t>年第二次临时会议审议通过，发行价格为</w:t>
      </w:r>
      <w:r>
        <w:rPr>
          <w:rFonts w:ascii="楷体" w:hAnsi="楷体" w:eastAsia="楷体"/>
          <w:b/>
        </w:rPr>
        <w:t>6.89</w:t>
      </w:r>
      <w:r>
        <w:rPr>
          <w:rFonts w:hint="eastAsia" w:ascii="楷体" w:hAnsi="楷体" w:eastAsia="楷体"/>
          <w:b/>
        </w:rPr>
        <w:t>元</w:t>
      </w:r>
      <w:r>
        <w:rPr>
          <w:rFonts w:ascii="楷体" w:hAnsi="楷体" w:eastAsia="楷体"/>
          <w:b/>
        </w:rPr>
        <w:t>/</w:t>
      </w:r>
      <w:r>
        <w:rPr>
          <w:rFonts w:hint="eastAsia" w:ascii="楷体" w:hAnsi="楷体" w:eastAsia="楷体"/>
          <w:b/>
        </w:rPr>
        <w:t>股。</w:t>
      </w:r>
    </w:p>
    <w:p>
      <w:pPr>
        <w:pStyle w:val="67"/>
        <w:ind w:firstLine="480"/>
      </w:pPr>
      <w:r>
        <w:rPr>
          <w:rFonts w:hint="eastAsia"/>
        </w:rPr>
        <w:t>若公司A股股票在定价基准日至发行日期间发生派息、送股、资本公积转增股本等除权、除息事项，则本次非公开发行的发行价格将作相应调整，调整方式如下：</w:t>
      </w:r>
    </w:p>
    <w:p>
      <w:pPr>
        <w:pStyle w:val="67"/>
        <w:ind w:firstLine="480"/>
      </w:pPr>
      <w:r>
        <w:rPr>
          <w:rFonts w:hint="eastAsia"/>
        </w:rPr>
        <w:t>派发现金股利：P1=P0-D</w:t>
      </w:r>
    </w:p>
    <w:p>
      <w:pPr>
        <w:pStyle w:val="67"/>
        <w:ind w:firstLine="480"/>
      </w:pPr>
      <w:r>
        <w:rPr>
          <w:rFonts w:hint="eastAsia"/>
        </w:rPr>
        <w:t>送红股或转增股本：P1=P0/（1+N）</w:t>
      </w:r>
    </w:p>
    <w:p>
      <w:pPr>
        <w:pStyle w:val="67"/>
        <w:ind w:firstLine="480"/>
      </w:pPr>
      <w:r>
        <w:rPr>
          <w:rFonts w:hint="eastAsia"/>
        </w:rPr>
        <w:t>两项同时进行：P1=（P0-D）/（1+N）</w:t>
      </w:r>
    </w:p>
    <w:p>
      <w:pPr>
        <w:pStyle w:val="67"/>
        <w:ind w:firstLine="480"/>
      </w:pPr>
      <w:r>
        <w:rPr>
          <w:rFonts w:hint="eastAsia"/>
        </w:rPr>
        <w:t>其中，P0为调整前发行价格，D为每股派发现金股利，N为每股送红股或转增股本数量，P1为调整后发行价格。</w:t>
      </w:r>
    </w:p>
    <w:p>
      <w:pPr>
        <w:pStyle w:val="67"/>
        <w:ind w:firstLine="482"/>
      </w:pPr>
      <w:r>
        <w:rPr>
          <w:rFonts w:hint="eastAsia" w:ascii="楷体" w:hAnsi="楷体" w:eastAsia="楷体"/>
          <w:b/>
        </w:rPr>
        <w:t>鉴于公司2020年度权益分派方案已实施完毕，公司本次非公开发行股票的发行价格由6.89元/股调整为6.74元/股。</w:t>
      </w:r>
    </w:p>
    <w:p>
      <w:pPr>
        <w:pStyle w:val="71"/>
        <w:spacing w:after="156"/>
        <w:ind w:firstLine="482"/>
      </w:pPr>
      <w:bookmarkStart w:id="62" w:name="_Toc67935057"/>
      <w:bookmarkStart w:id="63" w:name="_Toc67935058"/>
      <w:r>
        <w:t>（五）发行数量</w:t>
      </w:r>
      <w:bookmarkEnd w:id="62"/>
    </w:p>
    <w:p>
      <w:pPr>
        <w:pStyle w:val="67"/>
        <w:ind w:firstLine="480"/>
      </w:pPr>
      <w:r>
        <w:rPr>
          <w:rFonts w:hint="eastAsia"/>
        </w:rPr>
        <w:t>本次非公开发行股份数量不超过</w:t>
      </w:r>
      <w:r>
        <w:rPr>
          <w:rFonts w:ascii="楷体" w:hAnsi="楷体" w:eastAsia="楷体"/>
          <w:b/>
        </w:rPr>
        <w:t>37,091,988</w:t>
      </w:r>
      <w:r>
        <w:rPr>
          <w:rFonts w:hint="eastAsia"/>
        </w:rPr>
        <w:t>股（含本数），不超过本次发行前公司总股本的30</w:t>
      </w:r>
      <w:r>
        <w:t>%</w:t>
      </w:r>
      <w:r>
        <w:rPr>
          <w:rFonts w:hint="eastAsia"/>
        </w:rPr>
        <w:t>，发行数量以中国证监会最终核准发行的股票数量为准。最终发行数量由董事会根据股东大会的授权、中国证监会相关规定与保荐人（主承销商）协商确定。</w:t>
      </w:r>
    </w:p>
    <w:p>
      <w:pPr>
        <w:pStyle w:val="67"/>
        <w:ind w:firstLine="480"/>
      </w:pPr>
      <w:r>
        <w:rPr>
          <w:rFonts w:hint="eastAsia"/>
        </w:rPr>
        <w:t>按照发行对象的拟认购金额及本次非公开发行价格计算，发行对象拟认购金额和认购股份数量如下：</w:t>
      </w:r>
    </w:p>
    <w:tbl>
      <w:tblPr>
        <w:tblStyle w:val="31"/>
        <w:tblW w:w="85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994"/>
        <w:gridCol w:w="2887"/>
        <w:gridCol w:w="2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53" w:type="dxa"/>
            <w:shd w:val="clear" w:color="auto" w:fill="auto"/>
            <w:vAlign w:val="center"/>
          </w:tcPr>
          <w:p>
            <w:pPr>
              <w:widowControl/>
              <w:adjustRightInd w:val="0"/>
              <w:snapToGrid w:val="0"/>
              <w:spacing w:line="288" w:lineRule="auto"/>
              <w:jc w:val="cente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序号</w:t>
            </w:r>
          </w:p>
        </w:tc>
        <w:tc>
          <w:tcPr>
            <w:tcW w:w="1994" w:type="dxa"/>
            <w:shd w:val="clear" w:color="auto" w:fill="auto"/>
            <w:vAlign w:val="center"/>
          </w:tcPr>
          <w:p>
            <w:pPr>
              <w:widowControl/>
              <w:adjustRightInd w:val="0"/>
              <w:snapToGrid w:val="0"/>
              <w:spacing w:line="288" w:lineRule="auto"/>
              <w:jc w:val="cente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发行对象</w:t>
            </w:r>
          </w:p>
        </w:tc>
        <w:tc>
          <w:tcPr>
            <w:tcW w:w="2887" w:type="dxa"/>
            <w:shd w:val="clear" w:color="auto" w:fill="auto"/>
            <w:vAlign w:val="center"/>
          </w:tcPr>
          <w:p>
            <w:pPr>
              <w:widowControl/>
              <w:adjustRightInd w:val="0"/>
              <w:snapToGrid w:val="0"/>
              <w:spacing w:line="288" w:lineRule="auto"/>
              <w:jc w:val="cente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拟认购股份数量（股）</w:t>
            </w:r>
          </w:p>
        </w:tc>
        <w:tc>
          <w:tcPr>
            <w:tcW w:w="2782" w:type="dxa"/>
            <w:shd w:val="clear" w:color="auto" w:fill="auto"/>
            <w:vAlign w:val="center"/>
          </w:tcPr>
          <w:p>
            <w:pPr>
              <w:widowControl/>
              <w:adjustRightInd w:val="0"/>
              <w:snapToGrid w:val="0"/>
              <w:spacing w:line="288" w:lineRule="auto"/>
              <w:jc w:val="cente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拟认购金额（万元）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53" w:type="dxa"/>
            <w:shd w:val="clear" w:color="auto" w:fill="auto"/>
            <w:vAlign w:val="center"/>
          </w:tcPr>
          <w:p>
            <w:pPr>
              <w:widowControl/>
              <w:adjustRightInd w:val="0"/>
              <w:snapToGrid w:val="0"/>
              <w:spacing w:line="288"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1994" w:type="dxa"/>
            <w:shd w:val="clear" w:color="auto" w:fill="auto"/>
            <w:vAlign w:val="center"/>
          </w:tcPr>
          <w:p>
            <w:pPr>
              <w:widowControl/>
              <w:adjustRightInd w:val="0"/>
              <w:snapToGrid w:val="0"/>
              <w:spacing w:line="288"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华鲁投资</w:t>
            </w:r>
          </w:p>
        </w:tc>
        <w:tc>
          <w:tcPr>
            <w:tcW w:w="2887" w:type="dxa"/>
            <w:shd w:val="clear" w:color="auto" w:fill="auto"/>
            <w:vAlign w:val="center"/>
          </w:tcPr>
          <w:p>
            <w:pPr>
              <w:widowControl/>
              <w:adjustRightInd w:val="0"/>
              <w:snapToGrid w:val="0"/>
              <w:spacing w:line="288" w:lineRule="auto"/>
              <w:jc w:val="right"/>
              <w:rPr>
                <w:rFonts w:ascii="Times New Roman" w:hAnsi="Times New Roman" w:eastAsia="宋体" w:cs="Times New Roman"/>
                <w:kern w:val="0"/>
                <w:sz w:val="24"/>
                <w:szCs w:val="24"/>
              </w:rPr>
            </w:pPr>
            <w:r>
              <w:rPr>
                <w:rFonts w:ascii="楷体" w:hAnsi="楷体" w:eastAsia="楷体"/>
                <w:b/>
              </w:rPr>
              <w:t>37,091,988</w:t>
            </w:r>
          </w:p>
        </w:tc>
        <w:tc>
          <w:tcPr>
            <w:tcW w:w="2782" w:type="dxa"/>
            <w:shd w:val="clear" w:color="auto" w:fill="auto"/>
            <w:vAlign w:val="center"/>
          </w:tcPr>
          <w:p>
            <w:pPr>
              <w:widowControl/>
              <w:adjustRightInd w:val="0"/>
              <w:snapToGrid w:val="0"/>
              <w:spacing w:line="288" w:lineRule="auto"/>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25,000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847" w:type="dxa"/>
            <w:gridSpan w:val="2"/>
            <w:shd w:val="clear" w:color="auto" w:fill="auto"/>
            <w:vAlign w:val="center"/>
          </w:tcPr>
          <w:p>
            <w:pPr>
              <w:widowControl/>
              <w:adjustRightInd w:val="0"/>
              <w:snapToGrid w:val="0"/>
              <w:spacing w:line="288" w:lineRule="auto"/>
              <w:jc w:val="center"/>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合计</w:t>
            </w:r>
          </w:p>
        </w:tc>
        <w:tc>
          <w:tcPr>
            <w:tcW w:w="2887" w:type="dxa"/>
            <w:shd w:val="clear" w:color="auto" w:fill="auto"/>
            <w:vAlign w:val="center"/>
          </w:tcPr>
          <w:p>
            <w:pPr>
              <w:widowControl/>
              <w:adjustRightInd w:val="0"/>
              <w:snapToGrid w:val="0"/>
              <w:spacing w:line="288" w:lineRule="auto"/>
              <w:jc w:val="right"/>
              <w:rPr>
                <w:rFonts w:ascii="Times New Roman" w:hAnsi="Times New Roman" w:eastAsia="宋体" w:cs="Times New Roman"/>
                <w:b/>
                <w:bCs/>
                <w:kern w:val="0"/>
                <w:sz w:val="24"/>
                <w:szCs w:val="24"/>
              </w:rPr>
            </w:pPr>
            <w:r>
              <w:rPr>
                <w:rFonts w:ascii="楷体" w:hAnsi="楷体" w:eastAsia="楷体"/>
                <w:b/>
              </w:rPr>
              <w:t>37,091,988</w:t>
            </w:r>
          </w:p>
        </w:tc>
        <w:tc>
          <w:tcPr>
            <w:tcW w:w="2782" w:type="dxa"/>
            <w:shd w:val="clear" w:color="auto" w:fill="auto"/>
            <w:vAlign w:val="center"/>
          </w:tcPr>
          <w:p>
            <w:pPr>
              <w:widowControl/>
              <w:adjustRightInd w:val="0"/>
              <w:snapToGrid w:val="0"/>
              <w:spacing w:line="288" w:lineRule="auto"/>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25,000</w:t>
            </w:r>
          </w:p>
        </w:tc>
      </w:tr>
    </w:tbl>
    <w:p>
      <w:pPr>
        <w:spacing w:line="288" w:lineRule="auto"/>
        <w:ind w:left="141" w:leftChars="67" w:right="225" w:rightChars="107" w:firstLine="420" w:firstLineChars="200"/>
        <w:rPr>
          <w:rFonts w:ascii="Times New Roman" w:hAnsi="Times New Roman" w:eastAsia="宋体" w:cs="Times New Roman"/>
          <w:szCs w:val="21"/>
        </w:rPr>
      </w:pPr>
      <w:r>
        <w:rPr>
          <w:rFonts w:ascii="Times New Roman" w:hAnsi="Times New Roman" w:eastAsia="宋体" w:cs="Times New Roman"/>
          <w:szCs w:val="21"/>
        </w:rPr>
        <w:t>注：认购数量=认购金额/发行价格，若根据公式计算的认购数量不足整股的，则向下取整股。</w:t>
      </w:r>
    </w:p>
    <w:p>
      <w:pPr>
        <w:pStyle w:val="67"/>
        <w:ind w:firstLine="480"/>
      </w:pPr>
      <w:r>
        <w:rPr>
          <w:rFonts w:hint="eastAsia"/>
        </w:rPr>
        <w:t>若公司A股股票在定价基准日至发行日期间发生派息、送股、资本公积转增股本、配股等除权、除息事项或因其他原因导致本次发行前公司总股本发生变动或本次发行价格发生调整的，则本次非公开发行的股票数量上限及发行对象拟认购的股份数量将进行相应调整。</w:t>
      </w:r>
    </w:p>
    <w:p>
      <w:pPr>
        <w:pStyle w:val="67"/>
        <w:ind w:firstLine="480"/>
      </w:pPr>
      <w:r>
        <w:rPr>
          <w:rFonts w:hint="eastAsia"/>
        </w:rPr>
        <w:t>若本次非公开发行的股份总数因法律法规或监管政策变化，或根据发行核准文件的要求予以调减，则在符合法律、行政法规及中国证监会相关规定的前提下，由公司董事会或其转授权人士根据股东大会的授权对发行对象的认购金额及认购股份数量进行相应调整。</w:t>
      </w:r>
    </w:p>
    <w:p>
      <w:pPr>
        <w:pStyle w:val="71"/>
        <w:spacing w:after="156"/>
        <w:ind w:firstLine="482"/>
      </w:pPr>
      <w:r>
        <w:t>（六）限售期</w:t>
      </w:r>
      <w:bookmarkEnd w:id="63"/>
    </w:p>
    <w:p>
      <w:pPr>
        <w:pStyle w:val="67"/>
        <w:ind w:firstLine="480"/>
      </w:pPr>
      <w:r>
        <w:rPr>
          <w:rFonts w:hint="eastAsia"/>
        </w:rPr>
        <w:t>本次非公开发行股票华鲁投资认购的股份自本次发行结束之日起三十六个月内不得转让。本次非公开发行完成后，华鲁投资所认购的公司本次非公开发行的股票因公司分配股票股利、资本公积金转增股本等形式所衍生取得的股票亦应遵守上述股份限售安排。锁定期结束后，按照中国证监会及深圳证券交易所的有关规定执行。</w:t>
      </w:r>
    </w:p>
    <w:p>
      <w:pPr>
        <w:pStyle w:val="71"/>
        <w:spacing w:after="156"/>
        <w:ind w:firstLine="482"/>
      </w:pPr>
      <w:bookmarkStart w:id="64" w:name="_Toc67935059"/>
      <w:r>
        <w:t>（七）募集资金用途</w:t>
      </w:r>
      <w:bookmarkEnd w:id="64"/>
    </w:p>
    <w:p>
      <w:pPr>
        <w:pStyle w:val="67"/>
        <w:ind w:firstLine="480"/>
      </w:pPr>
      <w:r>
        <w:rPr>
          <w:rFonts w:hint="eastAsia"/>
        </w:rPr>
        <w:t>本次非公开发行募集资金总额不超过人民币2</w:t>
      </w:r>
      <w:r>
        <w:t>5,000</w:t>
      </w:r>
      <w:r>
        <w:rPr>
          <w:rFonts w:hint="eastAsia"/>
        </w:rPr>
        <w:t>万</w:t>
      </w:r>
      <w:r>
        <w:t>元（含本数），扣除发行费用后将全部用于偿还有息负债及补充流动资金</w:t>
      </w:r>
      <w:bookmarkStart w:id="65" w:name="_Hlk68685767"/>
      <w:r>
        <w:rPr>
          <w:rFonts w:hint="eastAsia"/>
        </w:rPr>
        <w:t>，其中偿还有息债务不超过1.4亿元，剩余部分补充公司流动资金</w:t>
      </w:r>
      <w:bookmarkEnd w:id="65"/>
      <w:r>
        <w:t>。</w:t>
      </w:r>
    </w:p>
    <w:p>
      <w:pPr>
        <w:pStyle w:val="71"/>
        <w:spacing w:after="156"/>
        <w:ind w:firstLine="482"/>
      </w:pPr>
      <w:bookmarkStart w:id="66" w:name="_Toc67935060"/>
      <w:r>
        <w:rPr>
          <w:rFonts w:hint="eastAsia"/>
        </w:rPr>
        <w:t>（八）本次非公开发行前的滚存未分配利润安排</w:t>
      </w:r>
      <w:bookmarkEnd w:id="66"/>
    </w:p>
    <w:p>
      <w:pPr>
        <w:pStyle w:val="67"/>
        <w:ind w:firstLine="480"/>
      </w:pPr>
      <w:r>
        <w:rPr>
          <w:rFonts w:hint="eastAsia"/>
        </w:rPr>
        <w:t>本次非公开发行前的滚存未分配利润由本次非公开发行完成后的新老股东按本次发行后的持股比例共同共享。</w:t>
      </w:r>
    </w:p>
    <w:p>
      <w:pPr>
        <w:pStyle w:val="71"/>
        <w:spacing w:after="156"/>
        <w:ind w:firstLine="482"/>
      </w:pPr>
      <w:bookmarkStart w:id="67" w:name="_Toc67935061"/>
      <w:r>
        <w:rPr>
          <w:rFonts w:hint="eastAsia"/>
        </w:rPr>
        <w:t>（九）上市地点</w:t>
      </w:r>
      <w:bookmarkEnd w:id="67"/>
    </w:p>
    <w:p>
      <w:pPr>
        <w:pStyle w:val="67"/>
        <w:ind w:firstLine="480"/>
      </w:pPr>
      <w:r>
        <w:rPr>
          <w:rFonts w:hint="eastAsia"/>
        </w:rPr>
        <w:t>本次非公开发行的股票将在深圳证券交易所上市交易。</w:t>
      </w:r>
    </w:p>
    <w:p>
      <w:pPr>
        <w:pStyle w:val="71"/>
        <w:spacing w:after="156"/>
        <w:ind w:firstLine="482"/>
      </w:pPr>
      <w:bookmarkStart w:id="68" w:name="_Toc67935062"/>
      <w:r>
        <w:rPr>
          <w:rFonts w:hint="eastAsia"/>
        </w:rPr>
        <w:t>（十）本次非公开发行决议的有效期</w:t>
      </w:r>
      <w:bookmarkEnd w:id="68"/>
    </w:p>
    <w:p>
      <w:pPr>
        <w:pStyle w:val="67"/>
        <w:ind w:firstLine="480"/>
      </w:pPr>
      <w:r>
        <w:rPr>
          <w:rFonts w:hint="eastAsia"/>
        </w:rPr>
        <w:t>本次非公开发行的股东大会决议的有效期自股东大会通过本次非公开发行事项之日起</w:t>
      </w:r>
      <w:r>
        <w:t>12个月内有效。</w:t>
      </w:r>
      <w:bookmarkEnd w:id="55"/>
    </w:p>
    <w:p>
      <w:pPr>
        <w:pStyle w:val="69"/>
        <w:spacing w:afterLines="0"/>
        <w:ind w:firstLine="560"/>
      </w:pPr>
      <w:bookmarkStart w:id="69" w:name="_Toc79406425"/>
      <w:r>
        <w:rPr>
          <w:rFonts w:hint="eastAsia"/>
        </w:rPr>
        <w:t>五、本次发行股票募集资金用途</w:t>
      </w:r>
      <w:bookmarkEnd w:id="56"/>
      <w:bookmarkEnd w:id="57"/>
      <w:bookmarkEnd w:id="58"/>
      <w:bookmarkEnd w:id="69"/>
    </w:p>
    <w:p>
      <w:pPr>
        <w:pStyle w:val="67"/>
        <w:ind w:firstLine="480"/>
      </w:pPr>
      <w:r>
        <w:rPr>
          <w:rFonts w:hint="eastAsia"/>
        </w:rPr>
        <w:t>本次非公开发行股票的募集资金总额不超过人民币2</w:t>
      </w:r>
      <w:r>
        <w:t>5,000</w:t>
      </w:r>
      <w:r>
        <w:rPr>
          <w:rFonts w:hint="eastAsia"/>
        </w:rPr>
        <w:t>万元（含本数），扣除发行费用后全部用于</w:t>
      </w:r>
      <w:r>
        <w:t>偿还有息负债及补充流动资金</w:t>
      </w:r>
      <w:r>
        <w:rPr>
          <w:rFonts w:hint="eastAsia"/>
        </w:rPr>
        <w:t>，其中偿还有息债务不超过1.4亿元，剩余部分补充公司流动资金。</w:t>
      </w:r>
    </w:p>
    <w:p>
      <w:pPr>
        <w:pStyle w:val="67"/>
        <w:ind w:firstLine="480"/>
      </w:pPr>
      <w:r>
        <w:rPr>
          <w:rFonts w:hint="eastAsia"/>
        </w:rPr>
        <w:t>如本次发行募集资金到位时间与公司实际偿还相应银行贷款及其他有息负债的进度不一致，公司将以自有资金先行偿还，待本次发行募集资金到位后予以置换。</w:t>
      </w:r>
    </w:p>
    <w:p>
      <w:pPr>
        <w:pStyle w:val="67"/>
        <w:ind w:firstLine="480"/>
      </w:pPr>
      <w:r>
        <w:rPr>
          <w:rFonts w:hint="eastAsia"/>
        </w:rPr>
        <w:t>在相关法律法规许可及股东大会决议授权范围内，董事会有权对募集资金投资项目及所需金额等具体安排进行调整或确定。</w:t>
      </w:r>
    </w:p>
    <w:p>
      <w:pPr>
        <w:pStyle w:val="69"/>
        <w:spacing w:afterLines="0"/>
        <w:ind w:firstLine="560"/>
      </w:pPr>
      <w:bookmarkStart w:id="70" w:name="_Toc15504193"/>
      <w:bookmarkStart w:id="71" w:name="_Toc22734866"/>
      <w:bookmarkStart w:id="72" w:name="_Toc15503562"/>
      <w:bookmarkStart w:id="73" w:name="_Toc79406426"/>
      <w:r>
        <w:rPr>
          <w:rFonts w:hint="eastAsia"/>
        </w:rPr>
        <w:t>六、本次发行是否构成关联交易</w:t>
      </w:r>
      <w:bookmarkEnd w:id="70"/>
      <w:bookmarkEnd w:id="71"/>
      <w:bookmarkEnd w:id="72"/>
      <w:bookmarkEnd w:id="73"/>
    </w:p>
    <w:p>
      <w:pPr>
        <w:pStyle w:val="67"/>
        <w:ind w:firstLine="480"/>
      </w:pPr>
      <w:r>
        <w:rPr>
          <w:rFonts w:hint="eastAsia"/>
        </w:rPr>
        <w:t>本次非公开发行对象华鲁投资，华鲁投资为公司控股股东华鲁控股的全资子公司，因此本次发行构成关联交易。</w:t>
      </w:r>
    </w:p>
    <w:p>
      <w:pPr>
        <w:pStyle w:val="67"/>
        <w:ind w:firstLine="480"/>
      </w:pPr>
      <w:r>
        <w:rPr>
          <w:rFonts w:hint="eastAsia"/>
        </w:rPr>
        <w:t>公司独立董事已对本次非公开发行涉及关联交易事项发表了事前认可意见及独立意见。在董事会审议本次非公开发行相关议案时，关联董事回避表决，由非关联董事表决通过，相关议案提请股东大会审议时，关联股东也将进行回避表决。</w:t>
      </w:r>
    </w:p>
    <w:p>
      <w:pPr>
        <w:pStyle w:val="69"/>
        <w:spacing w:afterLines="0"/>
        <w:ind w:firstLine="560"/>
      </w:pPr>
      <w:bookmarkStart w:id="74" w:name="_Toc22734867"/>
      <w:bookmarkStart w:id="75" w:name="_Toc15503563"/>
      <w:bookmarkStart w:id="76" w:name="_Toc15504194"/>
      <w:bookmarkStart w:id="77" w:name="_Toc79406427"/>
      <w:r>
        <w:rPr>
          <w:rFonts w:hint="eastAsia"/>
        </w:rPr>
        <w:t>七、本次发行是否导致公司控制权发生变化</w:t>
      </w:r>
      <w:bookmarkEnd w:id="74"/>
      <w:bookmarkEnd w:id="75"/>
      <w:bookmarkEnd w:id="76"/>
      <w:bookmarkEnd w:id="77"/>
    </w:p>
    <w:p>
      <w:pPr>
        <w:pStyle w:val="67"/>
        <w:ind w:firstLine="480"/>
      </w:pPr>
      <w:bookmarkStart w:id="78" w:name="_Hlk68098390"/>
      <w:bookmarkStart w:id="79" w:name="_Hlk68095526"/>
      <w:r>
        <w:rPr>
          <w:rFonts w:hint="eastAsia"/>
        </w:rPr>
        <w:t>截至本预案公告之日，华鲁控股直接持有公司</w:t>
      </w:r>
      <w:r>
        <w:t>204,864,092</w:t>
      </w:r>
      <w:r>
        <w:rPr>
          <w:rFonts w:hint="eastAsia"/>
        </w:rPr>
        <w:t>股股份，占总股本的3</w:t>
      </w:r>
      <w:r>
        <w:t>2.65</w:t>
      </w:r>
      <w:r>
        <w:rPr>
          <w:rFonts w:hint="eastAsia"/>
        </w:rPr>
        <w:t>%，为公司的控股股东。华鲁控股下属子公司华鲁投资与维斌公司分别持有公司</w:t>
      </w:r>
      <w:r>
        <w:t>4</w:t>
      </w:r>
      <w:r>
        <w:rPr>
          <w:rFonts w:hint="eastAsia"/>
        </w:rPr>
        <w:t>,</w:t>
      </w:r>
      <w:r>
        <w:t>143</w:t>
      </w:r>
      <w:r>
        <w:rPr>
          <w:rFonts w:hint="eastAsia"/>
        </w:rPr>
        <w:t>,</w:t>
      </w:r>
      <w:r>
        <w:t>168</w:t>
      </w:r>
      <w:r>
        <w:rPr>
          <w:rFonts w:hint="eastAsia"/>
        </w:rPr>
        <w:t>股股份及</w:t>
      </w:r>
      <w:r>
        <w:t xml:space="preserve"> 20,827,800</w:t>
      </w:r>
      <w:r>
        <w:rPr>
          <w:rFonts w:hint="eastAsia"/>
        </w:rPr>
        <w:t>股股份，分别占公司总股本0.66%和3.32%，山东省人民政府国有资产监督管理委员会为公司实际控制人。本次非公开发行，华鲁投资拟认购不超过</w:t>
      </w:r>
      <w:r>
        <w:rPr>
          <w:rFonts w:ascii="楷体" w:hAnsi="楷体" w:eastAsia="楷体"/>
          <w:b/>
        </w:rPr>
        <w:t>37,091,988</w:t>
      </w:r>
      <w:r>
        <w:rPr>
          <w:rFonts w:hint="eastAsia"/>
        </w:rPr>
        <w:t>股（含本数）股份。按照本次非公开发行股份数量上限</w:t>
      </w:r>
      <w:r>
        <w:rPr>
          <w:rFonts w:ascii="楷体" w:hAnsi="楷体" w:eastAsia="楷体"/>
          <w:b/>
        </w:rPr>
        <w:t>37,091,988</w:t>
      </w:r>
      <w:r>
        <w:rPr>
          <w:rFonts w:hint="eastAsia"/>
        </w:rPr>
        <w:t>股测算，本次非公开发行后，华鲁控股直接持有公司</w:t>
      </w:r>
      <w:r>
        <w:rPr>
          <w:rFonts w:ascii="楷体" w:hAnsi="楷体" w:eastAsia="楷体"/>
          <w:b/>
        </w:rPr>
        <w:t>30.83%</w:t>
      </w:r>
      <w:r>
        <w:rPr>
          <w:rFonts w:hint="eastAsia"/>
        </w:rPr>
        <w:t>股份，仍为公司控股股东，华鲁控股下属公司华鲁投资与维斌公司分别持有</w:t>
      </w:r>
      <w:r>
        <w:rPr>
          <w:rFonts w:ascii="楷体" w:hAnsi="楷体" w:eastAsia="楷体"/>
          <w:b/>
        </w:rPr>
        <w:t>41,235,156</w:t>
      </w:r>
      <w:r>
        <w:rPr>
          <w:rFonts w:hint="eastAsia"/>
        </w:rPr>
        <w:t>股股份及</w:t>
      </w:r>
      <w:r>
        <w:t>20,827,800</w:t>
      </w:r>
      <w:r>
        <w:rPr>
          <w:rFonts w:hint="eastAsia"/>
        </w:rPr>
        <w:t>股股份，分别占发行后总股本的</w:t>
      </w:r>
      <w:r>
        <w:rPr>
          <w:rFonts w:ascii="楷体" w:hAnsi="楷体" w:eastAsia="楷体"/>
          <w:b/>
        </w:rPr>
        <w:t>6.21%</w:t>
      </w:r>
      <w:r>
        <w:rPr>
          <w:rFonts w:hint="eastAsia"/>
        </w:rPr>
        <w:t>和</w:t>
      </w:r>
      <w:r>
        <w:rPr>
          <w:rFonts w:ascii="楷体" w:hAnsi="楷体" w:eastAsia="楷体"/>
          <w:b/>
        </w:rPr>
        <w:t>3.13%</w:t>
      </w:r>
      <w:r>
        <w:rPr>
          <w:rFonts w:hint="eastAsia"/>
        </w:rPr>
        <w:t>，华鲁控股直接与间接持有公司</w:t>
      </w:r>
      <w:r>
        <w:rPr>
          <w:rFonts w:ascii="楷体" w:hAnsi="楷体" w:eastAsia="楷体"/>
          <w:b/>
        </w:rPr>
        <w:t>266,927,048</w:t>
      </w:r>
      <w:r>
        <w:rPr>
          <w:rFonts w:hint="eastAsia"/>
        </w:rPr>
        <w:t>股股份，占发行后总股本的</w:t>
      </w:r>
      <w:r>
        <w:rPr>
          <w:rFonts w:ascii="楷体" w:hAnsi="楷体" w:eastAsia="楷体"/>
          <w:b/>
        </w:rPr>
        <w:t>40.17%</w:t>
      </w:r>
      <w:r>
        <w:rPr>
          <w:rFonts w:hint="eastAsia"/>
        </w:rPr>
        <w:t>。</w:t>
      </w:r>
      <w:bookmarkEnd w:id="78"/>
      <w:r>
        <w:rPr>
          <w:rFonts w:hint="eastAsia"/>
        </w:rPr>
        <w:t>山东省人民政府国有资产监督管理委员会仍为公司实际控制人。</w:t>
      </w:r>
    </w:p>
    <w:p>
      <w:pPr>
        <w:pStyle w:val="67"/>
        <w:ind w:firstLine="480"/>
      </w:pPr>
      <w:r>
        <w:rPr>
          <w:rFonts w:hint="eastAsia"/>
        </w:rPr>
        <w:t>因此，本次发行不会导致公司控制权发生变化。</w:t>
      </w:r>
      <w:bookmarkEnd w:id="79"/>
      <w:bookmarkStart w:id="80" w:name="_Toc15504195"/>
      <w:bookmarkStart w:id="81" w:name="_Toc15503564"/>
      <w:bookmarkStart w:id="82" w:name="_Toc22734868"/>
    </w:p>
    <w:p>
      <w:pPr>
        <w:pStyle w:val="69"/>
        <w:spacing w:afterLines="0"/>
        <w:ind w:firstLine="560"/>
      </w:pPr>
      <w:bookmarkStart w:id="83" w:name="_Toc79406428"/>
      <w:r>
        <w:rPr>
          <w:rFonts w:hint="eastAsia"/>
        </w:rPr>
        <w:t>八、本次发行方案已经取得有关主管部门批准的情况以及尚需呈报批准的程序</w:t>
      </w:r>
      <w:bookmarkEnd w:id="80"/>
      <w:bookmarkEnd w:id="81"/>
      <w:bookmarkEnd w:id="82"/>
      <w:bookmarkEnd w:id="83"/>
    </w:p>
    <w:p>
      <w:pPr>
        <w:pStyle w:val="67"/>
        <w:ind w:firstLine="480"/>
      </w:pPr>
      <w:r>
        <w:rPr>
          <w:rFonts w:hint="eastAsia"/>
        </w:rPr>
        <w:t>本次发行方案已经</w:t>
      </w:r>
      <w:r>
        <w:t>2021</w:t>
      </w:r>
      <w:r>
        <w:rPr>
          <w:rFonts w:hint="eastAsia"/>
        </w:rPr>
        <w:t>年4月1</w:t>
      </w:r>
      <w:r>
        <w:t>4</w:t>
      </w:r>
      <w:r>
        <w:rPr>
          <w:rFonts w:hint="eastAsia"/>
        </w:rPr>
        <w:t>日召开的第十届董事会</w:t>
      </w:r>
      <w:r>
        <w:t>2021</w:t>
      </w:r>
      <w:r>
        <w:rPr>
          <w:rFonts w:hint="eastAsia"/>
        </w:rPr>
        <w:t>年第二次临时会议审议通过。</w:t>
      </w:r>
    </w:p>
    <w:p>
      <w:pPr>
        <w:pStyle w:val="67"/>
        <w:ind w:firstLine="482"/>
        <w:rPr>
          <w:rFonts w:ascii="楷体" w:hAnsi="楷体" w:eastAsia="楷体"/>
          <w:b/>
        </w:rPr>
      </w:pPr>
      <w:r>
        <w:rPr>
          <w:rFonts w:hint="eastAsia" w:ascii="楷体" w:hAnsi="楷体" w:eastAsia="楷体"/>
          <w:b/>
        </w:rPr>
        <w:t>2</w:t>
      </w:r>
      <w:r>
        <w:rPr>
          <w:rFonts w:ascii="楷体" w:hAnsi="楷体" w:eastAsia="楷体"/>
          <w:b/>
        </w:rPr>
        <w:t>021</w:t>
      </w:r>
      <w:r>
        <w:rPr>
          <w:rFonts w:hint="eastAsia" w:ascii="楷体" w:hAnsi="楷体" w:eastAsia="楷体"/>
          <w:b/>
        </w:rPr>
        <w:t>年4月2</w:t>
      </w:r>
      <w:r>
        <w:rPr>
          <w:rFonts w:ascii="楷体" w:hAnsi="楷体" w:eastAsia="楷体"/>
          <w:b/>
        </w:rPr>
        <w:t>3</w:t>
      </w:r>
      <w:r>
        <w:rPr>
          <w:rFonts w:hint="eastAsia" w:ascii="楷体" w:hAnsi="楷体" w:eastAsia="楷体"/>
          <w:b/>
        </w:rPr>
        <w:t>日，华鲁控股集团有限公司批复了公司本次非公开发行股票事项。</w:t>
      </w:r>
    </w:p>
    <w:p>
      <w:pPr>
        <w:pStyle w:val="67"/>
        <w:ind w:firstLine="482"/>
        <w:rPr>
          <w:rFonts w:ascii="楷体" w:hAnsi="楷体" w:eastAsia="楷体"/>
          <w:b/>
        </w:rPr>
      </w:pPr>
      <w:r>
        <w:rPr>
          <w:rFonts w:hint="eastAsia" w:ascii="楷体" w:hAnsi="楷体" w:eastAsia="楷体"/>
          <w:b/>
        </w:rPr>
        <w:t>2</w:t>
      </w:r>
      <w:r>
        <w:rPr>
          <w:rFonts w:ascii="楷体" w:hAnsi="楷体" w:eastAsia="楷体"/>
          <w:b/>
        </w:rPr>
        <w:t>021</w:t>
      </w:r>
      <w:r>
        <w:rPr>
          <w:rFonts w:hint="eastAsia" w:ascii="楷体" w:hAnsi="楷体" w:eastAsia="楷体"/>
          <w:b/>
        </w:rPr>
        <w:t>年6月2</w:t>
      </w:r>
      <w:r>
        <w:rPr>
          <w:rFonts w:ascii="楷体" w:hAnsi="楷体" w:eastAsia="楷体"/>
          <w:b/>
        </w:rPr>
        <w:t>2</w:t>
      </w:r>
      <w:r>
        <w:rPr>
          <w:rFonts w:hint="eastAsia" w:ascii="楷体" w:hAnsi="楷体" w:eastAsia="楷体"/>
          <w:b/>
        </w:rPr>
        <w:t>日，香港证监会执行人员有条件地授出清洗豁免，豁免华鲁投资及其一致行动人因认购公司非公开发行A股股份而须就公司股份作出全面要约的义务。</w:t>
      </w:r>
    </w:p>
    <w:p>
      <w:pPr>
        <w:pStyle w:val="67"/>
        <w:ind w:firstLine="482"/>
        <w:rPr>
          <w:rFonts w:ascii="楷体" w:hAnsi="楷体" w:eastAsia="楷体"/>
          <w:b/>
        </w:rPr>
      </w:pPr>
      <w:r>
        <w:rPr>
          <w:rFonts w:hint="eastAsia" w:ascii="楷体" w:hAnsi="楷体" w:eastAsia="楷体"/>
          <w:b/>
        </w:rPr>
        <w:t>2021年</w:t>
      </w:r>
      <w:r>
        <w:rPr>
          <w:rFonts w:ascii="楷体" w:hAnsi="楷体" w:eastAsia="楷体"/>
          <w:b/>
        </w:rPr>
        <w:t>6</w:t>
      </w:r>
      <w:r>
        <w:rPr>
          <w:rFonts w:hint="eastAsia" w:ascii="楷体" w:hAnsi="楷体" w:eastAsia="楷体"/>
          <w:b/>
        </w:rPr>
        <w:t>月</w:t>
      </w:r>
      <w:r>
        <w:rPr>
          <w:rFonts w:ascii="楷体" w:hAnsi="楷体" w:eastAsia="楷体"/>
          <w:b/>
        </w:rPr>
        <w:t>30</w:t>
      </w:r>
      <w:r>
        <w:rPr>
          <w:rFonts w:hint="eastAsia" w:ascii="楷体" w:hAnsi="楷体" w:eastAsia="楷体"/>
          <w:b/>
        </w:rPr>
        <w:t>日，公司召开的2020年度周年股东大会、2021年第一次A股类别股东会议及2021年第一次H股类别股东会议审议通过本次非公开发行股票相关事项。</w:t>
      </w:r>
    </w:p>
    <w:p>
      <w:pPr>
        <w:pStyle w:val="67"/>
        <w:ind w:firstLine="482"/>
      </w:pPr>
      <w:r>
        <w:rPr>
          <w:rFonts w:hint="eastAsia" w:ascii="楷体" w:hAnsi="楷体" w:eastAsia="楷体"/>
          <w:b/>
        </w:rPr>
        <w:t>本次非公开发行方案调整的相关议案已经公司2021年8月</w:t>
      </w:r>
      <w:r>
        <w:rPr>
          <w:rFonts w:hint="eastAsia" w:ascii="楷体" w:hAnsi="楷体" w:eastAsia="楷体"/>
          <w:b/>
          <w:lang w:val="en-US" w:eastAsia="zh-CN"/>
        </w:rPr>
        <w:t>13</w:t>
      </w:r>
      <w:r>
        <w:rPr>
          <w:rFonts w:hint="eastAsia" w:ascii="楷体" w:hAnsi="楷体" w:eastAsia="楷体"/>
          <w:b/>
        </w:rPr>
        <w:t>日召开的第十届董事会第三次临时会议审议通过。</w:t>
      </w:r>
    </w:p>
    <w:p>
      <w:pPr>
        <w:pStyle w:val="67"/>
        <w:ind w:firstLine="480"/>
      </w:pPr>
      <w:r>
        <w:rPr>
          <w:rFonts w:hint="eastAsia"/>
        </w:rPr>
        <w:t>本次非公开发行尚需中国证监会核准。</w:t>
      </w:r>
    </w:p>
    <w:p>
      <w:pPr>
        <w:pStyle w:val="67"/>
        <w:ind w:firstLine="480"/>
      </w:pPr>
      <w:r>
        <w:rPr>
          <w:rFonts w:hint="eastAsia"/>
        </w:rPr>
        <w:t>在取得中国证监会核准后，公司将向深交所和中国结算公司申请办理本次发行股票的发行、登记和上市事宜，完成本次非公开发行股票全部呈报批准程序。</w:t>
      </w:r>
    </w:p>
    <w:p>
      <w:pPr>
        <w:pStyle w:val="66"/>
        <w:spacing w:afterLines="0"/>
      </w:pPr>
      <w:r>
        <w:br w:type="page"/>
      </w:r>
      <w:bookmarkStart w:id="84" w:name="_Toc79406429"/>
      <w:bookmarkStart w:id="85" w:name="_Toc15504196"/>
      <w:bookmarkStart w:id="86" w:name="_Toc67934564"/>
      <w:bookmarkStart w:id="87" w:name="_Toc15503565"/>
      <w:r>
        <w:rPr>
          <w:rFonts w:hint="eastAsia"/>
        </w:rPr>
        <w:t>第二节 发行对象基本情况</w:t>
      </w:r>
      <w:bookmarkEnd w:id="84"/>
      <w:bookmarkEnd w:id="85"/>
      <w:bookmarkEnd w:id="86"/>
      <w:bookmarkEnd w:id="87"/>
      <w:bookmarkStart w:id="88" w:name="_Toc15504388"/>
      <w:bookmarkStart w:id="89" w:name="_Toc22734871"/>
      <w:bookmarkStart w:id="90" w:name="_Toc15503567"/>
      <w:bookmarkStart w:id="91" w:name="_Toc15504198"/>
    </w:p>
    <w:p>
      <w:pPr>
        <w:pStyle w:val="69"/>
        <w:spacing w:afterLines="0"/>
        <w:ind w:firstLine="0" w:firstLineChars="0"/>
      </w:pPr>
    </w:p>
    <w:p>
      <w:pPr>
        <w:pStyle w:val="69"/>
        <w:numPr>
          <w:ilvl w:val="0"/>
          <w:numId w:val="2"/>
        </w:numPr>
        <w:spacing w:afterLines="0"/>
        <w:ind w:firstLineChars="0"/>
      </w:pPr>
      <w:bookmarkStart w:id="92" w:name="_Toc79406430"/>
      <w:r>
        <w:rPr>
          <w:rFonts w:hint="eastAsia"/>
        </w:rPr>
        <w:t>概况</w:t>
      </w:r>
      <w:bookmarkEnd w:id="88"/>
      <w:bookmarkEnd w:id="89"/>
      <w:bookmarkEnd w:id="90"/>
      <w:bookmarkEnd w:id="91"/>
      <w:bookmarkEnd w:id="92"/>
    </w:p>
    <w:tbl>
      <w:tblPr>
        <w:tblStyle w:val="32"/>
        <w:tblW w:w="819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58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371" w:type="dxa"/>
            <w:vAlign w:val="center"/>
          </w:tcPr>
          <w:p>
            <w:pPr>
              <w:spacing w:line="288" w:lineRule="auto"/>
              <w:rPr>
                <w:rFonts w:ascii="Times New Roman" w:hAnsi="Times New Roman" w:eastAsia="宋体"/>
                <w:kern w:val="0"/>
                <w:szCs w:val="21"/>
              </w:rPr>
            </w:pPr>
            <w:bookmarkStart w:id="93" w:name="_Hlk68092654"/>
            <w:r>
              <w:rPr>
                <w:rFonts w:hint="eastAsia" w:ascii="Times New Roman" w:hAnsi="Times New Roman" w:eastAsia="宋体"/>
                <w:kern w:val="0"/>
                <w:szCs w:val="21"/>
              </w:rPr>
              <w:t>企业名称</w:t>
            </w:r>
          </w:p>
        </w:tc>
        <w:tc>
          <w:tcPr>
            <w:tcW w:w="5825" w:type="dxa"/>
            <w:vAlign w:val="center"/>
          </w:tcPr>
          <w:p>
            <w:pPr>
              <w:spacing w:line="288" w:lineRule="auto"/>
              <w:rPr>
                <w:rFonts w:ascii="Times New Roman" w:hAnsi="Times New Roman" w:eastAsia="宋体"/>
                <w:kern w:val="0"/>
                <w:szCs w:val="21"/>
              </w:rPr>
            </w:pPr>
            <w:r>
              <w:rPr>
                <w:rFonts w:hint="eastAsia"/>
                <w:kern w:val="0"/>
                <w:szCs w:val="21"/>
              </w:rPr>
              <w:t>华鲁投资发展有限公司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371" w:type="dxa"/>
            <w:vAlign w:val="center"/>
          </w:tcPr>
          <w:p>
            <w:pPr>
              <w:spacing w:line="288" w:lineRule="auto"/>
              <w:rPr>
                <w:rFonts w:ascii="Times New Roman" w:hAnsi="Times New Roman" w:eastAsia="宋体"/>
                <w:kern w:val="0"/>
                <w:szCs w:val="21"/>
              </w:rPr>
            </w:pPr>
            <w:r>
              <w:rPr>
                <w:rFonts w:hint="eastAsia" w:ascii="Times New Roman" w:hAnsi="Times New Roman" w:eastAsia="宋体"/>
                <w:kern w:val="0"/>
                <w:szCs w:val="21"/>
              </w:rPr>
              <w:t>法定地址</w:t>
            </w:r>
          </w:p>
        </w:tc>
        <w:tc>
          <w:tcPr>
            <w:tcW w:w="5825" w:type="dxa"/>
            <w:vAlign w:val="center"/>
          </w:tcPr>
          <w:p>
            <w:pPr>
              <w:spacing w:line="288" w:lineRule="auto"/>
              <w:rPr>
                <w:rFonts w:ascii="Times New Roman" w:hAnsi="Times New Roman" w:eastAsia="宋体"/>
                <w:kern w:val="0"/>
                <w:szCs w:val="21"/>
              </w:rPr>
            </w:pPr>
            <w:r>
              <w:rPr>
                <w:rFonts w:hint="eastAsia" w:ascii="Times New Roman" w:hAnsi="Times New Roman" w:eastAsia="宋体"/>
                <w:kern w:val="0"/>
                <w:szCs w:val="21"/>
              </w:rPr>
              <w:t>济南市高新技术产业开发区舜海路219号华创观礼中心2号楼21层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371" w:type="dxa"/>
            <w:vAlign w:val="center"/>
          </w:tcPr>
          <w:p>
            <w:pPr>
              <w:spacing w:line="288" w:lineRule="auto"/>
              <w:rPr>
                <w:rFonts w:ascii="Times New Roman" w:hAnsi="Times New Roman" w:eastAsia="宋体"/>
                <w:kern w:val="0"/>
                <w:szCs w:val="21"/>
              </w:rPr>
            </w:pPr>
            <w:r>
              <w:rPr>
                <w:rFonts w:hint="eastAsia" w:ascii="Times New Roman" w:hAnsi="Times New Roman" w:eastAsia="宋体"/>
                <w:kern w:val="0"/>
                <w:szCs w:val="21"/>
              </w:rPr>
              <w:t>法定代表人</w:t>
            </w:r>
          </w:p>
        </w:tc>
        <w:tc>
          <w:tcPr>
            <w:tcW w:w="5825" w:type="dxa"/>
            <w:vAlign w:val="center"/>
          </w:tcPr>
          <w:p>
            <w:pPr>
              <w:spacing w:line="288" w:lineRule="auto"/>
              <w:rPr>
                <w:rFonts w:ascii="Times New Roman" w:hAnsi="Times New Roman" w:eastAsia="宋体"/>
                <w:kern w:val="0"/>
                <w:szCs w:val="21"/>
              </w:rPr>
            </w:pPr>
            <w:r>
              <w:rPr>
                <w:rFonts w:hint="eastAsia" w:ascii="Times New Roman" w:hAnsi="Times New Roman" w:eastAsia="宋体"/>
                <w:kern w:val="0"/>
                <w:szCs w:val="21"/>
              </w:rPr>
              <w:t>张成勇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371" w:type="dxa"/>
            <w:vAlign w:val="center"/>
          </w:tcPr>
          <w:p>
            <w:pPr>
              <w:spacing w:line="288" w:lineRule="auto"/>
              <w:rPr>
                <w:rFonts w:ascii="Times New Roman" w:hAnsi="Times New Roman" w:eastAsia="宋体"/>
                <w:kern w:val="0"/>
                <w:szCs w:val="21"/>
              </w:rPr>
            </w:pPr>
            <w:r>
              <w:rPr>
                <w:rFonts w:hint="eastAsia" w:ascii="Times New Roman" w:hAnsi="Times New Roman" w:eastAsia="宋体"/>
                <w:kern w:val="0"/>
                <w:szCs w:val="21"/>
              </w:rPr>
              <w:t>注册资本</w:t>
            </w:r>
          </w:p>
        </w:tc>
        <w:tc>
          <w:tcPr>
            <w:tcW w:w="5825" w:type="dxa"/>
            <w:vAlign w:val="center"/>
          </w:tcPr>
          <w:p>
            <w:pPr>
              <w:spacing w:line="288" w:lineRule="auto"/>
              <w:rPr>
                <w:rFonts w:ascii="Times New Roman" w:hAnsi="Times New Roman" w:eastAsia="宋体"/>
                <w:kern w:val="0"/>
                <w:szCs w:val="21"/>
              </w:rPr>
            </w:pPr>
            <w:r>
              <w:rPr>
                <w:rFonts w:hint="eastAsia" w:ascii="Times New Roman" w:hAnsi="Times New Roman" w:eastAsia="宋体"/>
                <w:kern w:val="0"/>
                <w:szCs w:val="21"/>
              </w:rPr>
              <w:t>30,000万元人民币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371" w:type="dxa"/>
            <w:vAlign w:val="center"/>
          </w:tcPr>
          <w:p>
            <w:pPr>
              <w:spacing w:line="288" w:lineRule="auto"/>
              <w:rPr>
                <w:rFonts w:ascii="Times New Roman" w:hAnsi="Times New Roman" w:eastAsia="宋体"/>
                <w:kern w:val="0"/>
                <w:szCs w:val="21"/>
              </w:rPr>
            </w:pPr>
            <w:r>
              <w:rPr>
                <w:rFonts w:hint="eastAsia" w:ascii="Times New Roman" w:hAnsi="Times New Roman" w:eastAsia="宋体"/>
                <w:kern w:val="0"/>
                <w:szCs w:val="21"/>
              </w:rPr>
              <w:t>统一社会信用代码</w:t>
            </w:r>
          </w:p>
        </w:tc>
        <w:tc>
          <w:tcPr>
            <w:tcW w:w="5825" w:type="dxa"/>
            <w:vAlign w:val="center"/>
          </w:tcPr>
          <w:p>
            <w:pPr>
              <w:spacing w:line="288" w:lineRule="auto"/>
              <w:rPr>
                <w:rFonts w:ascii="Times New Roman" w:hAnsi="Times New Roman" w:eastAsia="宋体"/>
                <w:kern w:val="0"/>
                <w:szCs w:val="21"/>
              </w:rPr>
            </w:pPr>
            <w:r>
              <w:rPr>
                <w:rFonts w:ascii="Times New Roman" w:hAnsi="Times New Roman" w:eastAsia="宋体"/>
                <w:kern w:val="0"/>
                <w:szCs w:val="21"/>
              </w:rPr>
              <w:t>91370000MA3CCJRU8T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371" w:type="dxa"/>
            <w:vAlign w:val="center"/>
          </w:tcPr>
          <w:p>
            <w:pPr>
              <w:spacing w:line="288" w:lineRule="auto"/>
              <w:rPr>
                <w:rFonts w:ascii="Times New Roman" w:hAnsi="Times New Roman" w:eastAsia="宋体"/>
                <w:kern w:val="0"/>
                <w:szCs w:val="21"/>
              </w:rPr>
            </w:pPr>
            <w:r>
              <w:rPr>
                <w:rFonts w:hint="eastAsia" w:ascii="Times New Roman" w:hAnsi="Times New Roman" w:eastAsia="宋体"/>
                <w:kern w:val="0"/>
                <w:szCs w:val="21"/>
              </w:rPr>
              <w:t>经营范围</w:t>
            </w:r>
          </w:p>
        </w:tc>
        <w:tc>
          <w:tcPr>
            <w:tcW w:w="5825" w:type="dxa"/>
            <w:vAlign w:val="center"/>
          </w:tcPr>
          <w:p>
            <w:pPr>
              <w:spacing w:line="288" w:lineRule="auto"/>
              <w:rPr>
                <w:rFonts w:ascii="Times New Roman" w:hAnsi="Times New Roman" w:eastAsia="宋体"/>
                <w:kern w:val="0"/>
                <w:szCs w:val="21"/>
              </w:rPr>
            </w:pPr>
            <w:r>
              <w:rPr>
                <w:rFonts w:hint="eastAsia" w:ascii="Times New Roman" w:hAnsi="Times New Roman" w:eastAsia="宋体"/>
                <w:kern w:val="0"/>
                <w:szCs w:val="21"/>
              </w:rPr>
              <w:t>以自有资金对外投资及管理、投资咨询。（依法须经批准的项目，经相关部门批准后方可开展经营活动）</w:t>
            </w:r>
          </w:p>
        </w:tc>
      </w:tr>
      <w:bookmarkEnd w:id="93"/>
    </w:tbl>
    <w:p>
      <w:pPr>
        <w:pStyle w:val="69"/>
        <w:spacing w:before="156" w:beforeLines="50" w:afterLines="0"/>
        <w:ind w:firstLine="560"/>
      </w:pPr>
      <w:bookmarkStart w:id="94" w:name="_Toc79406431"/>
      <w:bookmarkStart w:id="95" w:name="_Toc22734872"/>
      <w:bookmarkStart w:id="96" w:name="_Toc15503568"/>
      <w:bookmarkStart w:id="97" w:name="_Toc15504389"/>
      <w:bookmarkStart w:id="98" w:name="_Toc15504199"/>
      <w:r>
        <w:t>二</w:t>
      </w:r>
      <w:r>
        <w:rPr>
          <w:rFonts w:hint="eastAsia"/>
        </w:rPr>
        <w:t>、股权控制关系</w:t>
      </w:r>
      <w:bookmarkEnd w:id="94"/>
      <w:bookmarkEnd w:id="95"/>
      <w:bookmarkEnd w:id="96"/>
      <w:bookmarkEnd w:id="97"/>
      <w:bookmarkEnd w:id="98"/>
    </w:p>
    <w:p>
      <w:pPr>
        <w:pStyle w:val="67"/>
        <w:ind w:firstLine="480"/>
      </w:pPr>
      <w:bookmarkStart w:id="99" w:name="_Hlk68092841"/>
      <w:r>
        <w:rPr>
          <w:rFonts w:hint="eastAsia"/>
        </w:rPr>
        <w:t>截至本预案公告日，华鲁投资控制</w:t>
      </w:r>
      <w:r>
        <w:t>权结构图如下：</w:t>
      </w:r>
    </w:p>
    <w:p>
      <w:pPr>
        <w:pStyle w:val="67"/>
        <w:ind w:firstLine="480"/>
      </w:pPr>
      <w:r>
        <w:drawing>
          <wp:inline distT="0" distB="0" distL="114300" distR="114300">
            <wp:extent cx="5267325" cy="3267075"/>
            <wp:effectExtent l="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7"/>
                    <a:stretch>
                      <a:fillRect/>
                    </a:stretch>
                  </pic:blipFill>
                  <pic:spPr>
                    <a:xfrm>
                      <a:off x="0" y="0"/>
                      <a:ext cx="5267325" cy="3267075"/>
                    </a:xfrm>
                    <a:prstGeom prst="rect">
                      <a:avLst/>
                    </a:prstGeom>
                    <a:noFill/>
                    <a:ln w="9525">
                      <a:noFill/>
                    </a:ln>
                  </pic:spPr>
                </pic:pic>
              </a:graphicData>
            </a:graphic>
          </wp:inline>
        </w:drawing>
      </w:r>
      <w:bookmarkEnd w:id="99"/>
    </w:p>
    <w:p>
      <w:pPr>
        <w:pStyle w:val="69"/>
        <w:spacing w:afterLines="0"/>
        <w:ind w:firstLine="560"/>
      </w:pPr>
      <w:bookmarkStart w:id="100" w:name="_Toc22734873"/>
      <w:bookmarkStart w:id="101" w:name="_Toc79406432"/>
      <w:r>
        <w:rPr>
          <w:rFonts w:hint="eastAsia"/>
        </w:rPr>
        <w:t>三、华鲁投资主营业务情况</w:t>
      </w:r>
      <w:r>
        <w:t>及</w:t>
      </w:r>
      <w:r>
        <w:rPr>
          <w:rFonts w:hint="eastAsia"/>
        </w:rPr>
        <w:t>最近三年业务发展情况</w:t>
      </w:r>
      <w:bookmarkEnd w:id="100"/>
      <w:bookmarkEnd w:id="101"/>
    </w:p>
    <w:p>
      <w:pPr>
        <w:pStyle w:val="67"/>
        <w:ind w:firstLine="480"/>
      </w:pPr>
      <w:bookmarkStart w:id="102" w:name="_Hlk68092867"/>
      <w:bookmarkStart w:id="103" w:name="_Toc22734874"/>
      <w:r>
        <w:rPr>
          <w:rFonts w:hint="eastAsia"/>
        </w:rPr>
        <w:t>华鲁投资系华鲁控股之全资子公司，华鲁控股承担山东省医药、煤化工和环保板块的国有资本运营职责，根据华鲁控股赋予的职能，华鲁投资主要开展市场化投融资和资本运营业务，持有上市公司新华制药、鲁抗医药、华鲁恒升部分股权。2018年、2019年、20</w:t>
      </w:r>
      <w:r>
        <w:t>20</w:t>
      </w:r>
      <w:r>
        <w:rPr>
          <w:rFonts w:hint="eastAsia"/>
        </w:rPr>
        <w:t>年，华鲁投资实现净利润</w:t>
      </w:r>
      <w:r>
        <w:t>144.46</w:t>
      </w:r>
      <w:r>
        <w:rPr>
          <w:rFonts w:hint="eastAsia"/>
        </w:rPr>
        <w:t>万元、</w:t>
      </w:r>
      <w:r>
        <w:t>200.65</w:t>
      </w:r>
      <w:r>
        <w:rPr>
          <w:rFonts w:hint="eastAsia"/>
        </w:rPr>
        <w:t>万元、283.34万元，主要业绩来源为投资收益。</w:t>
      </w:r>
      <w:bookmarkEnd w:id="102"/>
    </w:p>
    <w:p>
      <w:pPr>
        <w:pStyle w:val="69"/>
        <w:spacing w:afterLines="0"/>
        <w:ind w:firstLine="560"/>
      </w:pPr>
      <w:bookmarkStart w:id="104" w:name="_Toc79406433"/>
      <w:r>
        <w:rPr>
          <w:rFonts w:hint="eastAsia"/>
        </w:rPr>
        <w:t>四、华鲁投资最近一年主要财务数据</w:t>
      </w:r>
      <w:bookmarkEnd w:id="103"/>
      <w:bookmarkEnd w:id="104"/>
    </w:p>
    <w:p>
      <w:pPr>
        <w:pStyle w:val="67"/>
        <w:ind w:firstLine="480"/>
        <w:rPr>
          <w:b/>
        </w:rPr>
      </w:pPr>
      <w:bookmarkStart w:id="105" w:name="_Hlk68092888"/>
      <w:r>
        <w:rPr>
          <w:rFonts w:hint="eastAsia"/>
        </w:rPr>
        <w:t>华鲁投资最近一年的主要财务数据如下：</w:t>
      </w:r>
    </w:p>
    <w:p>
      <w:pPr>
        <w:jc w:val="right"/>
        <w:rPr>
          <w:rFonts w:ascii="Times New Roman" w:hAnsi="Times New Roman" w:eastAsia="宋体" w:cs="Times New Roman"/>
          <w:szCs w:val="21"/>
        </w:rPr>
      </w:pPr>
      <w:r>
        <w:rPr>
          <w:rFonts w:hint="eastAsia" w:ascii="Times New Roman" w:hAnsi="Times New Roman" w:eastAsia="宋体" w:cs="Times New Roman"/>
          <w:szCs w:val="21"/>
        </w:rPr>
        <w:t>单位：万元</w:t>
      </w:r>
    </w:p>
    <w:tbl>
      <w:tblPr>
        <w:tblStyle w:val="31"/>
        <w:tblW w:w="86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09"/>
        <w:gridCol w:w="5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项目</w:t>
            </w:r>
          </w:p>
        </w:tc>
        <w:tc>
          <w:tcPr>
            <w:tcW w:w="5179" w:type="dxa"/>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2020</w:t>
            </w:r>
            <w:r>
              <w:rPr>
                <w:rFonts w:hint="eastAsia" w:ascii="宋体" w:hAnsi="宋体" w:eastAsia="宋体" w:cs="Times New Roman"/>
                <w:b/>
                <w:bCs/>
                <w:color w:val="000000"/>
                <w:kern w:val="0"/>
                <w:szCs w:val="21"/>
              </w:rPr>
              <w:t>年</w:t>
            </w:r>
            <w:r>
              <w:rPr>
                <w:rFonts w:ascii="Times New Roman" w:hAnsi="Times New Roman" w:eastAsia="宋体" w:cs="Times New Roman"/>
                <w:b/>
                <w:bCs/>
                <w:color w:val="000000"/>
                <w:kern w:val="0"/>
                <w:szCs w:val="21"/>
              </w:rPr>
              <w:t>12</w:t>
            </w:r>
            <w:r>
              <w:rPr>
                <w:rFonts w:hint="eastAsia" w:ascii="宋体" w:hAnsi="宋体" w:eastAsia="宋体" w:cs="Times New Roman"/>
                <w:b/>
                <w:bCs/>
                <w:color w:val="000000"/>
                <w:kern w:val="0"/>
                <w:szCs w:val="21"/>
              </w:rPr>
              <w:t>月</w:t>
            </w:r>
            <w:r>
              <w:rPr>
                <w:rFonts w:ascii="Times New Roman" w:hAnsi="Times New Roman" w:eastAsia="宋体" w:cs="Times New Roman"/>
                <w:b/>
                <w:bCs/>
                <w:color w:val="000000"/>
                <w:kern w:val="0"/>
                <w:szCs w:val="21"/>
              </w:rPr>
              <w:t>31</w:t>
            </w:r>
            <w:r>
              <w:rPr>
                <w:rFonts w:hint="eastAsia" w:ascii="宋体" w:hAnsi="宋体" w:eastAsia="宋体" w:cs="Times New Roman"/>
                <w:b/>
                <w:bCs/>
                <w:color w:val="000000"/>
                <w:kern w:val="0"/>
                <w:szCs w:val="21"/>
              </w:rPr>
              <w:t>日</w:t>
            </w:r>
            <w:r>
              <w:rPr>
                <w:rFonts w:ascii="Times New Roman" w:hAnsi="Times New Roman" w:eastAsia="宋体" w:cs="Times New Roman"/>
                <w:b/>
                <w:bCs/>
                <w:color w:val="000000"/>
                <w:kern w:val="0"/>
                <w:szCs w:val="21"/>
              </w:rPr>
              <w:t>/2020</w:t>
            </w:r>
            <w:r>
              <w:rPr>
                <w:rFonts w:hint="eastAsia" w:ascii="宋体" w:hAnsi="宋体" w:eastAsia="宋体" w:cs="Times New Roman"/>
                <w:b/>
                <w:bCs/>
                <w:color w:val="000000"/>
                <w:kern w:val="0"/>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资产总额</w:t>
            </w:r>
          </w:p>
        </w:tc>
        <w:tc>
          <w:tcPr>
            <w:tcW w:w="5179" w:type="dxa"/>
            <w:shd w:val="clear" w:color="auto" w:fill="auto"/>
            <w:vAlign w:val="center"/>
          </w:tcPr>
          <w:p>
            <w:pPr>
              <w:widowControl/>
              <w:jc w:val="right"/>
              <w:rPr>
                <w:rFonts w:ascii="Times New Roman" w:hAnsi="Times New Roman" w:eastAsia="宋体" w:cs="Times New Roman"/>
                <w:color w:val="000000"/>
                <w:kern w:val="0"/>
                <w:szCs w:val="21"/>
              </w:rPr>
            </w:pPr>
            <w:r>
              <w:rPr>
                <w:rFonts w:ascii="Times New Roman" w:hAnsi="Times New Roman" w:eastAsia="宋体" w:cs="Times New Roman"/>
                <w:szCs w:val="21"/>
              </w:rPr>
              <w:t>48</w:t>
            </w:r>
            <w:r>
              <w:rPr>
                <w:rFonts w:hint="eastAsia" w:ascii="Times New Roman" w:hAnsi="Times New Roman" w:eastAsia="宋体" w:cs="Times New Roman"/>
                <w:szCs w:val="21"/>
              </w:rPr>
              <w:t>,</w:t>
            </w:r>
            <w:r>
              <w:rPr>
                <w:rFonts w:ascii="Times New Roman" w:hAnsi="Times New Roman" w:eastAsia="宋体" w:cs="Times New Roman"/>
                <w:szCs w:val="21"/>
              </w:rPr>
              <w:t>497.85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负债总额</w:t>
            </w:r>
          </w:p>
        </w:tc>
        <w:tc>
          <w:tcPr>
            <w:tcW w:w="5179" w:type="dxa"/>
            <w:shd w:val="clear" w:color="auto" w:fill="auto"/>
            <w:vAlign w:val="center"/>
          </w:tcPr>
          <w:p>
            <w:pPr>
              <w:widowControl/>
              <w:jc w:val="right"/>
              <w:rPr>
                <w:rFonts w:ascii="Times New Roman" w:hAnsi="Times New Roman" w:eastAsia="宋体" w:cs="Times New Roman"/>
                <w:color w:val="000000"/>
                <w:kern w:val="0"/>
                <w:szCs w:val="21"/>
              </w:rPr>
            </w:pPr>
            <w:r>
              <w:rPr>
                <w:rFonts w:ascii="Times New Roman" w:hAnsi="Times New Roman" w:eastAsia="等线"/>
                <w:szCs w:val="21"/>
              </w:rPr>
              <w:t>9</w:t>
            </w:r>
            <w:r>
              <w:rPr>
                <w:rFonts w:hint="eastAsia" w:ascii="Times New Roman" w:hAnsi="Times New Roman" w:eastAsia="等线"/>
                <w:szCs w:val="21"/>
              </w:rPr>
              <w:t>,</w:t>
            </w:r>
            <w:r>
              <w:rPr>
                <w:rFonts w:ascii="Times New Roman" w:hAnsi="Times New Roman" w:eastAsia="等线"/>
                <w:szCs w:val="21"/>
              </w:rPr>
              <w:t>212.98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所有者权益</w:t>
            </w:r>
          </w:p>
        </w:tc>
        <w:tc>
          <w:tcPr>
            <w:tcW w:w="5179" w:type="dxa"/>
            <w:shd w:val="clear" w:color="auto" w:fill="auto"/>
            <w:vAlign w:val="center"/>
          </w:tcPr>
          <w:p>
            <w:pPr>
              <w:widowControl/>
              <w:jc w:val="right"/>
              <w:rPr>
                <w:rFonts w:ascii="Times New Roman" w:hAnsi="Times New Roman" w:eastAsia="宋体" w:cs="Times New Roman"/>
                <w:color w:val="000000"/>
                <w:kern w:val="0"/>
                <w:szCs w:val="21"/>
              </w:rPr>
            </w:pPr>
            <w:r>
              <w:rPr>
                <w:rFonts w:ascii="Times New Roman" w:hAnsi="Times New Roman" w:eastAsia="等线"/>
                <w:szCs w:val="21"/>
              </w:rPr>
              <w:t>39</w:t>
            </w:r>
            <w:r>
              <w:rPr>
                <w:rFonts w:hint="eastAsia" w:ascii="Times New Roman" w:hAnsi="Times New Roman" w:eastAsia="等线"/>
                <w:szCs w:val="21"/>
              </w:rPr>
              <w:t>,</w:t>
            </w:r>
            <w:r>
              <w:rPr>
                <w:rFonts w:ascii="Times New Roman" w:hAnsi="Times New Roman" w:eastAsia="等线"/>
                <w:szCs w:val="21"/>
              </w:rPr>
              <w:t>284.87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营业收入</w:t>
            </w:r>
          </w:p>
        </w:tc>
        <w:tc>
          <w:tcPr>
            <w:tcW w:w="5179" w:type="dxa"/>
            <w:shd w:val="clear" w:color="auto" w:fill="auto"/>
            <w:vAlign w:val="center"/>
          </w:tcPr>
          <w:p>
            <w:pPr>
              <w:widowControl/>
              <w:jc w:val="right"/>
              <w:rPr>
                <w:rFonts w:ascii="Times New Roman" w:hAnsi="Times New Roman" w:eastAsia="宋体" w:cs="Times New Roman"/>
                <w:color w:val="000000"/>
                <w:kern w:val="0"/>
                <w:szCs w:val="21"/>
              </w:rPr>
            </w:pPr>
            <w:r>
              <w:rPr>
                <w:rFonts w:hint="eastAsia" w:ascii="Times New Roman" w:hAnsi="Times New Roman" w:eastAsia="宋体" w:cs="Times New Roman"/>
                <w:szCs w:val="21"/>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营业利润</w:t>
            </w:r>
          </w:p>
        </w:tc>
        <w:tc>
          <w:tcPr>
            <w:tcW w:w="5179" w:type="dxa"/>
            <w:shd w:val="clear" w:color="auto" w:fill="auto"/>
            <w:vAlign w:val="center"/>
          </w:tcPr>
          <w:p>
            <w:pPr>
              <w:widowControl/>
              <w:jc w:val="right"/>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99.4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509"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净利润</w:t>
            </w:r>
          </w:p>
        </w:tc>
        <w:tc>
          <w:tcPr>
            <w:tcW w:w="5179" w:type="dxa"/>
            <w:shd w:val="clear" w:color="auto" w:fill="auto"/>
            <w:vAlign w:val="center"/>
          </w:tcPr>
          <w:p>
            <w:pPr>
              <w:widowControl/>
              <w:jc w:val="right"/>
              <w:rPr>
                <w:rFonts w:ascii="Times New Roman" w:hAnsi="Times New Roman" w:eastAsia="宋体" w:cs="Times New Roman"/>
                <w:color w:val="000000"/>
                <w:kern w:val="0"/>
                <w:szCs w:val="21"/>
              </w:rPr>
            </w:pPr>
            <w:r>
              <w:rPr>
                <w:rFonts w:ascii="Times New Roman" w:hAnsi="Times New Roman" w:eastAsia="宋体" w:cs="Times New Roman"/>
                <w:szCs w:val="21"/>
              </w:rPr>
              <w:t>283.34</w:t>
            </w:r>
          </w:p>
        </w:tc>
      </w:tr>
    </w:tbl>
    <w:p>
      <w:pPr>
        <w:pStyle w:val="67"/>
        <w:ind w:firstLine="420"/>
        <w:rPr>
          <w:sz w:val="21"/>
          <w:szCs w:val="21"/>
        </w:rPr>
      </w:pPr>
      <w:r>
        <w:rPr>
          <w:rFonts w:hint="eastAsia"/>
          <w:sz w:val="21"/>
          <w:szCs w:val="21"/>
        </w:rPr>
        <w:t>注：上述数据已经大信会计师事务所（特殊普通合伙）审计。</w:t>
      </w:r>
      <w:bookmarkEnd w:id="105"/>
      <w:bookmarkStart w:id="106" w:name="_Toc22734875"/>
    </w:p>
    <w:p>
      <w:pPr>
        <w:pStyle w:val="69"/>
        <w:spacing w:afterLines="0"/>
        <w:ind w:firstLine="560"/>
      </w:pPr>
      <w:bookmarkStart w:id="107" w:name="_Toc79406434"/>
      <w:r>
        <w:rPr>
          <w:rFonts w:hint="eastAsia"/>
        </w:rPr>
        <w:t>五、华鲁投资及其董事、监事和高级管理人员最近五年受过行政处罚、刑事处罚及涉及与经济纠纷有关的重大民事诉讼、仲裁情况</w:t>
      </w:r>
      <w:bookmarkEnd w:id="106"/>
      <w:bookmarkEnd w:id="107"/>
    </w:p>
    <w:p>
      <w:pPr>
        <w:pStyle w:val="67"/>
        <w:ind w:firstLine="480"/>
      </w:pPr>
      <w:bookmarkStart w:id="108" w:name="_Hlk68092919"/>
      <w:r>
        <w:rPr>
          <w:rFonts w:hint="eastAsia"/>
        </w:rPr>
        <w:t>截至本预案公告日，华鲁投资及其董事、监事和高级管理人员</w:t>
      </w:r>
      <w:r>
        <w:t>最近五年内</w:t>
      </w:r>
      <w:r>
        <w:rPr>
          <w:rFonts w:hint="eastAsia"/>
        </w:rPr>
        <w:t>未</w:t>
      </w:r>
      <w:r>
        <w:t>受过</w:t>
      </w:r>
      <w:r>
        <w:rPr>
          <w:rFonts w:hint="eastAsia"/>
        </w:rPr>
        <w:t>与证券市场相关的</w:t>
      </w:r>
      <w:r>
        <w:t>行政处罚、刑事处罚</w:t>
      </w:r>
      <w:r>
        <w:rPr>
          <w:rFonts w:hint="eastAsia"/>
        </w:rPr>
        <w:t>，也未</w:t>
      </w:r>
      <w:r>
        <w:t>涉及与经济纠纷有关的重大民事诉讼或者仲裁。</w:t>
      </w:r>
      <w:bookmarkEnd w:id="108"/>
      <w:bookmarkStart w:id="109" w:name="_Toc22734876"/>
    </w:p>
    <w:p>
      <w:pPr>
        <w:pStyle w:val="69"/>
        <w:spacing w:afterLines="0"/>
        <w:ind w:firstLine="560"/>
      </w:pPr>
      <w:bookmarkStart w:id="110" w:name="_Toc79406435"/>
      <w:r>
        <w:rPr>
          <w:rFonts w:hint="eastAsia"/>
        </w:rPr>
        <w:t>六、本次发行完成后，华鲁投资及其控股股东、实际控制人与公司的同业竞争及关联交易情况</w:t>
      </w:r>
      <w:bookmarkEnd w:id="109"/>
      <w:bookmarkEnd w:id="110"/>
    </w:p>
    <w:p>
      <w:pPr>
        <w:pStyle w:val="67"/>
        <w:ind w:firstLine="480"/>
      </w:pPr>
      <w:r>
        <w:rPr>
          <w:rFonts w:hint="eastAsia"/>
        </w:rPr>
        <w:t>本次发行完成后，华鲁投资及其控股股东、实际控制人与公司之间的业务关系、管理关系均不会发生实质性变化，除华鲁投资参与本次发行导致的关联交易外，不会因本次发行导致新增关联交易和同业竞争。</w:t>
      </w:r>
      <w:bookmarkStart w:id="111" w:name="_Toc22734877"/>
    </w:p>
    <w:p>
      <w:pPr>
        <w:pStyle w:val="69"/>
        <w:spacing w:afterLines="0"/>
        <w:ind w:firstLine="560"/>
      </w:pPr>
      <w:bookmarkStart w:id="112" w:name="_Toc79406436"/>
      <w:r>
        <w:rPr>
          <w:rFonts w:hint="eastAsia"/>
        </w:rPr>
        <w:t>七、本次发行预案披露前</w:t>
      </w:r>
      <w:r>
        <w:t>24</w:t>
      </w:r>
      <w:r>
        <w:rPr>
          <w:rFonts w:hint="eastAsia"/>
        </w:rPr>
        <w:t>个月内，华鲁投资及其控股股东、实际控制人与公司之间的重大交易情况</w:t>
      </w:r>
      <w:bookmarkEnd w:id="111"/>
      <w:bookmarkEnd w:id="112"/>
    </w:p>
    <w:p>
      <w:pPr>
        <w:pStyle w:val="67"/>
        <w:ind w:firstLine="480"/>
      </w:pPr>
      <w:r>
        <w:rPr>
          <w:rFonts w:hint="eastAsia"/>
        </w:rPr>
        <w:t>本次发行预案披露前</w:t>
      </w:r>
      <w:r>
        <w:t>24</w:t>
      </w:r>
      <w:r>
        <w:rPr>
          <w:rFonts w:hint="eastAsia"/>
        </w:rPr>
        <w:t>个月内，华鲁投资及其控股股东、实际控制人与上市公司之间的交易详见上市公司披露过的定期报告或临时公告，除上市公司在定期报告或临时报告中已披露的交易之外，上市公司与上述关联方未发生其它重大交易。详细情况请参阅登载于指定信息披露媒体的有关定期报告及临时公告等信息披露文件。</w:t>
      </w:r>
    </w:p>
    <w:p>
      <w:pPr>
        <w:pStyle w:val="69"/>
        <w:spacing w:afterLines="0"/>
        <w:ind w:firstLine="560"/>
      </w:pPr>
      <w:bookmarkStart w:id="113" w:name="_Toc79406437"/>
      <w:r>
        <w:rPr>
          <w:rFonts w:hint="eastAsia"/>
        </w:rPr>
        <w:t>八、本次认购资金来源情况</w:t>
      </w:r>
      <w:bookmarkEnd w:id="113"/>
    </w:p>
    <w:p>
      <w:pPr>
        <w:pStyle w:val="67"/>
        <w:ind w:firstLine="480"/>
      </w:pPr>
      <w:r>
        <w:rPr>
          <w:rFonts w:hint="eastAsia"/>
        </w:rPr>
        <w:t>发行对象华鲁投资拟以合法自有或自筹资金参与认购本次非公开发行的股票。</w:t>
      </w:r>
    </w:p>
    <w:p>
      <w:pPr>
        <w:pStyle w:val="69"/>
        <w:spacing w:afterLines="0"/>
        <w:ind w:firstLine="560"/>
      </w:pPr>
      <w:bookmarkStart w:id="114" w:name="_Toc79406438"/>
      <w:r>
        <w:rPr>
          <w:rFonts w:hint="eastAsia"/>
        </w:rPr>
        <w:t>九、关于豁免华鲁控股要约收购的说明</w:t>
      </w:r>
      <w:bookmarkEnd w:id="114"/>
    </w:p>
    <w:p>
      <w:pPr>
        <w:pStyle w:val="67"/>
        <w:ind w:firstLine="480"/>
      </w:pPr>
      <w:r>
        <w:rPr>
          <w:rFonts w:hint="eastAsia"/>
        </w:rPr>
        <w:t>本次非公开发行股票完成后，华鲁投资持有公司</w:t>
      </w:r>
      <w:r>
        <w:rPr>
          <w:rFonts w:ascii="楷体" w:hAnsi="楷体" w:eastAsia="楷体"/>
          <w:b/>
        </w:rPr>
        <w:t>41,235,156</w:t>
      </w:r>
      <w:r>
        <w:rPr>
          <w:rFonts w:hint="eastAsia"/>
        </w:rPr>
        <w:t>股股份，华鲁控股直接和间接持有公司</w:t>
      </w:r>
      <w:r>
        <w:rPr>
          <w:rFonts w:ascii="楷体" w:hAnsi="楷体" w:eastAsia="楷体"/>
          <w:b/>
        </w:rPr>
        <w:t>266,927,048</w:t>
      </w:r>
      <w:r>
        <w:rPr>
          <w:rFonts w:hint="eastAsia"/>
        </w:rPr>
        <w:t>股股份，占公司本次发行完成后总股本的</w:t>
      </w:r>
      <w:r>
        <w:rPr>
          <w:rFonts w:ascii="楷体" w:hAnsi="楷体" w:eastAsia="楷体"/>
          <w:b/>
        </w:rPr>
        <w:t>40.17%</w:t>
      </w:r>
      <w:r>
        <w:rPr>
          <w:rFonts w:hint="eastAsia"/>
        </w:rPr>
        <w:t>，华鲁控股控制本公司股份的比例超过30%，导致公司本次发行的股票触发《上市公司收购管理办法（2020年修订）》规定的要约收购义务。</w:t>
      </w:r>
    </w:p>
    <w:p>
      <w:pPr>
        <w:pStyle w:val="67"/>
        <w:ind w:firstLine="480"/>
      </w:pPr>
      <w:r>
        <w:rPr>
          <w:rFonts w:hint="eastAsia"/>
        </w:rPr>
        <w:t>根据《上市公司收购管理办法（2020年修订）》第六十三条的相关规定：经上市公司股东大会非关联股东批准，投资者取得上市公司向其发行的新股，导致其在该公司拥有权益的股份超过该公司已发行股份的30%，投资者承诺3年内不转让本次向其发行的新股，且公司股东大会同意投资者免于发出要约的，投资者可以免于发出要约。</w:t>
      </w:r>
    </w:p>
    <w:p>
      <w:pPr>
        <w:pStyle w:val="67"/>
        <w:ind w:firstLine="480"/>
      </w:pPr>
      <w:r>
        <w:rPr>
          <w:rFonts w:hint="eastAsia"/>
        </w:rPr>
        <w:t>鉴于本次非公开发行不会导致公司实际控制人变更，且根据公司与华鲁投资签署的《附条件生效的股份认购合同》，华鲁投资认购的本次非公开发行股票自本次发行结束之日起36个月内不得转让。待公司股东大会非关联股东批准后，符合《上市公司收购管理办法（2020年修订）》第六十三条规定的免于发出要约的情形，公司董事会同意提请股东大会批准华鲁投资及其一致行动人免于发出要约。</w:t>
      </w:r>
      <w:r>
        <w:rPr>
          <w:rFonts w:hint="eastAsia" w:ascii="楷体" w:hAnsi="楷体" w:eastAsia="楷体"/>
          <w:b/>
        </w:rPr>
        <w:t>本议案已经股东大会审议通过，关联股东对相关议案回避表决。</w:t>
      </w:r>
    </w:p>
    <w:p>
      <w:pPr>
        <w:pStyle w:val="67"/>
        <w:ind w:firstLine="480"/>
      </w:pPr>
      <w:r>
        <w:br w:type="page"/>
      </w:r>
    </w:p>
    <w:p>
      <w:pPr>
        <w:pStyle w:val="66"/>
        <w:spacing w:afterLines="0"/>
      </w:pPr>
      <w:bookmarkStart w:id="115" w:name="_Toc15504208"/>
      <w:bookmarkStart w:id="116" w:name="_Toc15503577"/>
      <w:bookmarkStart w:id="117" w:name="_Toc67934565"/>
      <w:bookmarkStart w:id="118" w:name="_Toc79406439"/>
      <w:r>
        <w:rPr>
          <w:rFonts w:hint="eastAsia"/>
        </w:rPr>
        <w:t>第三节 附条件生效的股份认购合同及补充合同摘要</w:t>
      </w:r>
      <w:bookmarkEnd w:id="115"/>
      <w:bookmarkEnd w:id="116"/>
      <w:bookmarkEnd w:id="117"/>
      <w:bookmarkEnd w:id="118"/>
    </w:p>
    <w:p>
      <w:pPr>
        <w:pStyle w:val="67"/>
        <w:ind w:firstLine="480"/>
      </w:pPr>
    </w:p>
    <w:p>
      <w:pPr>
        <w:pStyle w:val="77"/>
      </w:pPr>
      <w:r>
        <w:rPr>
          <w:rFonts w:hint="eastAsia"/>
        </w:rPr>
        <w:t>截至本预案公告之日，公司已与发行对象华鲁投资签署了《附条件生效的股份认购合同》及《附条件生效的股份认购合同之补充合同》，认购合同及补充合同的签署情况及主要内容如下：</w:t>
      </w:r>
      <w:bookmarkStart w:id="119" w:name="_Toc79406440"/>
    </w:p>
    <w:p>
      <w:pPr>
        <w:pStyle w:val="69"/>
        <w:spacing w:afterLines="0"/>
        <w:ind w:firstLine="560"/>
      </w:pPr>
      <w:r>
        <w:rPr>
          <w:rFonts w:hint="eastAsia"/>
        </w:rPr>
        <w:t>一、附条件生效的股份认购合同摘要</w:t>
      </w:r>
      <w:bookmarkEnd w:id="119"/>
    </w:p>
    <w:p>
      <w:pPr>
        <w:pStyle w:val="69"/>
        <w:spacing w:afterLines="0"/>
        <w:ind w:firstLine="560"/>
      </w:pPr>
      <w:bookmarkStart w:id="120" w:name="_Toc15504209"/>
      <w:bookmarkStart w:id="121" w:name="_Toc15503578"/>
      <w:bookmarkStart w:id="122" w:name="_Toc22734887"/>
      <w:bookmarkStart w:id="123" w:name="_Toc79406441"/>
      <w:r>
        <w:rPr>
          <w:rFonts w:hint="eastAsia"/>
        </w:rPr>
        <w:t>（一）合同主体和签署时间</w:t>
      </w:r>
      <w:bookmarkEnd w:id="120"/>
      <w:bookmarkEnd w:id="121"/>
      <w:bookmarkEnd w:id="122"/>
      <w:bookmarkEnd w:id="123"/>
    </w:p>
    <w:p>
      <w:pPr>
        <w:pStyle w:val="67"/>
        <w:ind w:firstLine="480"/>
      </w:pPr>
      <w:r>
        <w:rPr>
          <w:rFonts w:hint="eastAsia"/>
        </w:rPr>
        <w:t>甲方（发行人）：山东新华制药股份有限公司</w:t>
      </w:r>
    </w:p>
    <w:p>
      <w:pPr>
        <w:pStyle w:val="67"/>
        <w:ind w:firstLine="480"/>
      </w:pPr>
      <w:r>
        <w:rPr>
          <w:rFonts w:hint="eastAsia"/>
        </w:rPr>
        <w:t>乙方（认购方）：华鲁投资发展有限公司</w:t>
      </w:r>
    </w:p>
    <w:p>
      <w:pPr>
        <w:pStyle w:val="67"/>
        <w:ind w:firstLine="480"/>
      </w:pPr>
      <w:r>
        <w:rPr>
          <w:rFonts w:hint="eastAsia"/>
        </w:rPr>
        <w:t>签署时间：</w:t>
      </w:r>
      <w:r>
        <w:t>2021</w:t>
      </w:r>
      <w:r>
        <w:rPr>
          <w:rFonts w:hint="eastAsia"/>
        </w:rPr>
        <w:t>年4月1</w:t>
      </w:r>
      <w:r>
        <w:t>4</w:t>
      </w:r>
      <w:r>
        <w:rPr>
          <w:rFonts w:hint="eastAsia"/>
        </w:rPr>
        <w:t>日</w:t>
      </w:r>
      <w:bookmarkStart w:id="124" w:name="_Toc15504210"/>
      <w:bookmarkStart w:id="125" w:name="_Toc22734888"/>
      <w:bookmarkStart w:id="126" w:name="_Toc15503579"/>
    </w:p>
    <w:p>
      <w:pPr>
        <w:pStyle w:val="69"/>
        <w:spacing w:afterLines="0"/>
        <w:ind w:firstLine="560"/>
      </w:pPr>
      <w:bookmarkStart w:id="127" w:name="_Toc79406442"/>
      <w:r>
        <w:rPr>
          <w:rFonts w:hint="eastAsia"/>
        </w:rPr>
        <w:t>（二）认购标的及认购股份数量、定价原则及认购金额、锁定期</w:t>
      </w:r>
      <w:bookmarkEnd w:id="124"/>
      <w:bookmarkEnd w:id="125"/>
      <w:bookmarkEnd w:id="126"/>
      <w:bookmarkEnd w:id="127"/>
    </w:p>
    <w:p>
      <w:pPr>
        <w:pStyle w:val="71"/>
        <w:spacing w:afterLines="0"/>
        <w:ind w:firstLine="482"/>
      </w:pPr>
      <w:bookmarkStart w:id="128" w:name="_Toc15504212"/>
      <w:bookmarkStart w:id="129" w:name="_Toc22734890"/>
      <w:bookmarkStart w:id="130" w:name="_Toc15503581"/>
      <w:bookmarkStart w:id="131" w:name="_Toc15504402"/>
      <w:bookmarkStart w:id="132" w:name="_Toc67935081"/>
      <w:r>
        <w:rPr>
          <w:rFonts w:hint="eastAsia"/>
        </w:rPr>
        <w:t>1、认购标的及认购股份数量</w:t>
      </w:r>
      <w:bookmarkEnd w:id="128"/>
      <w:bookmarkEnd w:id="129"/>
      <w:bookmarkEnd w:id="130"/>
      <w:bookmarkEnd w:id="131"/>
      <w:bookmarkEnd w:id="132"/>
    </w:p>
    <w:p>
      <w:pPr>
        <w:pStyle w:val="71"/>
        <w:spacing w:after="156"/>
        <w:ind w:firstLine="480"/>
        <w:outlineLvl w:val="9"/>
        <w:rPr>
          <w:b w:val="0"/>
        </w:rPr>
      </w:pPr>
      <w:r>
        <w:rPr>
          <w:rFonts w:hint="eastAsia"/>
          <w:b w:val="0"/>
        </w:rPr>
        <w:t>乙方拟根据本合同规定的条款和条件认购甲方本次非公开发行的</w:t>
      </w:r>
      <w:r>
        <w:rPr>
          <w:b w:val="0"/>
        </w:rPr>
        <w:t>36,284,470</w:t>
      </w:r>
      <w:r>
        <w:rPr>
          <w:rFonts w:hint="eastAsia"/>
          <w:b w:val="0"/>
        </w:rPr>
        <w:t>股股份（以下称标的股份）。若甲方A股股票在本次非公开发行的定价基准日至发行日期间发生派息、送股、资本公积转增股本、配股等除权、除息事项或因其他原因导致本次发行前甲方总股本发生变动或本次发行价格发生调整的，则甲方本次非公开发行的股票数量上限及乙方认购的股份数量将进行相应调整。</w:t>
      </w:r>
    </w:p>
    <w:p>
      <w:pPr>
        <w:pStyle w:val="71"/>
        <w:spacing w:afterLines="0"/>
        <w:ind w:firstLine="480"/>
        <w:outlineLvl w:val="9"/>
        <w:rPr>
          <w:b w:val="0"/>
        </w:rPr>
      </w:pPr>
      <w:r>
        <w:rPr>
          <w:rFonts w:hint="eastAsia"/>
          <w:b w:val="0"/>
        </w:rPr>
        <w:t>若本次非公开发行的股份总数因法律法规或监管政策变化，或根据发行核准文件的要求予以调减，则在符合法律、行政法规及中国证监会相关规定的前提下，由甲方董事会或其转授权人士根据股东大会的授权对乙方的认购金额及认购股份数量进行相应调整。</w:t>
      </w:r>
    </w:p>
    <w:p>
      <w:pPr>
        <w:pStyle w:val="71"/>
        <w:spacing w:afterLines="0"/>
        <w:ind w:firstLine="482"/>
      </w:pPr>
      <w:bookmarkStart w:id="133" w:name="_Toc15503582"/>
      <w:bookmarkStart w:id="134" w:name="_Toc15504403"/>
      <w:bookmarkStart w:id="135" w:name="_Toc22734891"/>
      <w:bookmarkStart w:id="136" w:name="_Toc15504213"/>
      <w:bookmarkStart w:id="137" w:name="_Toc67935082"/>
      <w:r>
        <w:rPr>
          <w:rFonts w:hint="eastAsia"/>
        </w:rPr>
        <w:t>2、定价原则及认购金额</w:t>
      </w:r>
      <w:bookmarkEnd w:id="133"/>
      <w:bookmarkEnd w:id="134"/>
      <w:bookmarkEnd w:id="135"/>
      <w:bookmarkEnd w:id="136"/>
      <w:bookmarkEnd w:id="137"/>
    </w:p>
    <w:p>
      <w:pPr>
        <w:pStyle w:val="71"/>
        <w:spacing w:afterLines="0"/>
        <w:ind w:firstLine="480"/>
        <w:outlineLvl w:val="9"/>
        <w:rPr>
          <w:b w:val="0"/>
        </w:rPr>
      </w:pPr>
      <w:r>
        <w:rPr>
          <w:rFonts w:hint="eastAsia"/>
          <w:b w:val="0"/>
        </w:rPr>
        <w:t>乙方认购甲方本次非公开发行股份的价格为每股人民币</w:t>
      </w:r>
      <w:r>
        <w:rPr>
          <w:b w:val="0"/>
        </w:rPr>
        <w:t>6.89</w:t>
      </w:r>
      <w:r>
        <w:rPr>
          <w:rFonts w:hint="eastAsia"/>
          <w:b w:val="0"/>
        </w:rPr>
        <w:t>元（该价格不低于定价基准日前二十个交易日甲方A股股票均价的80%与定价基准日前甲方最近一年末经审计的归属于母公司普通股股东的每股净资产金额的孰高值）。若甲方A股股票在定价基准日至发行日期间发生派息、送股、资本公积转增股本等除权、除息事项，则本次非公开发行的发行价格将作相应调整。</w:t>
      </w:r>
    </w:p>
    <w:p>
      <w:pPr>
        <w:pStyle w:val="71"/>
        <w:spacing w:afterLines="0"/>
        <w:ind w:firstLine="480"/>
        <w:outlineLvl w:val="9"/>
        <w:rPr>
          <w:b w:val="0"/>
        </w:rPr>
      </w:pPr>
      <w:r>
        <w:rPr>
          <w:rFonts w:hint="eastAsia"/>
          <w:b w:val="0"/>
        </w:rPr>
        <w:t>为认购甲方非公开发行的</w:t>
      </w:r>
      <w:r>
        <w:rPr>
          <w:b w:val="0"/>
        </w:rPr>
        <w:t>36,284,470</w:t>
      </w:r>
      <w:r>
        <w:rPr>
          <w:rFonts w:hint="eastAsia"/>
          <w:b w:val="0"/>
        </w:rPr>
        <w:t>股股份，乙方应向甲方支付人民币贰亿伍仟万元整（小写：</w:t>
      </w:r>
      <w:r>
        <w:rPr>
          <w:b w:val="0"/>
        </w:rPr>
        <w:t>25,000</w:t>
      </w:r>
      <w:r>
        <w:rPr>
          <w:rFonts w:hint="eastAsia"/>
          <w:b w:val="0"/>
        </w:rPr>
        <w:t>万元）。</w:t>
      </w:r>
    </w:p>
    <w:p>
      <w:pPr>
        <w:pStyle w:val="71"/>
        <w:spacing w:afterLines="0"/>
        <w:ind w:firstLine="482"/>
      </w:pPr>
      <w:bookmarkStart w:id="138" w:name="_Toc15503583"/>
      <w:bookmarkStart w:id="139" w:name="_Toc15504214"/>
      <w:bookmarkStart w:id="140" w:name="_Toc67935083"/>
      <w:bookmarkStart w:id="141" w:name="_Toc15504404"/>
      <w:bookmarkStart w:id="142" w:name="_Toc22734892"/>
      <w:r>
        <w:rPr>
          <w:rFonts w:hint="eastAsia"/>
        </w:rPr>
        <w:t>3、限售期</w:t>
      </w:r>
      <w:bookmarkEnd w:id="138"/>
      <w:bookmarkEnd w:id="139"/>
      <w:bookmarkEnd w:id="140"/>
      <w:bookmarkEnd w:id="141"/>
      <w:bookmarkEnd w:id="142"/>
    </w:p>
    <w:p>
      <w:pPr>
        <w:pStyle w:val="67"/>
        <w:ind w:firstLine="480"/>
      </w:pPr>
      <w:bookmarkStart w:id="143" w:name="_Toc15504215"/>
      <w:bookmarkStart w:id="144" w:name="_Toc22734893"/>
      <w:bookmarkStart w:id="145" w:name="_Toc15503584"/>
      <w:r>
        <w:rPr>
          <w:rFonts w:hint="eastAsia"/>
        </w:rPr>
        <w:t>本次非公开发行股票乙方认购的股份自本次发行结束之日起三十六个月内不得转让。本次非公开发行完成后，乙方所认购的甲方本次非公开发行的股票因公司分配股票股利、资本公积金转增股本等形式所衍生取得的股票亦应遵守上述股份限售安排。锁定期结束后，按照中国证监会及深圳证券交易所的有关规定执行。</w:t>
      </w:r>
    </w:p>
    <w:p>
      <w:pPr>
        <w:pStyle w:val="69"/>
        <w:spacing w:afterLines="0"/>
        <w:ind w:firstLine="560"/>
      </w:pPr>
      <w:bookmarkStart w:id="146" w:name="_Toc79406443"/>
      <w:r>
        <w:rPr>
          <w:rFonts w:hint="eastAsia"/>
        </w:rPr>
        <w:t>（三）支付方式</w:t>
      </w:r>
      <w:bookmarkEnd w:id="143"/>
      <w:bookmarkEnd w:id="144"/>
      <w:bookmarkEnd w:id="145"/>
      <w:bookmarkEnd w:id="146"/>
    </w:p>
    <w:p>
      <w:pPr>
        <w:pStyle w:val="71"/>
        <w:spacing w:afterLines="0"/>
        <w:ind w:firstLine="480"/>
        <w:outlineLvl w:val="9"/>
        <w:rPr>
          <w:b w:val="0"/>
        </w:rPr>
      </w:pPr>
      <w:r>
        <w:rPr>
          <w:rFonts w:hint="eastAsia"/>
          <w:b w:val="0"/>
        </w:rPr>
        <w:t>在本次非公开发行取得中国证监会核准后，乙方应根据甲方和本次发行保荐机构（主承销商）发出的书面缴款通知，按照甲方与保荐机构（主承销商）确定的具体缴款日期将认购本合同项下标的股份的认购款足额汇入保荐机构（主承销商）为本次非公开发行专门开立的账户，该认购资金在会计师事务所完成验资并扣除相关费用后，再行划入甲方的募集资金专项存储账户。在乙方支付认购价款后，甲方应尽快将乙方认购的股票在证券登记结算机构办理登记手续。</w:t>
      </w:r>
    </w:p>
    <w:p>
      <w:pPr>
        <w:pStyle w:val="69"/>
        <w:spacing w:afterLines="0"/>
        <w:ind w:firstLine="560"/>
      </w:pPr>
      <w:bookmarkStart w:id="147" w:name="_Toc15504216"/>
      <w:bookmarkStart w:id="148" w:name="_Toc15503585"/>
      <w:bookmarkStart w:id="149" w:name="_Toc22734894"/>
      <w:bookmarkStart w:id="150" w:name="_Toc79406444"/>
      <w:r>
        <w:rPr>
          <w:rFonts w:hint="eastAsia"/>
        </w:rPr>
        <w:t>（四）合同的生效条件</w:t>
      </w:r>
      <w:bookmarkEnd w:id="147"/>
      <w:bookmarkEnd w:id="148"/>
      <w:bookmarkEnd w:id="149"/>
      <w:bookmarkEnd w:id="150"/>
    </w:p>
    <w:p>
      <w:pPr>
        <w:pStyle w:val="71"/>
        <w:spacing w:after="156"/>
        <w:ind w:firstLine="480"/>
        <w:outlineLvl w:val="9"/>
        <w:rPr>
          <w:b w:val="0"/>
        </w:rPr>
      </w:pPr>
      <w:r>
        <w:rPr>
          <w:rFonts w:hint="eastAsia"/>
          <w:b w:val="0"/>
        </w:rPr>
        <w:t>1、本合同自双方法定代表人或授权代表签署并加盖公章之日起成立，并在以下条件均获得满足之首日生效：</w:t>
      </w:r>
    </w:p>
    <w:p>
      <w:pPr>
        <w:pStyle w:val="77"/>
      </w:pPr>
      <w:r>
        <w:rPr>
          <w:rFonts w:hint="eastAsia"/>
        </w:rPr>
        <w:t>（1）公司董事会、股东大会、A股类别股东大会及H股类别股东大会根据相关法律规定及公司章程的规定，批准本次非公开发行的具体方案和相关事宜；</w:t>
      </w:r>
    </w:p>
    <w:p>
      <w:pPr>
        <w:pStyle w:val="77"/>
      </w:pPr>
      <w:r>
        <w:rPr>
          <w:rFonts w:hint="eastAsia"/>
        </w:rPr>
        <w:t>（2）公司独立股东于股东大会根据香港公司收购及合并守则规定批准清洗豁免，并根据中国法律规定批准华鲁投资及其一致行动人豁免因本次非公开发行而触发的全面要约收购义务；</w:t>
      </w:r>
    </w:p>
    <w:p>
      <w:pPr>
        <w:pStyle w:val="77"/>
      </w:pPr>
      <w:r>
        <w:rPr>
          <w:rFonts w:hint="eastAsia"/>
        </w:rPr>
        <w:t>（3）公司本次非公开发行获得有权国有资产管理机构同意；</w:t>
      </w:r>
    </w:p>
    <w:p>
      <w:pPr>
        <w:pStyle w:val="77"/>
      </w:pPr>
      <w:r>
        <w:rPr>
          <w:rFonts w:hint="eastAsia"/>
        </w:rPr>
        <w:t>（4）华鲁投资及其一致行动人根据香港公司收购及合并守则取得香港证监会授予的清洗豁免；</w:t>
      </w:r>
    </w:p>
    <w:p>
      <w:pPr>
        <w:pStyle w:val="77"/>
        <w:rPr>
          <w:b/>
        </w:rPr>
      </w:pPr>
      <w:r>
        <w:rPr>
          <w:rFonts w:hint="eastAsia"/>
        </w:rPr>
        <w:t>（5）公司本次非公开发行获得中国证监会核准。</w:t>
      </w:r>
    </w:p>
    <w:p>
      <w:pPr>
        <w:pStyle w:val="71"/>
        <w:spacing w:afterLines="0"/>
        <w:ind w:firstLine="480"/>
        <w:outlineLvl w:val="9"/>
        <w:rPr>
          <w:b w:val="0"/>
        </w:rPr>
      </w:pPr>
      <w:r>
        <w:rPr>
          <w:rFonts w:hint="eastAsia"/>
          <w:b w:val="0"/>
        </w:rPr>
        <w:t>2、在本合同成立后，双方均应积极努力，为本合同生效的先决条件的成就创造条件。非因双方的原因致使本合同不能生效的，双方均不需要承担责任。</w:t>
      </w:r>
    </w:p>
    <w:p>
      <w:pPr>
        <w:pStyle w:val="69"/>
        <w:spacing w:afterLines="0"/>
        <w:ind w:firstLine="560"/>
      </w:pPr>
      <w:bookmarkStart w:id="151" w:name="_Toc15504217"/>
      <w:bookmarkStart w:id="152" w:name="_Toc22734895"/>
      <w:bookmarkStart w:id="153" w:name="_Toc15503586"/>
      <w:bookmarkStart w:id="154" w:name="_Toc79406445"/>
      <w:r>
        <w:rPr>
          <w:rFonts w:hint="eastAsia"/>
        </w:rPr>
        <w:t>（五）违约责任</w:t>
      </w:r>
      <w:bookmarkEnd w:id="151"/>
      <w:bookmarkEnd w:id="152"/>
      <w:bookmarkEnd w:id="153"/>
      <w:bookmarkEnd w:id="154"/>
    </w:p>
    <w:p>
      <w:pPr>
        <w:pStyle w:val="71"/>
        <w:spacing w:after="156"/>
        <w:ind w:firstLine="480"/>
        <w:outlineLvl w:val="9"/>
        <w:rPr>
          <w:b w:val="0"/>
        </w:rPr>
      </w:pPr>
      <w:r>
        <w:rPr>
          <w:rFonts w:hint="eastAsia"/>
          <w:b w:val="0"/>
        </w:rPr>
        <w:t>1、任何一方违反本合同项下约定，未能全面履行本合同，或在本合同所作的陈述和保证有任何虚假、不真实或对事实有隐瞒或重大遗漏即构成违约，违约方应负责赔偿对方因此而受到的损失，双方另有约定的除外。守约方有权要求违约方继续履行义务，并及时采取补救措施以保证本合同的继续履行，同时违约方应当赔偿守约方前述所发生的损失。</w:t>
      </w:r>
    </w:p>
    <w:p>
      <w:pPr>
        <w:pStyle w:val="71"/>
        <w:spacing w:after="156"/>
        <w:ind w:firstLine="480"/>
        <w:outlineLvl w:val="9"/>
        <w:rPr>
          <w:b w:val="0"/>
        </w:rPr>
      </w:pPr>
      <w:r>
        <w:rPr>
          <w:rFonts w:hint="eastAsia"/>
          <w:b w:val="0"/>
        </w:rPr>
        <w:t>2、乙方应按本合同第三条的规定足额支付股份认购资金，如果发生逾期，则乙方应自逾期之日起按逾期未缴金额每日万分之三的标准向甲方支付逾期违约金。如果乙方超过十个工作日仍有未缴部分，则甲方有权选择解除本合同或选择按照乙方已缴付金额部分执行本合同。无论甲方选择解除本合同或选择按照乙方已缴付金额部分执行本合同，乙方均须向甲方支付相当于其逾期未缴金额百分之十的违约金。</w:t>
      </w:r>
    </w:p>
    <w:p>
      <w:pPr>
        <w:pStyle w:val="71"/>
        <w:spacing w:after="156"/>
        <w:ind w:firstLine="480"/>
        <w:outlineLvl w:val="9"/>
        <w:rPr>
          <w:b w:val="0"/>
        </w:rPr>
      </w:pPr>
      <w:r>
        <w:rPr>
          <w:rFonts w:hint="eastAsia"/>
          <w:b w:val="0"/>
        </w:rPr>
        <w:t>3、乙方违反其在本合同项下对甲方作出的承诺与保证，则甲方有权解除本合同，乙方须向甲方支付相当于其标的股份认购价款百分之十的违约金。</w:t>
      </w:r>
    </w:p>
    <w:p>
      <w:pPr>
        <w:pStyle w:val="71"/>
        <w:spacing w:afterLines="0"/>
        <w:ind w:firstLine="480"/>
        <w:outlineLvl w:val="9"/>
        <w:rPr>
          <w:b w:val="0"/>
        </w:rPr>
      </w:pPr>
      <w:r>
        <w:rPr>
          <w:rFonts w:hint="eastAsia"/>
          <w:b w:val="0"/>
        </w:rPr>
        <w:t>4、本次非公开发行如未获得（1）甲方董事会审议通过；或（2）甲方股东大会审议通过；或（3）有权国有资产管理机构同意；或（4）中国证监会、及/或其他有权主管部门（如需）核准；或（5）甲方根据其实际情况、市场情况、相关法律法规规定或中国证监会审核意见，甲方认为本次非公开发行已无法达到发行目的，而向中国证监会申请撤回发行申请或终止发行，则不构成任何一方违约，由此，双方为本次非公开发行而各自发生的各项费用由双方各自承担。</w:t>
      </w:r>
    </w:p>
    <w:p>
      <w:pPr>
        <w:pStyle w:val="69"/>
        <w:spacing w:afterLines="0"/>
        <w:ind w:firstLine="560"/>
      </w:pPr>
      <w:bookmarkStart w:id="155" w:name="_Toc22734896"/>
      <w:bookmarkStart w:id="156" w:name="_Toc15503587"/>
      <w:bookmarkStart w:id="157" w:name="_Toc15504218"/>
      <w:bookmarkStart w:id="158" w:name="_Toc79406446"/>
      <w:r>
        <w:rPr>
          <w:rFonts w:hint="eastAsia"/>
        </w:rPr>
        <w:t>（六）合同的</w:t>
      </w:r>
      <w:bookmarkEnd w:id="155"/>
      <w:bookmarkEnd w:id="156"/>
      <w:bookmarkEnd w:id="157"/>
      <w:r>
        <w:rPr>
          <w:rFonts w:hint="eastAsia"/>
        </w:rPr>
        <w:t>补充、修改、转让和终止</w:t>
      </w:r>
      <w:bookmarkEnd w:id="158"/>
    </w:p>
    <w:p>
      <w:pPr>
        <w:pStyle w:val="71"/>
        <w:spacing w:after="156"/>
        <w:ind w:firstLine="480"/>
        <w:outlineLvl w:val="9"/>
        <w:rPr>
          <w:b w:val="0"/>
        </w:rPr>
      </w:pPr>
      <w:bookmarkStart w:id="159" w:name="_Toc15503588"/>
      <w:bookmarkStart w:id="160" w:name="_Toc15504219"/>
      <w:bookmarkStart w:id="161" w:name="_Toc22734897"/>
      <w:r>
        <w:rPr>
          <w:rFonts w:hint="eastAsia"/>
          <w:b w:val="0"/>
        </w:rPr>
        <w:t>1、对本合同的任何补充或修改，须经甲乙双方达成书面协议方能生效。</w:t>
      </w:r>
    </w:p>
    <w:p>
      <w:pPr>
        <w:pStyle w:val="71"/>
        <w:spacing w:after="156"/>
        <w:ind w:firstLine="480"/>
        <w:outlineLvl w:val="9"/>
        <w:rPr>
          <w:b w:val="0"/>
        </w:rPr>
      </w:pPr>
      <w:r>
        <w:rPr>
          <w:rFonts w:hint="eastAsia"/>
          <w:b w:val="0"/>
        </w:rPr>
        <w:t>2、未经甲乙双方达成书面一致意见，任何一方不得将其在本合同项下的权利和义务转让给第三方。</w:t>
      </w:r>
    </w:p>
    <w:p>
      <w:pPr>
        <w:pStyle w:val="71"/>
        <w:spacing w:after="156"/>
        <w:ind w:firstLine="480"/>
        <w:outlineLvl w:val="9"/>
        <w:rPr>
          <w:b w:val="0"/>
        </w:rPr>
      </w:pPr>
      <w:r>
        <w:rPr>
          <w:rFonts w:hint="eastAsia"/>
          <w:b w:val="0"/>
        </w:rPr>
        <w:t>3、本合同可因下列原因终止：</w:t>
      </w:r>
    </w:p>
    <w:p>
      <w:pPr>
        <w:pStyle w:val="71"/>
        <w:spacing w:after="156"/>
        <w:ind w:firstLine="480"/>
        <w:outlineLvl w:val="9"/>
        <w:rPr>
          <w:b w:val="0"/>
        </w:rPr>
      </w:pPr>
      <w:r>
        <w:rPr>
          <w:rFonts w:hint="eastAsia"/>
          <w:b w:val="0"/>
        </w:rPr>
        <w:t>（1）由于客观情势发生重大变化，在本合同未履行完毕前双方另行达成终止本合同的书面协议；</w:t>
      </w:r>
    </w:p>
    <w:p>
      <w:pPr>
        <w:pStyle w:val="71"/>
        <w:spacing w:after="156"/>
        <w:ind w:firstLine="480"/>
        <w:outlineLvl w:val="9"/>
        <w:rPr>
          <w:b w:val="0"/>
        </w:rPr>
      </w:pPr>
      <w:r>
        <w:rPr>
          <w:rFonts w:hint="eastAsia"/>
          <w:b w:val="0"/>
        </w:rPr>
        <w:t>（2）本合同任何一方歇业或因违反法律、法规而被行政主管部门吊销营业执照，无法继续履行本合同；</w:t>
      </w:r>
    </w:p>
    <w:p>
      <w:pPr>
        <w:pStyle w:val="71"/>
        <w:spacing w:after="156"/>
        <w:ind w:firstLine="480"/>
        <w:outlineLvl w:val="9"/>
        <w:rPr>
          <w:b w:val="0"/>
        </w:rPr>
      </w:pPr>
      <w:r>
        <w:rPr>
          <w:rFonts w:hint="eastAsia"/>
          <w:b w:val="0"/>
        </w:rPr>
        <w:t>（3）本合同任何一方被中国法院宣告破产；</w:t>
      </w:r>
    </w:p>
    <w:p>
      <w:pPr>
        <w:pStyle w:val="71"/>
        <w:spacing w:after="156"/>
        <w:ind w:firstLine="480"/>
        <w:outlineLvl w:val="9"/>
        <w:rPr>
          <w:b w:val="0"/>
        </w:rPr>
      </w:pPr>
      <w:r>
        <w:rPr>
          <w:rFonts w:hint="eastAsia"/>
          <w:b w:val="0"/>
        </w:rPr>
        <w:t>（4）因政府主管部门、证券登记或交易主管部门、司法机构对本合同的内容和履行提出异议从而导致本合同终止、撤销、被认定为无效，或者导致本合同的重要原则条款无法得以履行以致严重影响甲方签署本合同时的商业目的；</w:t>
      </w:r>
    </w:p>
    <w:p>
      <w:pPr>
        <w:pStyle w:val="71"/>
        <w:spacing w:after="156"/>
        <w:ind w:firstLine="480"/>
        <w:outlineLvl w:val="9"/>
        <w:rPr>
          <w:b w:val="0"/>
        </w:rPr>
      </w:pPr>
      <w:r>
        <w:rPr>
          <w:rFonts w:hint="eastAsia"/>
          <w:b w:val="0"/>
        </w:rPr>
        <w:t>（5）本合同所依赖的法律、行政法规和规范性文件发生变化，致使本合同的主要内容不符合相关规定，或由于国家的政策、命令，而导致本合同任何一方无法履行其在本合同项下的主要义务；</w:t>
      </w:r>
    </w:p>
    <w:p>
      <w:pPr>
        <w:pStyle w:val="71"/>
        <w:spacing w:afterLines="0"/>
        <w:ind w:firstLine="480"/>
        <w:outlineLvl w:val="9"/>
        <w:rPr>
          <w:b w:val="0"/>
        </w:rPr>
      </w:pPr>
      <w:r>
        <w:rPr>
          <w:rFonts w:hint="eastAsia"/>
          <w:b w:val="0"/>
        </w:rPr>
        <w:t>（6）因发生不可抗力事件，双方经协商一致决定终止本合同。</w:t>
      </w:r>
    </w:p>
    <w:p>
      <w:pPr>
        <w:pStyle w:val="69"/>
        <w:spacing w:afterLines="0"/>
        <w:ind w:firstLine="560"/>
      </w:pPr>
      <w:bookmarkStart w:id="162" w:name="_Toc79406447"/>
      <w:r>
        <w:rPr>
          <w:rFonts w:hint="eastAsia"/>
        </w:rPr>
        <w:t>（七）其他</w:t>
      </w:r>
      <w:bookmarkEnd w:id="159"/>
      <w:bookmarkEnd w:id="160"/>
      <w:bookmarkEnd w:id="161"/>
      <w:bookmarkEnd w:id="162"/>
    </w:p>
    <w:p>
      <w:pPr>
        <w:pStyle w:val="71"/>
        <w:spacing w:after="156"/>
        <w:ind w:firstLine="480"/>
        <w:outlineLvl w:val="9"/>
        <w:rPr>
          <w:b w:val="0"/>
        </w:rPr>
      </w:pPr>
      <w:r>
        <w:rPr>
          <w:rFonts w:hint="eastAsia"/>
          <w:b w:val="0"/>
        </w:rPr>
        <w:t>1、本合同经双方法定代表人或授权代表签字并加盖公章之日起成立，并在本合同第八条所述生效条件全部成就之后生效。</w:t>
      </w:r>
    </w:p>
    <w:p>
      <w:pPr>
        <w:pStyle w:val="71"/>
        <w:spacing w:after="156"/>
        <w:ind w:firstLine="480"/>
        <w:outlineLvl w:val="9"/>
        <w:rPr>
          <w:b w:val="0"/>
        </w:rPr>
      </w:pPr>
      <w:r>
        <w:rPr>
          <w:rFonts w:hint="eastAsia"/>
          <w:b w:val="0"/>
        </w:rPr>
        <w:t>2、本合同的标题以及本合同各条款的标题仅为方便之用，并不影响对本合同条款内容的解释。</w:t>
      </w:r>
    </w:p>
    <w:p>
      <w:pPr>
        <w:pStyle w:val="71"/>
        <w:spacing w:after="156"/>
        <w:ind w:firstLine="480"/>
        <w:outlineLvl w:val="9"/>
        <w:rPr>
          <w:b w:val="0"/>
        </w:rPr>
      </w:pPr>
      <w:r>
        <w:rPr>
          <w:rFonts w:hint="eastAsia"/>
          <w:b w:val="0"/>
        </w:rPr>
        <w:t>3、本合同一式四份，双方各持一份，其余由甲方保存用于报送相关审批机关，每份具有相同法律效力。</w:t>
      </w:r>
    </w:p>
    <w:p>
      <w:pPr>
        <w:pStyle w:val="69"/>
        <w:spacing w:afterLines="0"/>
        <w:ind w:firstLine="562"/>
        <w:rPr>
          <w:rFonts w:ascii="楷体" w:hAnsi="楷体" w:eastAsia="楷体"/>
          <w:b/>
          <w:bCs/>
        </w:rPr>
      </w:pPr>
      <w:r>
        <w:rPr>
          <w:rFonts w:hint="eastAsia" w:ascii="楷体" w:hAnsi="楷体" w:eastAsia="楷体"/>
          <w:b/>
          <w:bCs/>
        </w:rPr>
        <w:t>二、附条件生效的股份认购合同之补充合同摘要</w:t>
      </w:r>
    </w:p>
    <w:p>
      <w:pPr>
        <w:pStyle w:val="69"/>
        <w:spacing w:afterLines="0"/>
        <w:ind w:firstLine="562"/>
        <w:rPr>
          <w:rFonts w:ascii="楷体" w:hAnsi="楷体" w:eastAsia="楷体"/>
          <w:b/>
          <w:bCs/>
        </w:rPr>
      </w:pPr>
      <w:bookmarkStart w:id="163" w:name="_Toc79406449"/>
      <w:r>
        <w:rPr>
          <w:rFonts w:hint="eastAsia" w:ascii="楷体" w:hAnsi="楷体" w:eastAsia="楷体"/>
          <w:b/>
          <w:bCs/>
          <w:szCs w:val="28"/>
        </w:rPr>
        <w:t>（一）</w:t>
      </w:r>
      <w:r>
        <w:rPr>
          <w:rFonts w:hint="eastAsia" w:ascii="楷体" w:hAnsi="楷体" w:eastAsia="楷体"/>
          <w:b/>
          <w:bCs/>
        </w:rPr>
        <w:t>合同主体和签署时间</w:t>
      </w:r>
      <w:bookmarkEnd w:id="163"/>
    </w:p>
    <w:p>
      <w:pPr>
        <w:pStyle w:val="67"/>
        <w:spacing w:after="156" w:afterLines="50"/>
        <w:ind w:firstLine="482"/>
        <w:rPr>
          <w:rFonts w:ascii="楷体" w:hAnsi="楷体" w:eastAsia="楷体"/>
          <w:b/>
          <w:bCs/>
        </w:rPr>
      </w:pPr>
      <w:r>
        <w:rPr>
          <w:rFonts w:hint="eastAsia" w:ascii="楷体" w:hAnsi="楷体" w:eastAsia="楷体"/>
          <w:b/>
          <w:bCs/>
        </w:rPr>
        <w:t>甲方（发行人）：山东新华制药股份有限公司</w:t>
      </w:r>
    </w:p>
    <w:p>
      <w:pPr>
        <w:pStyle w:val="67"/>
        <w:spacing w:after="156" w:afterLines="50"/>
        <w:ind w:firstLine="482"/>
        <w:rPr>
          <w:rFonts w:ascii="楷体" w:hAnsi="楷体" w:eastAsia="楷体"/>
          <w:b/>
          <w:bCs/>
        </w:rPr>
      </w:pPr>
      <w:r>
        <w:rPr>
          <w:rFonts w:hint="eastAsia" w:ascii="楷体" w:hAnsi="楷体" w:eastAsia="楷体"/>
          <w:b/>
          <w:bCs/>
        </w:rPr>
        <w:t>乙方（认购方）：华鲁投资发展有限公司</w:t>
      </w:r>
    </w:p>
    <w:p>
      <w:pPr>
        <w:pStyle w:val="67"/>
        <w:spacing w:after="156" w:afterLines="50"/>
        <w:ind w:firstLine="482"/>
        <w:rPr>
          <w:rFonts w:ascii="楷体" w:hAnsi="楷体" w:eastAsia="楷体"/>
          <w:b/>
          <w:bCs/>
        </w:rPr>
      </w:pPr>
      <w:r>
        <w:rPr>
          <w:rFonts w:hint="eastAsia" w:ascii="楷体" w:hAnsi="楷体" w:eastAsia="楷体"/>
          <w:b/>
          <w:bCs/>
        </w:rPr>
        <w:t>签署时间：</w:t>
      </w:r>
      <w:r>
        <w:rPr>
          <w:rFonts w:ascii="楷体" w:hAnsi="楷体" w:eastAsia="楷体"/>
          <w:b/>
          <w:bCs/>
        </w:rPr>
        <w:t>2021</w:t>
      </w:r>
      <w:r>
        <w:rPr>
          <w:rFonts w:hint="eastAsia" w:ascii="楷体" w:hAnsi="楷体" w:eastAsia="楷体"/>
          <w:b/>
          <w:bCs/>
        </w:rPr>
        <w:t>年</w:t>
      </w:r>
      <w:r>
        <w:rPr>
          <w:rFonts w:ascii="楷体" w:hAnsi="楷体" w:eastAsia="楷体"/>
          <w:b/>
          <w:bCs/>
        </w:rPr>
        <w:t>8</w:t>
      </w:r>
      <w:r>
        <w:rPr>
          <w:rFonts w:hint="eastAsia" w:ascii="楷体" w:hAnsi="楷体" w:eastAsia="楷体"/>
          <w:b/>
          <w:bCs/>
        </w:rPr>
        <w:t>月</w:t>
      </w:r>
      <w:r>
        <w:rPr>
          <w:rFonts w:hint="eastAsia" w:ascii="楷体" w:hAnsi="楷体" w:eastAsia="楷体"/>
          <w:b/>
          <w:bCs/>
          <w:lang w:val="en-US" w:eastAsia="zh-CN"/>
        </w:rPr>
        <w:t>13</w:t>
      </w:r>
      <w:r>
        <w:rPr>
          <w:rFonts w:hint="eastAsia" w:ascii="楷体" w:hAnsi="楷体" w:eastAsia="楷体"/>
          <w:b/>
          <w:bCs/>
        </w:rPr>
        <w:t>日</w:t>
      </w:r>
    </w:p>
    <w:p>
      <w:pPr>
        <w:pStyle w:val="69"/>
        <w:spacing w:afterLines="0"/>
        <w:ind w:firstLine="562"/>
        <w:rPr>
          <w:rFonts w:ascii="楷体" w:hAnsi="楷体" w:eastAsia="楷体"/>
          <w:b/>
          <w:bCs/>
          <w:szCs w:val="28"/>
        </w:rPr>
      </w:pPr>
      <w:bookmarkStart w:id="164" w:name="_Toc79406450"/>
      <w:r>
        <w:rPr>
          <w:rFonts w:hint="eastAsia" w:ascii="楷体" w:hAnsi="楷体" w:eastAsia="楷体"/>
          <w:b/>
          <w:bCs/>
          <w:szCs w:val="28"/>
        </w:rPr>
        <w:t>（二）认购价格及认购数量</w:t>
      </w:r>
      <w:bookmarkEnd w:id="164"/>
    </w:p>
    <w:p>
      <w:pPr>
        <w:pStyle w:val="71"/>
        <w:spacing w:after="156"/>
        <w:ind w:firstLine="482"/>
        <w:outlineLvl w:val="9"/>
        <w:rPr>
          <w:rFonts w:ascii="楷体" w:hAnsi="楷体" w:eastAsia="楷体"/>
          <w:bCs/>
        </w:rPr>
      </w:pPr>
      <w:r>
        <w:rPr>
          <w:rFonts w:hint="eastAsia" w:ascii="楷体" w:hAnsi="楷体" w:eastAsia="楷体"/>
          <w:bCs/>
        </w:rPr>
        <w:t>甲方20</w:t>
      </w:r>
      <w:r>
        <w:rPr>
          <w:rFonts w:ascii="楷体" w:hAnsi="楷体" w:eastAsia="楷体"/>
          <w:bCs/>
        </w:rPr>
        <w:t>20</w:t>
      </w:r>
      <w:r>
        <w:rPr>
          <w:rFonts w:hint="eastAsia" w:ascii="楷体" w:hAnsi="楷体" w:eastAsia="楷体"/>
          <w:bCs/>
        </w:rPr>
        <w:t>年度权益分派方案实施完毕后，乙方认购本次非公开发行的价格调整为</w:t>
      </w:r>
      <w:r>
        <w:rPr>
          <w:rFonts w:ascii="楷体" w:hAnsi="楷体" w:eastAsia="楷体"/>
          <w:bCs/>
        </w:rPr>
        <w:t>6.74</w:t>
      </w:r>
      <w:r>
        <w:rPr>
          <w:rFonts w:hint="eastAsia" w:ascii="楷体" w:hAnsi="楷体" w:eastAsia="楷体"/>
          <w:bCs/>
        </w:rPr>
        <w:t>元/股（发行价格随甲方的股票在定价基准日至发行日期间除权、除息事项进行相应调整）。</w:t>
      </w:r>
    </w:p>
    <w:p>
      <w:pPr>
        <w:pStyle w:val="71"/>
        <w:spacing w:after="156"/>
        <w:ind w:firstLine="482"/>
        <w:outlineLvl w:val="9"/>
        <w:rPr>
          <w:rFonts w:ascii="楷体" w:hAnsi="楷体" w:eastAsia="楷体"/>
          <w:bCs/>
        </w:rPr>
      </w:pPr>
      <w:r>
        <w:rPr>
          <w:rFonts w:hint="eastAsia" w:ascii="楷体" w:hAnsi="楷体" w:eastAsia="楷体"/>
          <w:bCs/>
        </w:rPr>
        <w:t>甲方20</w:t>
      </w:r>
      <w:r>
        <w:rPr>
          <w:rFonts w:ascii="楷体" w:hAnsi="楷体" w:eastAsia="楷体"/>
          <w:bCs/>
        </w:rPr>
        <w:t>20</w:t>
      </w:r>
      <w:r>
        <w:rPr>
          <w:rFonts w:hint="eastAsia" w:ascii="楷体" w:hAnsi="楷体" w:eastAsia="楷体"/>
          <w:bCs/>
        </w:rPr>
        <w:t>年度权益分派方案实施完毕后，乙方认购本次非公开发行的股份数量调整为</w:t>
      </w:r>
      <w:r>
        <w:rPr>
          <w:rFonts w:ascii="楷体" w:hAnsi="楷体" w:eastAsia="楷体"/>
          <w:bCs/>
        </w:rPr>
        <w:t>37,091,988</w:t>
      </w:r>
      <w:r>
        <w:rPr>
          <w:rFonts w:hint="eastAsia" w:ascii="楷体" w:hAnsi="楷体" w:eastAsia="楷体"/>
          <w:bCs/>
        </w:rPr>
        <w:t>股（股份数量随甲方的股票在定价基准日至发行日期间除权、除息事项进行相应调整）。</w:t>
      </w:r>
    </w:p>
    <w:p>
      <w:pPr>
        <w:pStyle w:val="92"/>
        <w:tabs>
          <w:tab w:val="left" w:pos="1418"/>
        </w:tabs>
        <w:spacing w:before="156" w:line="360" w:lineRule="auto"/>
        <w:ind w:firstLineChars="0"/>
        <w:jc w:val="both"/>
        <w:rPr>
          <w:rFonts w:ascii="楷体" w:hAnsi="楷体" w:eastAsia="楷体"/>
          <w:b/>
          <w:bCs/>
        </w:rPr>
      </w:pPr>
      <w:r>
        <w:rPr>
          <w:rFonts w:hint="eastAsia" w:ascii="楷体" w:hAnsi="楷体" w:eastAsia="楷体"/>
          <w:b/>
          <w:bCs/>
        </w:rPr>
        <w:t>为认购甲方非公开发行的</w:t>
      </w:r>
      <w:r>
        <w:rPr>
          <w:rFonts w:ascii="楷体" w:hAnsi="楷体" w:eastAsia="楷体"/>
          <w:b/>
          <w:bCs/>
        </w:rPr>
        <w:t>37,091,988</w:t>
      </w:r>
      <w:r>
        <w:rPr>
          <w:rFonts w:hint="eastAsia" w:ascii="楷体" w:hAnsi="楷体" w:eastAsia="楷体"/>
          <w:b/>
          <w:bCs/>
        </w:rPr>
        <w:t>股股份，乙方应向甲方支付人民币贰亿伍仟万元整（小写：</w:t>
      </w:r>
      <w:r>
        <w:rPr>
          <w:rFonts w:ascii="楷体" w:hAnsi="楷体" w:eastAsia="楷体"/>
          <w:b/>
          <w:bCs/>
        </w:rPr>
        <w:t>25,000</w:t>
      </w:r>
      <w:r>
        <w:rPr>
          <w:rFonts w:hint="eastAsia" w:ascii="楷体" w:hAnsi="楷体" w:eastAsia="楷体"/>
          <w:b/>
          <w:bCs/>
        </w:rPr>
        <w:t>万元）。</w:t>
      </w:r>
    </w:p>
    <w:p>
      <w:pPr>
        <w:pStyle w:val="69"/>
        <w:spacing w:afterLines="0"/>
        <w:ind w:firstLine="562"/>
        <w:rPr>
          <w:rFonts w:ascii="楷体" w:hAnsi="楷体" w:eastAsia="楷体"/>
          <w:b/>
          <w:bCs/>
          <w:szCs w:val="28"/>
        </w:rPr>
      </w:pPr>
      <w:bookmarkStart w:id="165" w:name="_Toc79406451"/>
      <w:r>
        <w:rPr>
          <w:rFonts w:hint="eastAsia" w:ascii="楷体" w:hAnsi="楷体" w:eastAsia="楷体"/>
          <w:b/>
          <w:bCs/>
          <w:szCs w:val="28"/>
        </w:rPr>
        <w:t>（三）其他</w:t>
      </w:r>
      <w:bookmarkEnd w:id="165"/>
    </w:p>
    <w:p>
      <w:pPr>
        <w:spacing w:after="156" w:afterLines="50" w:line="360" w:lineRule="auto"/>
        <w:ind w:firstLine="482" w:firstLineChars="200"/>
        <w:rPr>
          <w:rFonts w:ascii="楷体" w:hAnsi="楷体" w:eastAsia="楷体"/>
          <w:b/>
          <w:bCs/>
          <w:sz w:val="24"/>
          <w:szCs w:val="28"/>
        </w:rPr>
      </w:pPr>
      <w:r>
        <w:rPr>
          <w:rFonts w:hint="eastAsia" w:ascii="楷体" w:hAnsi="楷体" w:eastAsia="楷体"/>
          <w:b/>
          <w:bCs/>
          <w:sz w:val="24"/>
          <w:szCs w:val="28"/>
        </w:rPr>
        <w:t>1、本合同经双方法定代表人或授权代表签字并加盖公章之日起成立，并在以下条件均获得满足之首日生效：（1）甲方董事会审议通过本合同；（2）甲方本次非公开发行获得中国证监会的核准。</w:t>
      </w:r>
    </w:p>
    <w:p>
      <w:pPr>
        <w:spacing w:after="156" w:afterLines="50" w:line="360" w:lineRule="auto"/>
        <w:ind w:firstLine="482" w:firstLineChars="200"/>
        <w:rPr>
          <w:rFonts w:ascii="楷体" w:hAnsi="楷体" w:eastAsia="楷体"/>
          <w:b/>
          <w:bCs/>
          <w:sz w:val="24"/>
          <w:szCs w:val="28"/>
        </w:rPr>
      </w:pPr>
      <w:r>
        <w:rPr>
          <w:rFonts w:ascii="楷体" w:hAnsi="楷体" w:eastAsia="楷体"/>
          <w:b/>
          <w:bCs/>
          <w:sz w:val="24"/>
          <w:szCs w:val="28"/>
        </w:rPr>
        <w:t>2</w:t>
      </w:r>
      <w:r>
        <w:rPr>
          <w:rFonts w:hint="eastAsia" w:ascii="楷体" w:hAnsi="楷体" w:eastAsia="楷体"/>
          <w:b/>
          <w:bCs/>
          <w:sz w:val="24"/>
          <w:szCs w:val="28"/>
        </w:rPr>
        <w:t>、本合同为《股份认购合同》的补充，与《股份认购合同》具有同等法律效力。未经其他方事先书面同意，任何一方不得转让其在本合同项下的任何权利或义务。</w:t>
      </w:r>
    </w:p>
    <w:p>
      <w:pPr>
        <w:spacing w:after="156" w:afterLines="50" w:line="360" w:lineRule="auto"/>
        <w:ind w:firstLine="482" w:firstLineChars="200"/>
        <w:rPr>
          <w:rFonts w:ascii="楷体" w:hAnsi="楷体" w:eastAsia="楷体"/>
          <w:b/>
          <w:bCs/>
          <w:sz w:val="24"/>
          <w:szCs w:val="28"/>
        </w:rPr>
      </w:pPr>
      <w:r>
        <w:rPr>
          <w:rFonts w:ascii="楷体" w:hAnsi="楷体" w:eastAsia="楷体"/>
          <w:b/>
          <w:bCs/>
          <w:sz w:val="24"/>
          <w:szCs w:val="28"/>
        </w:rPr>
        <w:t>3</w:t>
      </w:r>
      <w:r>
        <w:rPr>
          <w:rFonts w:hint="eastAsia" w:ascii="楷体" w:hAnsi="楷体" w:eastAsia="楷体"/>
          <w:b/>
          <w:bCs/>
          <w:sz w:val="24"/>
          <w:szCs w:val="28"/>
        </w:rPr>
        <w:t>、本合同项下发生的任何纠纷，各方应首先通过友好协商方式解决。若协商不成，则任何一方有权将争议提交甲方所在地有管辖权的法院通过诉讼解决。</w:t>
      </w:r>
      <w:r>
        <w:rPr>
          <w:rFonts w:ascii="楷体" w:hAnsi="楷体" w:eastAsia="楷体"/>
          <w:b/>
          <w:bCs/>
          <w:sz w:val="24"/>
          <w:szCs w:val="28"/>
        </w:rPr>
        <w:br w:type="page"/>
      </w:r>
    </w:p>
    <w:p>
      <w:pPr>
        <w:spacing w:after="156" w:afterLines="50" w:line="360" w:lineRule="auto"/>
        <w:ind w:firstLine="482" w:firstLineChars="200"/>
        <w:rPr>
          <w:rFonts w:ascii="楷体" w:hAnsi="楷体" w:eastAsia="楷体"/>
          <w:b/>
          <w:bCs/>
          <w:sz w:val="24"/>
          <w:szCs w:val="28"/>
        </w:rPr>
      </w:pPr>
    </w:p>
    <w:p>
      <w:pPr>
        <w:pStyle w:val="66"/>
        <w:spacing w:afterLines="0"/>
      </w:pPr>
      <w:bookmarkStart w:id="166" w:name="_Toc15503589"/>
      <w:bookmarkStart w:id="167" w:name="_Toc67934566"/>
      <w:bookmarkStart w:id="168" w:name="_Toc433974921"/>
      <w:bookmarkStart w:id="169" w:name="_Toc15504220"/>
      <w:bookmarkStart w:id="170" w:name="_Toc529470582"/>
      <w:bookmarkStart w:id="171" w:name="_Toc79406452"/>
      <w:r>
        <w:rPr>
          <w:rFonts w:hint="eastAsia"/>
        </w:rPr>
        <w:t>第四节 董事会关于本次募集资金使用的可行性分析</w:t>
      </w:r>
      <w:bookmarkEnd w:id="166"/>
      <w:bookmarkEnd w:id="167"/>
      <w:bookmarkEnd w:id="168"/>
      <w:bookmarkEnd w:id="169"/>
      <w:bookmarkEnd w:id="170"/>
      <w:bookmarkEnd w:id="171"/>
      <w:bookmarkStart w:id="172" w:name="_Toc15504221"/>
      <w:bookmarkEnd w:id="172"/>
      <w:bookmarkStart w:id="173" w:name="_Toc326135327"/>
      <w:bookmarkEnd w:id="173"/>
      <w:bookmarkStart w:id="174" w:name="_Toc22734899"/>
      <w:bookmarkEnd w:id="174"/>
      <w:bookmarkStart w:id="175" w:name="_Toc529470583"/>
      <w:bookmarkEnd w:id="175"/>
      <w:bookmarkStart w:id="176" w:name="_Toc433974922"/>
      <w:bookmarkEnd w:id="176"/>
      <w:bookmarkStart w:id="177" w:name="_Toc428460892"/>
      <w:bookmarkEnd w:id="177"/>
      <w:bookmarkStart w:id="178" w:name="_Toc15503590"/>
      <w:bookmarkEnd w:id="178"/>
    </w:p>
    <w:p>
      <w:pPr>
        <w:spacing w:line="360" w:lineRule="auto"/>
        <w:ind w:firstLine="560" w:firstLineChars="200"/>
        <w:outlineLvl w:val="1"/>
        <w:rPr>
          <w:rFonts w:ascii="Times New Roman" w:hAnsi="Times New Roman" w:eastAsia="黑体" w:cs="Times New Roman"/>
          <w:sz w:val="28"/>
          <w:szCs w:val="24"/>
        </w:rPr>
      </w:pPr>
    </w:p>
    <w:p>
      <w:pPr>
        <w:spacing w:line="360" w:lineRule="auto"/>
        <w:ind w:firstLine="560" w:firstLineChars="200"/>
        <w:outlineLvl w:val="1"/>
        <w:rPr>
          <w:rFonts w:ascii="Times New Roman" w:hAnsi="Times New Roman" w:eastAsia="黑体" w:cs="Times New Roman"/>
          <w:sz w:val="28"/>
          <w:szCs w:val="24"/>
        </w:rPr>
      </w:pPr>
      <w:bookmarkStart w:id="179" w:name="_Toc79406453"/>
      <w:r>
        <w:rPr>
          <w:rFonts w:ascii="Times New Roman" w:hAnsi="Times New Roman" w:eastAsia="黑体" w:cs="Times New Roman"/>
          <w:sz w:val="28"/>
          <w:szCs w:val="24"/>
        </w:rPr>
        <w:t>一、本次募集资金的使用计划</w:t>
      </w:r>
      <w:bookmarkEnd w:id="179"/>
    </w:p>
    <w:p>
      <w:pPr>
        <w:spacing w:line="360" w:lineRule="auto"/>
        <w:ind w:firstLine="480" w:firstLineChars="200"/>
        <w:rPr>
          <w:rFonts w:ascii="Times New Roman" w:hAnsi="Times New Roman" w:eastAsia="宋体" w:cs="Times New Roman"/>
          <w:sz w:val="24"/>
          <w:szCs w:val="24"/>
        </w:rPr>
      </w:pPr>
      <w:bookmarkStart w:id="180" w:name="_Toc15504222"/>
      <w:bookmarkStart w:id="181" w:name="_Toc529470584"/>
      <w:bookmarkStart w:id="182" w:name="_Toc22734900"/>
      <w:bookmarkStart w:id="183" w:name="_Toc15503591"/>
      <w:bookmarkStart w:id="184" w:name="_Toc428460893"/>
      <w:bookmarkStart w:id="185" w:name="_Toc433974923"/>
      <w:r>
        <w:rPr>
          <w:rFonts w:hint="eastAsia" w:ascii="Times New Roman" w:hAnsi="Times New Roman" w:eastAsia="宋体" w:cs="Times New Roman"/>
          <w:sz w:val="24"/>
          <w:szCs w:val="24"/>
        </w:rPr>
        <w:t>公司本次非公开发行募集资金总额不超过2</w:t>
      </w:r>
      <w:r>
        <w:rPr>
          <w:rFonts w:ascii="Times New Roman" w:hAnsi="Times New Roman" w:eastAsia="宋体" w:cs="Times New Roman"/>
          <w:sz w:val="24"/>
          <w:szCs w:val="24"/>
        </w:rPr>
        <w:t>5,000</w:t>
      </w:r>
      <w:r>
        <w:rPr>
          <w:rFonts w:hint="eastAsia" w:ascii="Times New Roman" w:hAnsi="Times New Roman" w:eastAsia="宋体" w:cs="Times New Roman"/>
          <w:sz w:val="24"/>
          <w:szCs w:val="24"/>
        </w:rPr>
        <w:t>万</w:t>
      </w:r>
      <w:r>
        <w:rPr>
          <w:rFonts w:ascii="Times New Roman" w:hAnsi="Times New Roman" w:eastAsia="宋体" w:cs="Times New Roman"/>
          <w:sz w:val="24"/>
          <w:szCs w:val="24"/>
        </w:rPr>
        <w:t>元（含本数），扣除发行费用后将全部用于偿还有息负债及补充流动资金，</w:t>
      </w:r>
      <w:r>
        <w:rPr>
          <w:rFonts w:hint="eastAsia" w:ascii="Times New Roman" w:hAnsi="Times New Roman" w:eastAsia="宋体" w:cs="Times New Roman"/>
          <w:sz w:val="24"/>
          <w:szCs w:val="24"/>
        </w:rPr>
        <w:t>其中偿还有息债务不超过1.4亿元，剩余部分补充公司流动资金</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如本次发行募集资金到位时间与公司实际偿还相应银行贷款及其他有息负债的进度不一致，公司将以自有资金先行偿还，待本次发行募集资金到位后予以置换。</w:t>
      </w:r>
    </w:p>
    <w:p>
      <w:pPr>
        <w:spacing w:line="360" w:lineRule="auto"/>
        <w:ind w:firstLine="478" w:firstLineChars="171"/>
        <w:outlineLvl w:val="1"/>
        <w:rPr>
          <w:rFonts w:ascii="Times New Roman" w:hAnsi="Times New Roman" w:eastAsia="黑体" w:cs="Times New Roman"/>
          <w:sz w:val="28"/>
          <w:szCs w:val="24"/>
        </w:rPr>
      </w:pPr>
      <w:bookmarkStart w:id="186" w:name="_Toc79406454"/>
      <w:r>
        <w:rPr>
          <w:rFonts w:hint="eastAsia" w:ascii="Times New Roman" w:hAnsi="Times New Roman" w:eastAsia="黑体" w:cs="Times New Roman"/>
          <w:sz w:val="28"/>
          <w:szCs w:val="24"/>
        </w:rPr>
        <w:t>二、本次募集资金使用的必要性</w:t>
      </w:r>
      <w:r>
        <w:rPr>
          <w:rFonts w:ascii="Times New Roman" w:hAnsi="Times New Roman" w:eastAsia="黑体" w:cs="Times New Roman"/>
          <w:sz w:val="28"/>
          <w:szCs w:val="24"/>
        </w:rPr>
        <w:t>和</w:t>
      </w:r>
      <w:r>
        <w:rPr>
          <w:rFonts w:hint="eastAsia" w:ascii="Times New Roman" w:hAnsi="Times New Roman" w:eastAsia="黑体" w:cs="Times New Roman"/>
          <w:sz w:val="28"/>
          <w:szCs w:val="24"/>
        </w:rPr>
        <w:t>可行性分析</w:t>
      </w:r>
      <w:bookmarkEnd w:id="180"/>
      <w:bookmarkEnd w:id="181"/>
      <w:bookmarkEnd w:id="182"/>
      <w:bookmarkEnd w:id="183"/>
      <w:bookmarkEnd w:id="184"/>
      <w:bookmarkEnd w:id="185"/>
      <w:bookmarkEnd w:id="186"/>
    </w:p>
    <w:p>
      <w:pPr>
        <w:spacing w:line="360" w:lineRule="auto"/>
        <w:ind w:firstLine="482" w:firstLineChars="200"/>
        <w:outlineLvl w:val="2"/>
        <w:rPr>
          <w:rFonts w:ascii="Times New Roman" w:hAnsi="Times New Roman" w:eastAsia="宋体" w:cs="Times New Roman"/>
          <w:b/>
          <w:sz w:val="24"/>
          <w:szCs w:val="24"/>
        </w:rPr>
      </w:pPr>
      <w:bookmarkStart w:id="187" w:name="_Toc67935092"/>
      <w:bookmarkStart w:id="188" w:name="_Toc22734904"/>
      <w:bookmarkStart w:id="189" w:name="_Toc15503595"/>
      <w:bookmarkStart w:id="190" w:name="_Toc15504226"/>
      <w:bookmarkStart w:id="191" w:name="_Toc529470585"/>
      <w:r>
        <w:rPr>
          <w:rFonts w:hint="eastAsia" w:ascii="Times New Roman" w:hAnsi="Times New Roman" w:eastAsia="宋体" w:cs="Times New Roman"/>
          <w:b/>
          <w:sz w:val="24"/>
          <w:szCs w:val="24"/>
        </w:rPr>
        <w:t>（一）本次募集资金使用的必要性</w:t>
      </w:r>
      <w:bookmarkEnd w:id="187"/>
    </w:p>
    <w:p>
      <w:pPr>
        <w:spacing w:line="360" w:lineRule="auto"/>
        <w:ind w:firstLine="482" w:firstLineChars="200"/>
        <w:rPr>
          <w:rFonts w:ascii="Times New Roman" w:hAnsi="Times New Roman" w:eastAsia="宋体" w:cs="Times New Roman"/>
          <w:b/>
          <w:sz w:val="24"/>
          <w:szCs w:val="24"/>
        </w:rPr>
      </w:pPr>
      <w:bookmarkStart w:id="192" w:name="_Hlk68097781"/>
      <w:r>
        <w:rPr>
          <w:rFonts w:ascii="Times New Roman" w:hAnsi="Times New Roman" w:eastAsia="宋体" w:cs="Times New Roman"/>
          <w:b/>
          <w:sz w:val="24"/>
          <w:szCs w:val="24"/>
        </w:rPr>
        <w:t>1</w:t>
      </w:r>
      <w:r>
        <w:rPr>
          <w:rFonts w:hint="eastAsia" w:ascii="Times New Roman" w:hAnsi="Times New Roman" w:eastAsia="宋体" w:cs="Times New Roman"/>
          <w:b/>
          <w:sz w:val="24"/>
          <w:szCs w:val="24"/>
        </w:rPr>
        <w:t>、优化公司资本结构，降低财务风险，提高抗风险能力</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截至</w:t>
      </w:r>
      <w:r>
        <w:rPr>
          <w:rFonts w:ascii="Times New Roman" w:hAnsi="Times New Roman" w:eastAsia="宋体" w:cs="Times New Roman"/>
          <w:sz w:val="24"/>
          <w:szCs w:val="24"/>
        </w:rPr>
        <w:t>2021</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31</w:t>
      </w:r>
      <w:r>
        <w:rPr>
          <w:rFonts w:hint="eastAsia" w:ascii="Times New Roman" w:hAnsi="Times New Roman" w:eastAsia="宋体" w:cs="Times New Roman"/>
          <w:sz w:val="24"/>
          <w:szCs w:val="24"/>
        </w:rPr>
        <w:t>日，公司合并口径资产负债率为5</w:t>
      </w:r>
      <w:r>
        <w:rPr>
          <w:rFonts w:ascii="Times New Roman" w:hAnsi="Times New Roman" w:eastAsia="宋体" w:cs="Times New Roman"/>
          <w:sz w:val="24"/>
          <w:szCs w:val="24"/>
        </w:rPr>
        <w:t>1.43%</w:t>
      </w:r>
      <w:r>
        <w:rPr>
          <w:rFonts w:hint="eastAsia" w:ascii="Times New Roman" w:hAnsi="Times New Roman" w:eastAsia="宋体" w:cs="Times New Roman"/>
          <w:sz w:val="24"/>
          <w:szCs w:val="24"/>
        </w:rPr>
        <w:t>，与同行业可比上市公司相比，公司资产负债率长期处于较高态势，公司业务规模的扩张能力在一定程度上受制于公司整体的资金和负债状况。本次非公开发行募集资金完成后，将增加公司资本金，降低财务费用及资产负债率，补充流动资金，优化公司资本结构，进一步改善财务状况，降低</w:t>
      </w:r>
      <w:r>
        <w:rPr>
          <w:rFonts w:ascii="Times New Roman" w:hAnsi="Times New Roman" w:eastAsia="宋体" w:cs="Times New Roman"/>
          <w:sz w:val="24"/>
          <w:szCs w:val="24"/>
        </w:rPr>
        <w:t>财务</w:t>
      </w:r>
      <w:r>
        <w:rPr>
          <w:rFonts w:hint="eastAsia" w:ascii="Times New Roman" w:hAnsi="Times New Roman" w:eastAsia="宋体" w:cs="Times New Roman"/>
          <w:sz w:val="24"/>
          <w:szCs w:val="24"/>
        </w:rPr>
        <w:t>风险，提升抗风险能力。</w:t>
      </w:r>
    </w:p>
    <w:p>
      <w:pPr>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2</w:t>
      </w:r>
      <w:r>
        <w:rPr>
          <w:rFonts w:hint="eastAsia" w:ascii="Times New Roman" w:hAnsi="Times New Roman" w:eastAsia="宋体" w:cs="Times New Roman"/>
          <w:b/>
          <w:sz w:val="24"/>
          <w:szCs w:val="24"/>
        </w:rPr>
        <w:t>、补充营运资金，为公司持续稳定发展奠定良好基础</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截至 202</w:t>
      </w:r>
      <w:r>
        <w:rPr>
          <w:rFonts w:ascii="Times New Roman" w:hAnsi="Times New Roman" w:eastAsia="宋体" w:cs="Times New Roman"/>
          <w:sz w:val="24"/>
          <w:szCs w:val="24"/>
        </w:rPr>
        <w:t>1</w:t>
      </w:r>
      <w:r>
        <w:rPr>
          <w:rFonts w:hint="eastAsia" w:ascii="Times New Roman" w:hAnsi="Times New Roman" w:eastAsia="宋体" w:cs="Times New Roman"/>
          <w:sz w:val="24"/>
          <w:szCs w:val="24"/>
        </w:rPr>
        <w:t xml:space="preserve"> 年</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月 31 日，公司货币资金总额91,361.74万元，其中银行存款为78,799.10万元。</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公司日常经营、生产设备的更新维护、新品研发及市场营销等均需要雄厚的资金作为支撑。随着公司业务的稳步发展，营运资金需求不断增加，通过使用本次募集资金补充流动资金，有利于推动公司资源整合，加快实现公司发展战略，夯实公司可持续发展基石，为公司的健康、稳定、持续发展奠定基础，实现股东利益最大化。</w:t>
      </w:r>
    </w:p>
    <w:p>
      <w:pPr>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3</w:t>
      </w:r>
      <w:r>
        <w:rPr>
          <w:rFonts w:hint="eastAsia" w:ascii="Times New Roman" w:hAnsi="Times New Roman" w:eastAsia="宋体" w:cs="Times New Roman"/>
          <w:b/>
          <w:sz w:val="24"/>
          <w:szCs w:val="24"/>
        </w:rPr>
        <w:t>、增强公司资金实力，为下一阶段战略布局提供保障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当前，公司正处于优化产业布局的关键阶段，补充流动资金对公司战略发展至关重要。公司在资金实力得以增强后，将持续推进大制剂、大研发、国际化战略，完善内部改革及基础管理。募集资金将助力公司扩大和优化在</w:t>
      </w:r>
      <w:r>
        <w:rPr>
          <w:rFonts w:ascii="Times New Roman" w:hAnsi="Times New Roman" w:eastAsia="宋体" w:cs="Times New Roman"/>
          <w:sz w:val="24"/>
          <w:szCs w:val="24"/>
        </w:rPr>
        <w:t>CRO</w:t>
      </w:r>
      <w:r>
        <w:rPr>
          <w:rFonts w:hint="eastAsia" w:ascii="Times New Roman" w:hAnsi="Times New Roman" w:eastAsia="宋体" w:cs="Times New Roman"/>
          <w:sz w:val="24"/>
          <w:szCs w:val="24"/>
        </w:rPr>
        <w:t>、</w:t>
      </w:r>
      <w:r>
        <w:rPr>
          <w:rFonts w:ascii="Times New Roman" w:hAnsi="Times New Roman" w:eastAsia="宋体" w:cs="Times New Roman"/>
          <w:sz w:val="24"/>
          <w:szCs w:val="24"/>
        </w:rPr>
        <w:t>CMO</w:t>
      </w:r>
      <w:r>
        <w:rPr>
          <w:rFonts w:hint="eastAsia" w:ascii="Times New Roman" w:hAnsi="Times New Roman" w:eastAsia="宋体" w:cs="Times New Roman"/>
          <w:sz w:val="24"/>
          <w:szCs w:val="24"/>
        </w:rPr>
        <w:t>等业务领域的布局，增强公司创新能力，促进公司产业技术升级，进一步增强公司核心竞争力。</w:t>
      </w:r>
      <w:bookmarkEnd w:id="192"/>
    </w:p>
    <w:p>
      <w:pPr>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4</w:t>
      </w:r>
      <w:r>
        <w:rPr>
          <w:rFonts w:hint="eastAsia" w:ascii="Times New Roman" w:hAnsi="Times New Roman" w:eastAsia="宋体" w:cs="Times New Roman"/>
          <w:b/>
          <w:sz w:val="24"/>
          <w:szCs w:val="24"/>
        </w:rPr>
        <w:t>、控股股东子公司认购本次发行股份，彰显其对于公司未来业务发展的信心及支持</w:t>
      </w:r>
    </w:p>
    <w:p>
      <w:pPr>
        <w:spacing w:line="360" w:lineRule="auto"/>
        <w:ind w:firstLine="480" w:firstLineChars="200"/>
        <w:rPr>
          <w:rFonts w:ascii="Times New Roman" w:hAnsi="Times New Roman" w:eastAsia="宋体" w:cs="Times New Roman"/>
          <w:sz w:val="24"/>
          <w:szCs w:val="24"/>
        </w:rPr>
      </w:pPr>
      <w:bookmarkStart w:id="193" w:name="_Hlk68097837"/>
      <w:r>
        <w:rPr>
          <w:rFonts w:hint="eastAsia" w:ascii="Times New Roman" w:hAnsi="Times New Roman" w:eastAsia="宋体" w:cs="Times New Roman"/>
          <w:sz w:val="24"/>
          <w:szCs w:val="24"/>
        </w:rPr>
        <w:t>华鲁控股计划通过华鲁投资认购公司本次发行的股份，体现了控股股东对上市公司予以坚定支持的决心以及对公司未来发展的信心，有利于保障公司的稳定持续发展。随着本次发行募集资金的注入，公司的财务状况将有所改善，抗风险能力将增强，有利于公司业务规模的扩张以及后续经营的持续运作，也有利于维护公司中小股东的利益，实现公司股东利益的最大化。</w:t>
      </w:r>
      <w:bookmarkEnd w:id="193"/>
    </w:p>
    <w:p>
      <w:pPr>
        <w:spacing w:line="360" w:lineRule="auto"/>
        <w:ind w:firstLine="482" w:firstLineChars="200"/>
        <w:outlineLvl w:val="2"/>
        <w:rPr>
          <w:rFonts w:ascii="Times New Roman" w:hAnsi="Times New Roman" w:eastAsia="宋体" w:cs="Times New Roman"/>
          <w:b/>
          <w:sz w:val="24"/>
          <w:szCs w:val="24"/>
        </w:rPr>
      </w:pPr>
      <w:bookmarkStart w:id="194" w:name="_Toc67935093"/>
      <w:r>
        <w:rPr>
          <w:rFonts w:hint="eastAsia" w:ascii="Times New Roman" w:hAnsi="Times New Roman" w:eastAsia="宋体" w:cs="Times New Roman"/>
          <w:b/>
          <w:sz w:val="24"/>
          <w:szCs w:val="24"/>
        </w:rPr>
        <w:t>（二）本次募集资金使用的可行性</w:t>
      </w:r>
      <w:bookmarkEnd w:id="194"/>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公司本次非公开发行募集资金使用符合相关政策和法律法规规定，具有可行性。本次非公开发行募集资金到位后，将增加公司资本金，降低财务费用及资产负债率，补充流动资金，</w:t>
      </w:r>
      <w:bookmarkStart w:id="195" w:name="_Hlk68100238"/>
      <w:r>
        <w:rPr>
          <w:rFonts w:hint="eastAsia" w:ascii="Times New Roman" w:hAnsi="Times New Roman" w:eastAsia="宋体" w:cs="Times New Roman"/>
          <w:sz w:val="24"/>
          <w:szCs w:val="24"/>
        </w:rPr>
        <w:t>优化公司资本结构，进一步改善财务状况，降低</w:t>
      </w:r>
      <w:r>
        <w:rPr>
          <w:rFonts w:ascii="Times New Roman" w:hAnsi="Times New Roman" w:eastAsia="宋体" w:cs="Times New Roman"/>
          <w:sz w:val="24"/>
          <w:szCs w:val="24"/>
        </w:rPr>
        <w:t>财务</w:t>
      </w:r>
      <w:r>
        <w:rPr>
          <w:rFonts w:hint="eastAsia" w:ascii="Times New Roman" w:hAnsi="Times New Roman" w:eastAsia="宋体" w:cs="Times New Roman"/>
          <w:sz w:val="24"/>
          <w:szCs w:val="24"/>
        </w:rPr>
        <w:t>风险，提升抗风险能力，对公司战略推动发挥积极作用。</w:t>
      </w:r>
      <w:bookmarkEnd w:id="195"/>
    </w:p>
    <w:p>
      <w:pPr>
        <w:spacing w:line="360" w:lineRule="auto"/>
        <w:ind w:firstLine="560" w:firstLineChars="200"/>
        <w:outlineLvl w:val="1"/>
        <w:rPr>
          <w:rFonts w:ascii="Times New Roman" w:hAnsi="Times New Roman" w:eastAsia="黑体" w:cs="Times New Roman"/>
          <w:sz w:val="28"/>
          <w:szCs w:val="24"/>
        </w:rPr>
      </w:pPr>
      <w:bookmarkStart w:id="196" w:name="_Toc79406455"/>
      <w:r>
        <w:rPr>
          <w:rFonts w:hint="eastAsia" w:ascii="Times New Roman" w:hAnsi="Times New Roman" w:eastAsia="黑体" w:cs="Times New Roman"/>
          <w:sz w:val="28"/>
          <w:szCs w:val="24"/>
        </w:rPr>
        <w:t>三、本次募集资金投向涉及的报批事项</w:t>
      </w:r>
      <w:bookmarkEnd w:id="188"/>
      <w:bookmarkEnd w:id="189"/>
      <w:bookmarkEnd w:id="190"/>
      <w:bookmarkEnd w:id="191"/>
      <w:bookmarkEnd w:id="196"/>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本次非公开发行募集资金扣除发行费用后全部用于偿还有息负债及补充流动资金，其中偿还有息债务不超过1.4亿元，剩余部分补充公司流动资金。不涉及需要相关主管部门审批的事项。</w:t>
      </w:r>
    </w:p>
    <w:p>
      <w:pPr>
        <w:pStyle w:val="67"/>
        <w:ind w:firstLine="480"/>
      </w:pPr>
      <w:r>
        <w:br w:type="page"/>
      </w:r>
    </w:p>
    <w:p>
      <w:pPr>
        <w:pStyle w:val="66"/>
        <w:spacing w:afterLines="0"/>
      </w:pPr>
      <w:bookmarkStart w:id="197" w:name="_Toc15504227"/>
      <w:bookmarkStart w:id="198" w:name="_Toc424736808"/>
      <w:bookmarkStart w:id="199" w:name="_Toc423537888"/>
      <w:bookmarkStart w:id="200" w:name="_Toc529470586"/>
      <w:bookmarkStart w:id="201" w:name="_Toc15503596"/>
      <w:bookmarkStart w:id="202" w:name="_Toc67934567"/>
      <w:bookmarkStart w:id="203" w:name="_Toc433974924"/>
      <w:bookmarkStart w:id="204" w:name="_Toc79406456"/>
      <w:r>
        <w:rPr>
          <w:rFonts w:hint="eastAsia"/>
        </w:rPr>
        <w:t>第五节 董事会关于本次发行对公司影响的讨论与分析</w:t>
      </w:r>
      <w:bookmarkEnd w:id="197"/>
      <w:bookmarkEnd w:id="198"/>
      <w:bookmarkEnd w:id="199"/>
      <w:bookmarkEnd w:id="200"/>
      <w:bookmarkEnd w:id="201"/>
      <w:bookmarkEnd w:id="202"/>
      <w:bookmarkEnd w:id="203"/>
      <w:bookmarkEnd w:id="204"/>
    </w:p>
    <w:p>
      <w:pPr>
        <w:pStyle w:val="67"/>
        <w:ind w:firstLine="199" w:firstLineChars="83"/>
      </w:pPr>
      <w:bookmarkStart w:id="205" w:name="_Toc326162898"/>
      <w:bookmarkStart w:id="206" w:name="_Toc433974925"/>
      <w:bookmarkStart w:id="207" w:name="_Toc22734906"/>
      <w:bookmarkStart w:id="208" w:name="_Toc15504228"/>
      <w:bookmarkStart w:id="209" w:name="_Toc529470587"/>
      <w:bookmarkStart w:id="210" w:name="_Toc15503597"/>
    </w:p>
    <w:p>
      <w:pPr>
        <w:pStyle w:val="69"/>
        <w:spacing w:afterLines="0"/>
        <w:ind w:firstLine="560"/>
      </w:pPr>
      <w:bookmarkStart w:id="211" w:name="_Toc79406457"/>
      <w:r>
        <w:rPr>
          <w:rFonts w:hint="eastAsia"/>
        </w:rPr>
        <w:t>一、</w:t>
      </w:r>
      <w:bookmarkEnd w:id="205"/>
      <w:bookmarkEnd w:id="206"/>
      <w:r>
        <w:rPr>
          <w:rFonts w:hint="eastAsia"/>
        </w:rPr>
        <w:t>本次发行对公司业务、资产、公司章程、股东结构以及高级管理人员的影响</w:t>
      </w:r>
      <w:bookmarkEnd w:id="207"/>
      <w:bookmarkEnd w:id="208"/>
      <w:bookmarkEnd w:id="209"/>
      <w:bookmarkEnd w:id="210"/>
      <w:bookmarkEnd w:id="211"/>
    </w:p>
    <w:p>
      <w:pPr>
        <w:pStyle w:val="71"/>
        <w:spacing w:afterLines="0"/>
        <w:ind w:firstLine="482"/>
      </w:pPr>
      <w:bookmarkStart w:id="212" w:name="_Toc15504229"/>
      <w:bookmarkStart w:id="213" w:name="_Toc22734907"/>
      <w:bookmarkStart w:id="214" w:name="_Toc15503598"/>
      <w:bookmarkStart w:id="215" w:name="_Toc15504419"/>
      <w:bookmarkStart w:id="216" w:name="_Toc67935097"/>
      <w:r>
        <w:rPr>
          <w:rFonts w:hint="eastAsia"/>
        </w:rPr>
        <w:t>（一）本次发行对公司业务及资产的影响</w:t>
      </w:r>
      <w:bookmarkEnd w:id="212"/>
      <w:bookmarkEnd w:id="213"/>
      <w:bookmarkEnd w:id="214"/>
      <w:bookmarkEnd w:id="215"/>
      <w:bookmarkEnd w:id="216"/>
    </w:p>
    <w:p>
      <w:pPr>
        <w:pStyle w:val="67"/>
        <w:ind w:firstLine="480"/>
      </w:pPr>
      <w:r>
        <w:rPr>
          <w:rFonts w:hint="eastAsia"/>
        </w:rPr>
        <w:t>本次非公开发行股票募集资金将用于偿还有息负债及补充流动资金</w:t>
      </w:r>
      <w:r>
        <w:t>，</w:t>
      </w:r>
      <w:r>
        <w:rPr>
          <w:rFonts w:hint="eastAsia"/>
        </w:rPr>
        <w:t>其中偿还有息债务不超过1.4亿元，剩余部分补充公司流动资金。本次发行完成后公司主营业务不会发生变化，不涉及对现有业务及资产进行整合。本次非公开发行符合公司长期发展战略需要，募集资金到位后能够有效提升公司的净资产水平、降低资产负债率、改善公司财务结构，有利于推动公司业务发展，提高公司抗风险能力。</w:t>
      </w:r>
    </w:p>
    <w:p>
      <w:pPr>
        <w:pStyle w:val="71"/>
        <w:spacing w:afterLines="0"/>
        <w:ind w:firstLine="482"/>
      </w:pPr>
      <w:bookmarkStart w:id="217" w:name="_Toc15503599"/>
      <w:bookmarkStart w:id="218" w:name="_Toc22734908"/>
      <w:bookmarkStart w:id="219" w:name="_Toc15504420"/>
      <w:bookmarkStart w:id="220" w:name="_Toc67935098"/>
      <w:bookmarkStart w:id="221" w:name="_Toc15504230"/>
      <w:r>
        <w:rPr>
          <w:rFonts w:hint="eastAsia"/>
        </w:rPr>
        <w:t>（二）本次发行后公司章程的变动情况</w:t>
      </w:r>
      <w:bookmarkEnd w:id="217"/>
      <w:bookmarkEnd w:id="218"/>
      <w:bookmarkEnd w:id="219"/>
      <w:bookmarkEnd w:id="220"/>
      <w:bookmarkEnd w:id="221"/>
    </w:p>
    <w:p>
      <w:pPr>
        <w:pStyle w:val="67"/>
        <w:ind w:firstLine="480"/>
      </w:pPr>
      <w:r>
        <w:rPr>
          <w:rFonts w:hint="eastAsia"/>
        </w:rPr>
        <w:t>本次非公开发行后，公司股本将会相应增加，公司将按照相关规定及发行的实际情况，对公司章程中有关股本结构、注册资本等有关条款进行修订，并办理工商变更登记。</w:t>
      </w:r>
    </w:p>
    <w:p>
      <w:pPr>
        <w:pStyle w:val="71"/>
        <w:spacing w:afterLines="0"/>
        <w:ind w:firstLine="482"/>
      </w:pPr>
      <w:bookmarkStart w:id="222" w:name="_Toc22734909"/>
      <w:bookmarkStart w:id="223" w:name="_Toc15504421"/>
      <w:bookmarkStart w:id="224" w:name="_Toc67935099"/>
      <w:bookmarkStart w:id="225" w:name="_Toc15504231"/>
      <w:bookmarkStart w:id="226" w:name="_Toc15503600"/>
      <w:r>
        <w:rPr>
          <w:rFonts w:hint="eastAsia"/>
        </w:rPr>
        <w:t>（三）本次发行对股权结构的影响</w:t>
      </w:r>
      <w:bookmarkEnd w:id="222"/>
      <w:bookmarkEnd w:id="223"/>
      <w:bookmarkEnd w:id="224"/>
      <w:bookmarkEnd w:id="225"/>
      <w:bookmarkEnd w:id="226"/>
    </w:p>
    <w:p>
      <w:pPr>
        <w:pStyle w:val="67"/>
        <w:ind w:firstLine="480"/>
      </w:pPr>
      <w:r>
        <w:rPr>
          <w:rFonts w:hint="eastAsia"/>
        </w:rPr>
        <w:t>本次非公开发行的认购对象为华鲁投资。截至本预案公告日，华鲁控股直接持有公司</w:t>
      </w:r>
      <w:r>
        <w:t>204,864,092</w:t>
      </w:r>
      <w:r>
        <w:rPr>
          <w:rFonts w:hint="eastAsia"/>
        </w:rPr>
        <w:t>股股份，占总股本的3</w:t>
      </w:r>
      <w:r>
        <w:t>2.65</w:t>
      </w:r>
      <w:r>
        <w:rPr>
          <w:rFonts w:hint="eastAsia"/>
        </w:rPr>
        <w:t>%，为公司的控股股东。华鲁控股下属公司华鲁投资与维斌公司分别持有公司</w:t>
      </w:r>
      <w:r>
        <w:t>4</w:t>
      </w:r>
      <w:r>
        <w:rPr>
          <w:rFonts w:hint="eastAsia"/>
        </w:rPr>
        <w:t>,</w:t>
      </w:r>
      <w:r>
        <w:t>143</w:t>
      </w:r>
      <w:r>
        <w:rPr>
          <w:rFonts w:hint="eastAsia"/>
        </w:rPr>
        <w:t>,</w:t>
      </w:r>
      <w:r>
        <w:t>168</w:t>
      </w:r>
      <w:r>
        <w:rPr>
          <w:rFonts w:hint="eastAsia"/>
        </w:rPr>
        <w:t>股股份及</w:t>
      </w:r>
      <w:r>
        <w:t xml:space="preserve"> 20,827,800</w:t>
      </w:r>
      <w:r>
        <w:rPr>
          <w:rFonts w:hint="eastAsia"/>
        </w:rPr>
        <w:t>股股份，占公司总股本0.66%和3.32%，山东省人民政府国有资产监督管理委员会为公司的实际控制人。本次非公开发行的股票，华鲁投资以现金方式全额认购，发行完成后控股股东持股比例提高，山东省人民政府国有资产监督管理委员会仍为公司实际控制人。因此，本次发行不会导致公司控制权发生变化。</w:t>
      </w:r>
    </w:p>
    <w:p>
      <w:pPr>
        <w:pStyle w:val="71"/>
        <w:spacing w:afterLines="0"/>
        <w:ind w:firstLine="482"/>
      </w:pPr>
      <w:bookmarkStart w:id="227" w:name="_Toc15503601"/>
      <w:bookmarkStart w:id="228" w:name="_Toc22734910"/>
      <w:bookmarkStart w:id="229" w:name="_Toc15504232"/>
      <w:bookmarkStart w:id="230" w:name="_Toc67935100"/>
      <w:bookmarkStart w:id="231" w:name="_Toc15504422"/>
      <w:r>
        <w:rPr>
          <w:rFonts w:hint="eastAsia"/>
        </w:rPr>
        <w:t>（四）本次发行对高级管理人员结构的影响</w:t>
      </w:r>
      <w:bookmarkEnd w:id="227"/>
      <w:bookmarkEnd w:id="228"/>
      <w:bookmarkEnd w:id="229"/>
      <w:bookmarkEnd w:id="230"/>
      <w:bookmarkEnd w:id="231"/>
    </w:p>
    <w:p>
      <w:pPr>
        <w:pStyle w:val="67"/>
        <w:ind w:firstLine="480"/>
      </w:pPr>
      <w:r>
        <w:rPr>
          <w:rFonts w:hint="eastAsia"/>
        </w:rPr>
        <w:t>上市公司不会因本次发行对高级管理人员进行调整，高级管理人员结构不会因本次非公开发行而发生变动。</w:t>
      </w:r>
    </w:p>
    <w:p>
      <w:pPr>
        <w:pStyle w:val="71"/>
        <w:spacing w:afterLines="0"/>
        <w:ind w:firstLine="482"/>
      </w:pPr>
      <w:bookmarkStart w:id="232" w:name="_Toc15503602"/>
      <w:bookmarkStart w:id="233" w:name="_Toc15504423"/>
      <w:bookmarkStart w:id="234" w:name="_Toc15504233"/>
      <w:bookmarkStart w:id="235" w:name="_Toc22734911"/>
      <w:bookmarkStart w:id="236" w:name="_Toc67935101"/>
      <w:r>
        <w:rPr>
          <w:rFonts w:hint="eastAsia"/>
        </w:rPr>
        <w:t>（五）发行后公司业务结构变动情况</w:t>
      </w:r>
      <w:bookmarkEnd w:id="232"/>
      <w:bookmarkEnd w:id="233"/>
      <w:bookmarkEnd w:id="234"/>
      <w:bookmarkEnd w:id="235"/>
      <w:bookmarkEnd w:id="236"/>
    </w:p>
    <w:p>
      <w:pPr>
        <w:pStyle w:val="67"/>
        <w:ind w:firstLine="480"/>
      </w:pPr>
      <w:r>
        <w:rPr>
          <w:rFonts w:hint="eastAsia"/>
        </w:rPr>
        <w:t>本次非公开发行募集资金扣除发行费用后全部用于偿还银行贷款及补充流动资金，其中偿还有息债务不超过1.4亿元，剩余部分补充公司流动资金。公司业务结构不会因本次发行而发生变化。</w:t>
      </w:r>
      <w:bookmarkStart w:id="237" w:name="_Toc15503603"/>
      <w:bookmarkStart w:id="238" w:name="_Toc22734912"/>
      <w:bookmarkStart w:id="239" w:name="_Toc15504234"/>
      <w:bookmarkStart w:id="240" w:name="_Toc529470588"/>
    </w:p>
    <w:p>
      <w:pPr>
        <w:pStyle w:val="69"/>
        <w:spacing w:afterLines="0"/>
        <w:ind w:firstLine="560"/>
      </w:pPr>
      <w:bookmarkStart w:id="241" w:name="_Toc79406458"/>
      <w:r>
        <w:rPr>
          <w:rFonts w:hint="eastAsia"/>
        </w:rPr>
        <w:t>二、本次发行后公司财务状况、盈利能力以及现金流量的变动情况</w:t>
      </w:r>
      <w:bookmarkEnd w:id="237"/>
      <w:bookmarkEnd w:id="238"/>
      <w:bookmarkEnd w:id="239"/>
      <w:bookmarkEnd w:id="240"/>
      <w:bookmarkEnd w:id="241"/>
    </w:p>
    <w:p>
      <w:pPr>
        <w:pStyle w:val="71"/>
        <w:spacing w:afterLines="0"/>
        <w:ind w:firstLine="482"/>
      </w:pPr>
      <w:bookmarkStart w:id="242" w:name="_Toc15504235"/>
      <w:bookmarkStart w:id="243" w:name="_Toc15503604"/>
      <w:bookmarkStart w:id="244" w:name="_Toc22734913"/>
      <w:bookmarkStart w:id="245" w:name="_Toc67935103"/>
      <w:bookmarkStart w:id="246" w:name="_Toc15504425"/>
      <w:r>
        <w:rPr>
          <w:rFonts w:hint="eastAsia"/>
        </w:rPr>
        <w:t>（一）对公司财务状况的影响</w:t>
      </w:r>
      <w:bookmarkEnd w:id="242"/>
      <w:bookmarkEnd w:id="243"/>
      <w:bookmarkEnd w:id="244"/>
      <w:bookmarkEnd w:id="245"/>
      <w:bookmarkEnd w:id="246"/>
    </w:p>
    <w:p>
      <w:pPr>
        <w:pStyle w:val="67"/>
        <w:ind w:firstLine="480"/>
      </w:pPr>
      <w:r>
        <w:rPr>
          <w:rFonts w:hint="eastAsia"/>
        </w:rPr>
        <w:t>本次非公开发行完成后，公司净资产将相应增加，总负债将相应减少，公司的资本结构将得到优化，有利于提高公司的资金实力和抗风险能力。</w:t>
      </w:r>
    </w:p>
    <w:p>
      <w:pPr>
        <w:pStyle w:val="71"/>
        <w:spacing w:afterLines="0"/>
        <w:ind w:firstLine="482"/>
      </w:pPr>
      <w:bookmarkStart w:id="247" w:name="_Toc22734914"/>
      <w:bookmarkStart w:id="248" w:name="_Toc15504236"/>
      <w:bookmarkStart w:id="249" w:name="_Toc15503605"/>
      <w:bookmarkStart w:id="250" w:name="_Toc15504426"/>
      <w:bookmarkStart w:id="251" w:name="_Toc67935104"/>
      <w:r>
        <w:rPr>
          <w:rFonts w:hint="eastAsia"/>
        </w:rPr>
        <w:t>（二）对公司盈利能力的影响</w:t>
      </w:r>
      <w:bookmarkEnd w:id="247"/>
      <w:bookmarkEnd w:id="248"/>
      <w:bookmarkEnd w:id="249"/>
      <w:bookmarkEnd w:id="250"/>
      <w:bookmarkEnd w:id="251"/>
    </w:p>
    <w:p>
      <w:pPr>
        <w:pStyle w:val="67"/>
        <w:ind w:firstLine="480"/>
      </w:pPr>
      <w:r>
        <w:rPr>
          <w:rFonts w:hint="eastAsia"/>
        </w:rPr>
        <w:t>本次发行募集资金偿还银行贷款后，将降低公司的财务费用，提升公司整体实力，从而进一步增强公司的盈利能力。</w:t>
      </w:r>
    </w:p>
    <w:p>
      <w:pPr>
        <w:pStyle w:val="71"/>
        <w:spacing w:afterLines="0"/>
        <w:ind w:firstLine="482"/>
      </w:pPr>
      <w:bookmarkStart w:id="252" w:name="_Toc67935105"/>
      <w:bookmarkStart w:id="253" w:name="_Toc15503606"/>
      <w:bookmarkStart w:id="254" w:name="_Toc22734915"/>
      <w:bookmarkStart w:id="255" w:name="_Toc15504427"/>
      <w:bookmarkStart w:id="256" w:name="_Toc15504237"/>
      <w:r>
        <w:rPr>
          <w:rFonts w:hint="eastAsia"/>
        </w:rPr>
        <w:t>（三）对公司现金流量的影响</w:t>
      </w:r>
      <w:bookmarkEnd w:id="252"/>
      <w:bookmarkEnd w:id="253"/>
      <w:bookmarkEnd w:id="254"/>
      <w:bookmarkEnd w:id="255"/>
      <w:bookmarkEnd w:id="256"/>
    </w:p>
    <w:p>
      <w:pPr>
        <w:pStyle w:val="67"/>
        <w:ind w:firstLine="480"/>
      </w:pPr>
      <w:r>
        <w:rPr>
          <w:rFonts w:hint="eastAsia"/>
        </w:rPr>
        <w:t>本次非公开发行完成后，由于发行对象华鲁投资以现金认购股份，公司的筹资活动现金流入将大幅增加。同时，本次募集资金将全部用于偿还银行贷款及补充流动资金，有助降低公司的融资风险与成本，</w:t>
      </w:r>
      <w:r>
        <w:t>减少</w:t>
      </w:r>
      <w:r>
        <w:rPr>
          <w:rFonts w:hint="eastAsia"/>
        </w:rPr>
        <w:t>筹资活动现金流出。充足的流动性也将为公司提供有力的资金支撑，持续改善公司未来经营活动产生的现金流量。</w:t>
      </w:r>
      <w:bookmarkStart w:id="257" w:name="_Toc529470589"/>
      <w:bookmarkStart w:id="258" w:name="_Toc15503607"/>
      <w:bookmarkStart w:id="259" w:name="_Toc22734916"/>
      <w:bookmarkStart w:id="260" w:name="_Toc15504238"/>
    </w:p>
    <w:p>
      <w:pPr>
        <w:pStyle w:val="69"/>
        <w:spacing w:afterLines="0"/>
        <w:ind w:firstLine="560"/>
      </w:pPr>
      <w:bookmarkStart w:id="261" w:name="_Toc79406459"/>
      <w:r>
        <w:rPr>
          <w:rFonts w:hint="eastAsia"/>
        </w:rPr>
        <w:t>三、公司与控股股东、实际控制人及其关联人之间的业务关系、管理关系、关联交易及同业竞争等变化情况</w:t>
      </w:r>
      <w:bookmarkEnd w:id="257"/>
      <w:bookmarkEnd w:id="258"/>
      <w:bookmarkEnd w:id="259"/>
      <w:bookmarkEnd w:id="260"/>
      <w:bookmarkEnd w:id="261"/>
    </w:p>
    <w:p>
      <w:pPr>
        <w:pStyle w:val="67"/>
        <w:ind w:firstLine="480"/>
      </w:pPr>
      <w:r>
        <w:rPr>
          <w:rFonts w:hint="eastAsia"/>
        </w:rPr>
        <w:t>公司与控股股东、实际控制人及其关联人之间的业务关系、管理关系、关联交易及同业竞争情况均不会因本次发行而发生变化。控股股东华鲁控股的全资公司华鲁投资参与本次非公开发行股票认购构成关联交易，除此之外，公司与控股股东、实际控制人及其关联人之间不会因本次非公开发行而增加关联交易、同业竞争。</w:t>
      </w:r>
      <w:bookmarkStart w:id="262" w:name="_Toc529470590"/>
      <w:bookmarkStart w:id="263" w:name="_Toc15503608"/>
      <w:bookmarkStart w:id="264" w:name="_Toc22734917"/>
      <w:bookmarkStart w:id="265" w:name="_Toc15504239"/>
    </w:p>
    <w:p>
      <w:pPr>
        <w:pStyle w:val="69"/>
        <w:spacing w:afterLines="0"/>
        <w:ind w:firstLine="560"/>
      </w:pPr>
      <w:bookmarkStart w:id="266" w:name="_Toc79406460"/>
      <w:r>
        <w:rPr>
          <w:rFonts w:hint="eastAsia"/>
        </w:rPr>
        <w:t>四、</w:t>
      </w:r>
      <w:bookmarkEnd w:id="262"/>
      <w:r>
        <w:rPr>
          <w:rFonts w:hint="eastAsia"/>
        </w:rPr>
        <w:t>本次发行完成后，公司是否存在资金、资产被控股股东及关联人占用的情形，或公司为控股股东及其关联人提供担保的情形</w:t>
      </w:r>
      <w:bookmarkEnd w:id="263"/>
      <w:bookmarkEnd w:id="264"/>
      <w:bookmarkEnd w:id="265"/>
      <w:bookmarkEnd w:id="266"/>
    </w:p>
    <w:p>
      <w:pPr>
        <w:pStyle w:val="67"/>
        <w:ind w:firstLine="480"/>
      </w:pPr>
      <w:r>
        <w:rPr>
          <w:rFonts w:hint="eastAsia"/>
        </w:rPr>
        <w:t>截至本预案公告之日，公司不存在资金、资产被控股股东及其关联人非经营性占用情形，也不存在为控股股东及其关联人提供担保的情形。本次发行完成后，公司不会因本次发行产生被控股股东及其关联人占用公司资金、资产或为其提供担保的情形。</w:t>
      </w:r>
      <w:bookmarkStart w:id="267" w:name="_Toc529470591"/>
      <w:bookmarkStart w:id="268" w:name="_Toc15504240"/>
      <w:bookmarkStart w:id="269" w:name="_Toc15503609"/>
      <w:bookmarkStart w:id="270" w:name="_Toc22734918"/>
    </w:p>
    <w:p>
      <w:pPr>
        <w:pStyle w:val="69"/>
        <w:spacing w:afterLines="0"/>
        <w:ind w:firstLine="560"/>
      </w:pPr>
      <w:bookmarkStart w:id="271" w:name="_Toc79406461"/>
      <w:r>
        <w:rPr>
          <w:rFonts w:hint="eastAsia"/>
        </w:rPr>
        <w:t>五、</w:t>
      </w:r>
      <w:bookmarkEnd w:id="267"/>
      <w:r>
        <w:rPr>
          <w:rFonts w:hint="eastAsia"/>
        </w:rPr>
        <w:t>公司负债结构是否合理，是否存在通过本次发行大量增加负债（包括或有负债）的情况，是否存在负债比例过低、财务成本不合理的情况</w:t>
      </w:r>
      <w:bookmarkEnd w:id="268"/>
      <w:bookmarkEnd w:id="269"/>
      <w:bookmarkEnd w:id="270"/>
      <w:bookmarkEnd w:id="271"/>
    </w:p>
    <w:p>
      <w:pPr>
        <w:pStyle w:val="67"/>
        <w:ind w:firstLine="480"/>
      </w:pPr>
      <w:r>
        <w:rPr>
          <w:rFonts w:hint="eastAsia"/>
        </w:rPr>
        <w:t>截至</w:t>
      </w:r>
      <w:r>
        <w:t>2021</w:t>
      </w:r>
      <w:r>
        <w:rPr>
          <w:rFonts w:hint="eastAsia"/>
        </w:rPr>
        <w:t>年</w:t>
      </w:r>
      <w:r>
        <w:t>3</w:t>
      </w:r>
      <w:r>
        <w:rPr>
          <w:rFonts w:hint="eastAsia"/>
        </w:rPr>
        <w:t>月</w:t>
      </w:r>
      <w:r>
        <w:t>31</w:t>
      </w:r>
      <w:r>
        <w:rPr>
          <w:rFonts w:hint="eastAsia"/>
        </w:rPr>
        <w:t>日，公司合并口径资产负债率为5</w:t>
      </w:r>
      <w:r>
        <w:t>1.43%</w:t>
      </w:r>
      <w:r>
        <w:rPr>
          <w:rFonts w:hint="eastAsia"/>
        </w:rPr>
        <w:t>。本次非公开发行完成后，公司资产负债率将降至比较合理的水平，公司资产负债结构将更加稳健，进一步增强公司抵御风险能力。公司不存在通过本次发行大量增加负债（包括或有负债）的情况，也不存在负债比例过低、财务成本不合理的情况。</w:t>
      </w:r>
      <w:bookmarkStart w:id="272" w:name="_Toc15503610"/>
      <w:bookmarkStart w:id="273" w:name="_Toc15504241"/>
      <w:bookmarkStart w:id="274" w:name="_Toc22734919"/>
      <w:bookmarkStart w:id="275" w:name="_Toc529470592"/>
    </w:p>
    <w:p>
      <w:pPr>
        <w:pStyle w:val="69"/>
        <w:spacing w:afterLines="0"/>
        <w:ind w:firstLine="560"/>
      </w:pPr>
      <w:bookmarkStart w:id="276" w:name="_Toc79406462"/>
      <w:r>
        <w:rPr>
          <w:rFonts w:hint="eastAsia"/>
        </w:rPr>
        <w:t>六、本次发行相关的风险因素</w:t>
      </w:r>
      <w:bookmarkEnd w:id="272"/>
      <w:bookmarkEnd w:id="273"/>
      <w:bookmarkEnd w:id="274"/>
      <w:bookmarkEnd w:id="275"/>
      <w:bookmarkEnd w:id="276"/>
    </w:p>
    <w:p>
      <w:pPr>
        <w:pStyle w:val="67"/>
        <w:ind w:firstLine="480"/>
      </w:pPr>
      <w:r>
        <w:rPr>
          <w:rFonts w:hint="eastAsia"/>
        </w:rPr>
        <w:t>投资者在评价公司本次非公开发行时，除本预案提供的其他各项资料外，应考虑下述各项风险因素：</w:t>
      </w:r>
    </w:p>
    <w:p>
      <w:pPr>
        <w:pStyle w:val="71"/>
        <w:numPr>
          <w:ilvl w:val="0"/>
          <w:numId w:val="3"/>
        </w:numPr>
        <w:spacing w:afterLines="0"/>
        <w:ind w:firstLineChars="0"/>
      </w:pPr>
      <w:bookmarkStart w:id="277" w:name="_Toc67935110"/>
      <w:r>
        <w:rPr>
          <w:rFonts w:hint="eastAsia"/>
        </w:rPr>
        <w:t>行业政策风险</w:t>
      </w:r>
      <w:bookmarkEnd w:id="277"/>
    </w:p>
    <w:p>
      <w:pPr>
        <w:pStyle w:val="67"/>
        <w:ind w:firstLine="480"/>
      </w:pPr>
      <w:r>
        <w:rPr>
          <w:rFonts w:hint="eastAsia"/>
        </w:rPr>
        <w:t>由于医药行业关系到人民的生命健康和安全，医药企业长期处于严监管之下，行业发展收政策影响较大。</w:t>
      </w:r>
      <w:r>
        <w:t>随着</w:t>
      </w:r>
      <w:r>
        <w:rPr>
          <w:rFonts w:hint="eastAsia"/>
        </w:rPr>
        <w:t>“</w:t>
      </w:r>
      <w:r>
        <w:t>两票制</w:t>
      </w:r>
      <w:r>
        <w:rPr>
          <w:rFonts w:hint="eastAsia"/>
        </w:rPr>
        <w:t>”</w:t>
      </w:r>
      <w:r>
        <w:t>、一致性评价、带量采购等重大行业政策的陆续出台，我国医药卫生体制改革正逐步深入开展。</w:t>
      </w:r>
      <w:r>
        <w:rPr>
          <w:rFonts w:hint="eastAsia"/>
        </w:rPr>
        <w:t>相关改革措施的出台和政策的不断完善在促进我国医药行业有序健康发展的同时，也会对行业运行模式造成深远的影响，如果公司不能及时调整战略，适应政策变化，将对经营造成一定的影响。</w:t>
      </w:r>
    </w:p>
    <w:p>
      <w:pPr>
        <w:pStyle w:val="71"/>
        <w:spacing w:afterLines="0"/>
        <w:ind w:firstLine="482"/>
      </w:pPr>
      <w:bookmarkStart w:id="278" w:name="_Toc67935111"/>
      <w:r>
        <w:rPr>
          <w:rFonts w:hint="eastAsia"/>
        </w:rPr>
        <w:t>（二）新药研发风险</w:t>
      </w:r>
      <w:bookmarkEnd w:id="278"/>
    </w:p>
    <w:p>
      <w:pPr>
        <w:pStyle w:val="67"/>
        <w:ind w:firstLine="480"/>
      </w:pPr>
      <w:r>
        <w:rPr>
          <w:rFonts w:hint="eastAsia"/>
        </w:rPr>
        <w:t>由于新药品研发从临床前研究、临床试验、申报新药证书及注册批件到投产存在周期长、投入高、风险大的特点，新药品产业化过程中任一环节发生问题都可能导致研发失败。产品上市后，依然存在市场推广和产品收益不达预期的可能，都可能对公司经营造成不利影响。</w:t>
      </w:r>
    </w:p>
    <w:p>
      <w:pPr>
        <w:pStyle w:val="71"/>
        <w:spacing w:after="156"/>
        <w:ind w:firstLine="482"/>
      </w:pPr>
      <w:bookmarkStart w:id="279" w:name="_Toc67935112"/>
      <w:r>
        <w:rPr>
          <w:rFonts w:hint="eastAsia"/>
        </w:rPr>
        <w:t>（三）国际化风险</w:t>
      </w:r>
      <w:bookmarkEnd w:id="279"/>
    </w:p>
    <w:p>
      <w:pPr>
        <w:pStyle w:val="67"/>
        <w:ind w:firstLine="480"/>
      </w:pPr>
      <w:r>
        <w:rPr>
          <w:rFonts w:hint="eastAsia"/>
        </w:rPr>
        <w:t> </w:t>
      </w:r>
      <w:r>
        <w:rPr>
          <w:rFonts w:hint="eastAsia" w:ascii="宋体" w:hAnsi="宋体" w:cs="宋体"/>
          <w:bCs/>
        </w:rPr>
        <w:t>公司为国内医药出口五强企业，与可乐、三菱、葛兰素史克、拜耳等</w:t>
      </w:r>
      <w:r>
        <w:rPr>
          <w:bCs/>
        </w:rPr>
        <w:t>200</w:t>
      </w:r>
      <w:r>
        <w:rPr>
          <w:rFonts w:hint="eastAsia" w:ascii="宋体" w:hAnsi="宋体" w:cs="宋体"/>
          <w:bCs/>
        </w:rPr>
        <w:t>多家知名跨国企业建立了长期战略合作关系。但是</w:t>
      </w:r>
      <w:r>
        <w:rPr>
          <w:rFonts w:hint="eastAsia"/>
        </w:rPr>
        <w:t>在国际化发展战略的实施过程中，仍可能面临对海外市场环境不够熟悉、海外客户需求与中国客户需求不同、部分国家实施贸易保护等情形。若公司不能及时、有效处理相关问题，将会对公司经营造成一定影响。</w:t>
      </w:r>
    </w:p>
    <w:p>
      <w:pPr>
        <w:pStyle w:val="71"/>
        <w:spacing w:afterLines="0"/>
        <w:ind w:firstLine="482"/>
      </w:pPr>
      <w:bookmarkStart w:id="280" w:name="_Toc22734921"/>
      <w:bookmarkStart w:id="281" w:name="_Toc67935113"/>
      <w:r>
        <w:t>（</w:t>
      </w:r>
      <w:r>
        <w:rPr>
          <w:rFonts w:hint="eastAsia"/>
        </w:rPr>
        <w:t>四</w:t>
      </w:r>
      <w:r>
        <w:t>）</w:t>
      </w:r>
      <w:r>
        <w:rPr>
          <w:rFonts w:hint="eastAsia"/>
        </w:rPr>
        <w:t>摊薄即期回报风险</w:t>
      </w:r>
      <w:bookmarkEnd w:id="280"/>
      <w:bookmarkEnd w:id="281"/>
    </w:p>
    <w:p>
      <w:pPr>
        <w:pStyle w:val="67"/>
        <w:ind w:firstLine="480"/>
      </w:pPr>
      <w:r>
        <w:rPr>
          <w:rFonts w:hint="eastAsia"/>
        </w:rPr>
        <w:t>本次非公开发行募集资金到位后，公司的总股本及净资产将相应增加，但是，公司的净利润短期内增长幅度可能会低于股本及净资产的增长幅度，从而导致本次发行后每股收益及加权平均净资产收益率等财务指标可能会出现一定幅度的下降，股东即期回报存在被摊薄的风险。</w:t>
      </w:r>
    </w:p>
    <w:p>
      <w:pPr>
        <w:pStyle w:val="71"/>
        <w:spacing w:afterLines="0"/>
        <w:ind w:firstLine="482"/>
      </w:pPr>
      <w:bookmarkStart w:id="282" w:name="_Toc22734922"/>
      <w:bookmarkStart w:id="283" w:name="_Toc67935114"/>
      <w:r>
        <w:t>（</w:t>
      </w:r>
      <w:r>
        <w:rPr>
          <w:rFonts w:hint="eastAsia"/>
        </w:rPr>
        <w:t>五</w:t>
      </w:r>
      <w:r>
        <w:t>）审批风险</w:t>
      </w:r>
      <w:bookmarkEnd w:id="282"/>
      <w:bookmarkEnd w:id="283"/>
    </w:p>
    <w:p>
      <w:pPr>
        <w:pStyle w:val="67"/>
        <w:ind w:firstLine="480"/>
      </w:pPr>
      <w:bookmarkStart w:id="284" w:name="_Toc22734923"/>
      <w:r>
        <w:rPr>
          <w:rFonts w:hint="eastAsia"/>
        </w:rPr>
        <w:t>本次发行的有关事项经公司董事会审议通过后，尚需获得有权的国有资产管理机构、香港证监会的清洗豁免批准、公司股东大会及类别股东大会审议通过及中国证监会的核准。公司本次发行能否取得相关的批准或核准，以及最终取得批准和核准的时间存在不确定性，提请广大投资者注意审批风险。</w:t>
      </w:r>
    </w:p>
    <w:p>
      <w:pPr>
        <w:pStyle w:val="71"/>
        <w:spacing w:afterLines="0"/>
        <w:ind w:firstLine="482"/>
      </w:pPr>
      <w:bookmarkStart w:id="285" w:name="_Toc67935115"/>
      <w:r>
        <w:rPr>
          <w:rFonts w:hint="eastAsia"/>
        </w:rPr>
        <w:t>（六）股票价格波动风险</w:t>
      </w:r>
      <w:bookmarkEnd w:id="284"/>
      <w:bookmarkEnd w:id="285"/>
    </w:p>
    <w:p>
      <w:pPr>
        <w:pStyle w:val="67"/>
        <w:ind w:firstLine="480"/>
      </w:pPr>
      <w:r>
        <w:rPr>
          <w:rFonts w:hint="eastAsia"/>
        </w:rPr>
        <w:t>本次非公开发行将对公司的生产经营和财务状况产生重大影响，公司基本面情况的变化可能会影响股票价格。此外，国家宏观经济形势、金融政策的调控、股票市场的供求变化以及投资者的心理预期都会影响股票的价格，存在一定的股票价格市场波动风险。</w:t>
      </w:r>
      <w:bookmarkStart w:id="286" w:name="_Toc529202684"/>
      <w:bookmarkStart w:id="287" w:name="_Toc433974932"/>
    </w:p>
    <w:p>
      <w:pPr>
        <w:pStyle w:val="71"/>
        <w:spacing w:afterLines="0"/>
        <w:ind w:firstLine="482"/>
      </w:pPr>
      <w:bookmarkStart w:id="288" w:name="_Toc22734924"/>
      <w:bookmarkStart w:id="289" w:name="_Toc67935116"/>
      <w:r>
        <w:rPr>
          <w:rFonts w:hint="eastAsia"/>
        </w:rPr>
        <w:t>（七）</w:t>
      </w:r>
      <w:bookmarkEnd w:id="288"/>
      <w:r>
        <w:rPr>
          <w:rFonts w:hint="eastAsia"/>
        </w:rPr>
        <w:t>新冠疫情风险</w:t>
      </w:r>
      <w:bookmarkEnd w:id="289"/>
    </w:p>
    <w:p>
      <w:pPr>
        <w:pStyle w:val="67"/>
        <w:ind w:firstLine="480"/>
      </w:pPr>
      <w:r>
        <w:rPr>
          <w:rFonts w:hint="eastAsia"/>
        </w:rPr>
        <w:t>2020 年初以来，新冠疫情的爆发对国内、国际经济产生了较大的冲击。受益于国内疫情基本得到控制，公司复工复产较为顺利。若国内疫情出现反复、国外疫情短期内无法得到有效控制，都将对公司的原材料采购、生产组织、销售开拓、物流配送等诸多经营环节造成一定程度的不利影响，从而对公司的平稳运营和快速发展造成不利影响。</w:t>
      </w:r>
    </w:p>
    <w:p>
      <w:pPr>
        <w:pStyle w:val="67"/>
        <w:ind w:firstLine="723"/>
      </w:pPr>
      <w:bookmarkStart w:id="290" w:name="_Toc15503614"/>
      <w:bookmarkStart w:id="291" w:name="_Toc15504245"/>
      <w:r>
        <w:rPr>
          <w:rFonts w:eastAsia="黑体"/>
          <w:b/>
          <w:sz w:val="36"/>
          <w:szCs w:val="36"/>
        </w:rPr>
        <w:br w:type="page"/>
      </w:r>
    </w:p>
    <w:p>
      <w:pPr>
        <w:pStyle w:val="66"/>
        <w:spacing w:after="312"/>
      </w:pPr>
      <w:bookmarkStart w:id="292" w:name="_Toc67934568"/>
      <w:bookmarkStart w:id="293" w:name="_Toc79406463"/>
      <w:r>
        <w:rPr>
          <w:rFonts w:hint="eastAsia"/>
        </w:rPr>
        <w:t>第六节 公司利润分配政策及股利分配情况</w:t>
      </w:r>
      <w:bookmarkEnd w:id="286"/>
      <w:bookmarkEnd w:id="287"/>
      <w:bookmarkEnd w:id="290"/>
      <w:bookmarkEnd w:id="291"/>
      <w:bookmarkEnd w:id="292"/>
      <w:bookmarkEnd w:id="293"/>
      <w:bookmarkStart w:id="294" w:name="_Toc15503615"/>
      <w:bookmarkStart w:id="295" w:name="_Toc529647959"/>
      <w:bookmarkStart w:id="296" w:name="_Toc11685724"/>
      <w:bookmarkStart w:id="297" w:name="_Toc15504246"/>
      <w:bookmarkStart w:id="298" w:name="_Toc22734926"/>
      <w:bookmarkStart w:id="299" w:name="_Toc335221094"/>
    </w:p>
    <w:p>
      <w:pPr>
        <w:pStyle w:val="67"/>
        <w:ind w:firstLine="480"/>
      </w:pPr>
    </w:p>
    <w:p>
      <w:pPr>
        <w:pStyle w:val="69"/>
        <w:spacing w:afterLines="0"/>
        <w:ind w:firstLine="560"/>
      </w:pPr>
      <w:bookmarkStart w:id="300" w:name="_Toc79406464"/>
      <w:r>
        <w:t>一、公司利润分配政策及执行情况</w:t>
      </w:r>
      <w:bookmarkEnd w:id="294"/>
      <w:bookmarkEnd w:id="295"/>
      <w:bookmarkEnd w:id="296"/>
      <w:bookmarkEnd w:id="297"/>
      <w:bookmarkEnd w:id="298"/>
      <w:bookmarkEnd w:id="299"/>
      <w:bookmarkEnd w:id="300"/>
    </w:p>
    <w:p>
      <w:pPr>
        <w:pStyle w:val="67"/>
        <w:ind w:firstLine="480"/>
      </w:pPr>
      <w:r>
        <w:rPr>
          <w:rFonts w:hint="eastAsia"/>
        </w:rPr>
        <w:t>《公司章程》对利润分配规定如下：</w:t>
      </w:r>
    </w:p>
    <w:p>
      <w:pPr>
        <w:pStyle w:val="67"/>
        <w:ind w:firstLine="480"/>
      </w:pPr>
      <w:bookmarkStart w:id="301" w:name="_Toc335221095"/>
      <w:bookmarkStart w:id="302" w:name="_Toc529647960"/>
      <w:bookmarkStart w:id="303" w:name="_Toc11685725"/>
      <w:bookmarkStart w:id="304" w:name="_Toc15503616"/>
      <w:bookmarkStart w:id="305" w:name="_Toc22734927"/>
      <w:bookmarkStart w:id="306" w:name="_Toc15504247"/>
      <w:r>
        <w:rPr>
          <w:rFonts w:hint="eastAsia"/>
        </w:rPr>
        <w:t>“第一百九十三条 公司实施积极的</w:t>
      </w:r>
      <w:r>
        <w:rPr>
          <w:rStyle w:val="27"/>
          <w:rFonts w:hint="eastAsia"/>
          <w:i w:val="0"/>
          <w:iCs w:val="0"/>
        </w:rPr>
        <w:t>利润分配</w:t>
      </w:r>
      <w:r>
        <w:rPr>
          <w:rFonts w:hint="eastAsia"/>
        </w:rPr>
        <w:t>政策，</w:t>
      </w:r>
      <w:r>
        <w:rPr>
          <w:rStyle w:val="27"/>
          <w:rFonts w:hint="eastAsia"/>
          <w:i w:val="0"/>
          <w:iCs w:val="0"/>
        </w:rPr>
        <w:t>利润分配</w:t>
      </w:r>
      <w:r>
        <w:rPr>
          <w:rFonts w:hint="eastAsia"/>
        </w:rPr>
        <w:t>政策应保持连续性和稳定性。公司的</w:t>
      </w:r>
      <w:r>
        <w:rPr>
          <w:rStyle w:val="27"/>
          <w:rFonts w:hint="eastAsia"/>
          <w:i w:val="0"/>
          <w:iCs w:val="0"/>
        </w:rPr>
        <w:t>利润分配</w:t>
      </w:r>
      <w:r>
        <w:rPr>
          <w:rFonts w:hint="eastAsia"/>
        </w:rPr>
        <w:t>应重视对投资者的合理投资回报并兼顾公司的可持续发展。</w:t>
      </w:r>
    </w:p>
    <w:p>
      <w:pPr>
        <w:pStyle w:val="67"/>
        <w:ind w:firstLine="480"/>
      </w:pPr>
      <w:r>
        <w:rPr>
          <w:rFonts w:hint="eastAsia"/>
        </w:rPr>
        <w:t>（一）在对</w:t>
      </w:r>
      <w:r>
        <w:rPr>
          <w:rStyle w:val="27"/>
          <w:rFonts w:hint="eastAsia"/>
          <w:i w:val="0"/>
          <w:iCs w:val="0"/>
        </w:rPr>
        <w:t>利润分配</w:t>
      </w:r>
      <w:r>
        <w:rPr>
          <w:rFonts w:hint="eastAsia"/>
        </w:rPr>
        <w:t>政策的决策和论证过程中，公司董事会和股东大会可通过电话、传真、邮件等方式考虑独立董事和公众投资者尤其是中小股东的意见。</w:t>
      </w:r>
    </w:p>
    <w:p>
      <w:pPr>
        <w:pStyle w:val="67"/>
        <w:ind w:firstLine="480"/>
      </w:pPr>
      <w:r>
        <w:rPr>
          <w:rFonts w:hint="eastAsia"/>
        </w:rPr>
        <w:t>（二）公司可以采取现金、股票、现金与股票相结合或者法律法规允许的其它方式分配股利。在上述</w:t>
      </w:r>
      <w:r>
        <w:rPr>
          <w:rStyle w:val="27"/>
          <w:rFonts w:hint="eastAsia"/>
          <w:i w:val="0"/>
          <w:iCs w:val="0"/>
        </w:rPr>
        <w:t>利润分配</w:t>
      </w:r>
      <w:r>
        <w:rPr>
          <w:rFonts w:hint="eastAsia"/>
        </w:rPr>
        <w:t>方式中，公司优先采取现金方式分配股利。公司董事会可以根据公司盈利情况及资金需求状况提议公司进行中期</w:t>
      </w:r>
      <w:r>
        <w:rPr>
          <w:rStyle w:val="27"/>
          <w:rFonts w:hint="eastAsia"/>
          <w:i w:val="0"/>
          <w:iCs w:val="0"/>
        </w:rPr>
        <w:t>利润分配</w:t>
      </w:r>
      <w:r>
        <w:rPr>
          <w:rFonts w:hint="eastAsia"/>
        </w:rPr>
        <w:t>。除非经董事会论证同意，且经独立董事发表独立意见、监事会决议通过，两次分红间隔时间不少于六个月。</w:t>
      </w:r>
    </w:p>
    <w:p>
      <w:pPr>
        <w:pStyle w:val="67"/>
        <w:ind w:firstLine="480"/>
      </w:pPr>
      <w:r>
        <w:rPr>
          <w:rFonts w:hint="eastAsia"/>
        </w:rPr>
        <w:t>（三）内资股的现金股利及其它一切分配，以人民币派付。在香港上市的境外上市外资股的现金股利以及其它一切分配，以人民币计价宣布，按照国家有关外汇管理的规定以港币支付。</w:t>
      </w:r>
    </w:p>
    <w:p>
      <w:pPr>
        <w:pStyle w:val="67"/>
        <w:ind w:firstLine="480"/>
      </w:pPr>
      <w:r>
        <w:rPr>
          <w:rFonts w:hint="eastAsia"/>
        </w:rPr>
        <w:t>（四）每个会计年度结束后，公司董事会应结合公司盈利情况、资金需求和股东回报情况合理提出</w:t>
      </w:r>
      <w:r>
        <w:rPr>
          <w:rStyle w:val="27"/>
          <w:rFonts w:hint="eastAsia"/>
          <w:i w:val="0"/>
          <w:iCs w:val="0"/>
        </w:rPr>
        <w:t>利润分配</w:t>
      </w:r>
      <w:r>
        <w:rPr>
          <w:rFonts w:hint="eastAsia"/>
        </w:rPr>
        <w:t>预案，董事会在</w:t>
      </w:r>
      <w:r>
        <w:rPr>
          <w:rStyle w:val="27"/>
          <w:rFonts w:hint="eastAsia"/>
          <w:i w:val="0"/>
          <w:iCs w:val="0"/>
        </w:rPr>
        <w:t>利润分配</w:t>
      </w:r>
      <w:r>
        <w:rPr>
          <w:rFonts w:hint="eastAsia"/>
        </w:rPr>
        <w:t>预案论证过程中，需与独立董事、监事充分讨论，并通过多种渠道充分听取中小股东意见，认真研究和论证公司现金分红的时机、条件和最低比例、调整的条件及其决策程序要求等事宜。</w:t>
      </w:r>
    </w:p>
    <w:p>
      <w:pPr>
        <w:pStyle w:val="67"/>
        <w:ind w:firstLine="480"/>
      </w:pPr>
      <w:r>
        <w:rPr>
          <w:rFonts w:hint="eastAsia"/>
        </w:rPr>
        <w:t>公司董事会、监事会在审议</w:t>
      </w:r>
      <w:r>
        <w:rPr>
          <w:rStyle w:val="27"/>
          <w:rFonts w:hint="eastAsia"/>
          <w:i w:val="0"/>
          <w:iCs w:val="0"/>
        </w:rPr>
        <w:t>利润分配</w:t>
      </w:r>
      <w:r>
        <w:rPr>
          <w:rFonts w:hint="eastAsia"/>
        </w:rPr>
        <w:t>预案时，需分别经全体董事过半数以上、二分之一以上独立董事、全体监事半数以上同意，独立董事应当发表明确意见。董事会审议通过的</w:t>
      </w:r>
      <w:r>
        <w:rPr>
          <w:rStyle w:val="27"/>
          <w:rFonts w:hint="eastAsia"/>
          <w:i w:val="0"/>
          <w:iCs w:val="0"/>
        </w:rPr>
        <w:t>利润分配</w:t>
      </w:r>
      <w:r>
        <w:rPr>
          <w:rFonts w:hint="eastAsia"/>
        </w:rPr>
        <w:t>预案，应当提交公司股东大会进行审议。如股东大会审议发放股票股利或以公积金转增股本的方案，须经出席股东大会的股东所持表决权的三分之二以上通过。</w:t>
      </w:r>
    </w:p>
    <w:p>
      <w:pPr>
        <w:pStyle w:val="67"/>
        <w:ind w:firstLine="480"/>
      </w:pPr>
      <w:r>
        <w:rPr>
          <w:rFonts w:hint="eastAsia"/>
        </w:rPr>
        <w:t>（五）根据《公司法》等有关法律法规及本章程的规定，公司当年实现的净利润在弥补亏损、足额提取法定公积金、任意公积金以后可供分配利润为正值，且审计机构对公司年度财务报告出具了标准无保留意见的审计报告时（中期现金分红可未经审计），公司须提出现金分配方案，特殊情况除外（如发生重大投资计划或重大现金支出等）。公司在符合前述现金分红条件的情况下，因特殊原因而不进行现金分红时，董事会应就不进行现金分红的具体原因、未用于分红的资金留存用途等事项进行专项说明，并经独立董事发表意见后提交股东大会审议。</w:t>
      </w:r>
    </w:p>
    <w:p>
      <w:pPr>
        <w:pStyle w:val="67"/>
        <w:ind w:firstLine="480"/>
      </w:pPr>
      <w:r>
        <w:rPr>
          <w:rFonts w:hint="eastAsia"/>
        </w:rPr>
        <w:t>（六）公司董事会应当综合考虑所处行业特点、发展阶段、自身经营模式、盈利水平以及是否有重大资金支出安排等因素，区分下列情，并按照本章程规定的程序，提出差异化的现金分红政策：</w:t>
      </w:r>
    </w:p>
    <w:p>
      <w:pPr>
        <w:pStyle w:val="67"/>
        <w:ind w:firstLine="480"/>
      </w:pPr>
      <w:r>
        <w:rPr>
          <w:rFonts w:hint="eastAsia"/>
        </w:rPr>
        <w:t>1、公司发展阶段属成熟期且无重大资金支出安排的，进行</w:t>
      </w:r>
      <w:r>
        <w:rPr>
          <w:rStyle w:val="27"/>
          <w:rFonts w:hint="eastAsia"/>
          <w:i w:val="0"/>
          <w:iCs w:val="0"/>
        </w:rPr>
        <w:t>利润分配</w:t>
      </w:r>
      <w:r>
        <w:rPr>
          <w:rFonts w:hint="eastAsia"/>
        </w:rPr>
        <w:t>时，现金分红在本次</w:t>
      </w:r>
      <w:r>
        <w:rPr>
          <w:rStyle w:val="27"/>
          <w:rFonts w:hint="eastAsia"/>
          <w:i w:val="0"/>
          <w:iCs w:val="0"/>
        </w:rPr>
        <w:t>利润分配</w:t>
      </w:r>
      <w:r>
        <w:rPr>
          <w:rFonts w:hint="eastAsia"/>
        </w:rPr>
        <w:t>中所占比例最低应达到 80%；</w:t>
      </w:r>
    </w:p>
    <w:p>
      <w:pPr>
        <w:pStyle w:val="67"/>
        <w:ind w:firstLine="480"/>
      </w:pPr>
      <w:r>
        <w:rPr>
          <w:rFonts w:hint="eastAsia"/>
        </w:rPr>
        <w:t>2、公司发展阶段属成熟期且有重大资金支出安排的，进行</w:t>
      </w:r>
      <w:r>
        <w:rPr>
          <w:rStyle w:val="27"/>
          <w:rFonts w:hint="eastAsia"/>
          <w:i w:val="0"/>
          <w:iCs w:val="0"/>
        </w:rPr>
        <w:t>利润分配</w:t>
      </w:r>
      <w:r>
        <w:rPr>
          <w:rFonts w:hint="eastAsia"/>
        </w:rPr>
        <w:t>时，现金分红在本次</w:t>
      </w:r>
      <w:r>
        <w:rPr>
          <w:rStyle w:val="27"/>
          <w:rFonts w:hint="eastAsia"/>
          <w:i w:val="0"/>
          <w:iCs w:val="0"/>
        </w:rPr>
        <w:t>利润分配</w:t>
      </w:r>
      <w:r>
        <w:rPr>
          <w:rFonts w:hint="eastAsia"/>
        </w:rPr>
        <w:t>中所占比例最低应达到 40%；</w:t>
      </w:r>
    </w:p>
    <w:p>
      <w:pPr>
        <w:pStyle w:val="67"/>
        <w:ind w:firstLine="480"/>
      </w:pPr>
      <w:r>
        <w:rPr>
          <w:rFonts w:hint="eastAsia"/>
        </w:rPr>
        <w:t>3、公司发展阶段属成长期且有重大资金支出安排的，进行</w:t>
      </w:r>
      <w:r>
        <w:rPr>
          <w:rStyle w:val="27"/>
          <w:rFonts w:hint="eastAsia"/>
          <w:i w:val="0"/>
          <w:iCs w:val="0"/>
        </w:rPr>
        <w:t>利润分配</w:t>
      </w:r>
      <w:r>
        <w:rPr>
          <w:rFonts w:hint="eastAsia"/>
        </w:rPr>
        <w:t>时，现金分红在本次</w:t>
      </w:r>
      <w:r>
        <w:rPr>
          <w:rStyle w:val="27"/>
          <w:rFonts w:hint="eastAsia"/>
          <w:i w:val="0"/>
          <w:iCs w:val="0"/>
        </w:rPr>
        <w:t>利润分配</w:t>
      </w:r>
      <w:r>
        <w:rPr>
          <w:rFonts w:hint="eastAsia"/>
        </w:rPr>
        <w:t>中所占比例最低应达到 20%；</w:t>
      </w:r>
    </w:p>
    <w:p>
      <w:pPr>
        <w:pStyle w:val="67"/>
        <w:ind w:firstLine="480"/>
      </w:pPr>
      <w:r>
        <w:rPr>
          <w:rFonts w:hint="eastAsia"/>
        </w:rPr>
        <w:t>4、若公司发展阶段不易区分但有重大资金支出安排的，可以按照前项规定处理。</w:t>
      </w:r>
    </w:p>
    <w:p>
      <w:pPr>
        <w:pStyle w:val="67"/>
        <w:ind w:firstLine="480"/>
      </w:pPr>
      <w:r>
        <w:rPr>
          <w:rFonts w:hint="eastAsia"/>
        </w:rPr>
        <w:t>（七）在保证公司正常经营业务和长期发展的前提下，如无重大投资计划或重大现金支出等事项发生，公司原则上每年进行一次现金分红。公司每年以现金方式分配的利润应当不少于当年实现的可分配利润的百分之十，确因特殊原因不能达到上述比例的，董事会应当向股东大会作特别说明。</w:t>
      </w:r>
    </w:p>
    <w:p>
      <w:pPr>
        <w:pStyle w:val="67"/>
        <w:ind w:firstLine="480"/>
      </w:pPr>
      <w:r>
        <w:rPr>
          <w:rFonts w:hint="eastAsia"/>
        </w:rPr>
        <w:t>（八）公司在经营情况良好，并且董事会认为公司股票价格与公司股本规模不匹配、发放股票股利有益于公司全体股东整体利益时，可以在满足上述现金分红的条件下，提出股票股利分配预案。</w:t>
      </w:r>
    </w:p>
    <w:p>
      <w:pPr>
        <w:pStyle w:val="67"/>
        <w:ind w:firstLine="480"/>
      </w:pPr>
      <w:r>
        <w:rPr>
          <w:rFonts w:hint="eastAsia"/>
        </w:rPr>
        <w:t>（九）公司根据生产经营情况、投资规划、长期发展的需要，或者外部经营环境发生变化，确需调整</w:t>
      </w:r>
      <w:r>
        <w:rPr>
          <w:rStyle w:val="27"/>
          <w:rFonts w:hint="eastAsia"/>
          <w:i w:val="0"/>
          <w:iCs w:val="0"/>
        </w:rPr>
        <w:t>利润分配</w:t>
      </w:r>
      <w:r>
        <w:rPr>
          <w:rFonts w:hint="eastAsia"/>
        </w:rPr>
        <w:t>政策的，应充分考虑保护中小股东权益，调整后的</w:t>
      </w:r>
      <w:r>
        <w:rPr>
          <w:rStyle w:val="27"/>
          <w:rFonts w:hint="eastAsia"/>
          <w:i w:val="0"/>
          <w:iCs w:val="0"/>
        </w:rPr>
        <w:t>利润分配</w:t>
      </w:r>
      <w:r>
        <w:rPr>
          <w:rFonts w:hint="eastAsia"/>
        </w:rPr>
        <w:t>政策不得违反证券监管部门的有关规定。公司作出有关调整</w:t>
      </w:r>
      <w:r>
        <w:rPr>
          <w:rStyle w:val="27"/>
          <w:rFonts w:hint="eastAsia"/>
          <w:i w:val="0"/>
          <w:iCs w:val="0"/>
        </w:rPr>
        <w:t>利润分配</w:t>
      </w:r>
      <w:r>
        <w:rPr>
          <w:rFonts w:hint="eastAsia"/>
        </w:rPr>
        <w:t>政策的议案应事先征求独立董事及监事会意见并经公司董事会审议后提交公司股东大会。股东大会审议调整</w:t>
      </w:r>
      <w:r>
        <w:rPr>
          <w:rStyle w:val="27"/>
          <w:rFonts w:hint="eastAsia"/>
          <w:i w:val="0"/>
          <w:iCs w:val="0"/>
        </w:rPr>
        <w:t>利润分配</w:t>
      </w:r>
      <w:r>
        <w:rPr>
          <w:rFonts w:hint="eastAsia"/>
        </w:rPr>
        <w:t>政策的议案需经出席股东大会的股东所持表决权的三分之二以上通过。</w:t>
      </w:r>
    </w:p>
    <w:p>
      <w:pPr>
        <w:pStyle w:val="67"/>
        <w:ind w:firstLine="480"/>
      </w:pPr>
      <w:r>
        <w:rPr>
          <w:rFonts w:hint="eastAsia"/>
        </w:rPr>
        <w:t>（十）公司股东大会对</w:t>
      </w:r>
      <w:r>
        <w:rPr>
          <w:rStyle w:val="27"/>
          <w:rFonts w:hint="eastAsia"/>
          <w:i w:val="0"/>
          <w:iCs w:val="0"/>
        </w:rPr>
        <w:t>利润分配</w:t>
      </w:r>
      <w:r>
        <w:rPr>
          <w:rFonts w:hint="eastAsia"/>
        </w:rPr>
        <w:t>方案作出决议后，公司董事会须在股东大会召开后 2 个月内完成股利（或股份）的派发事项。”</w:t>
      </w:r>
    </w:p>
    <w:p>
      <w:pPr>
        <w:pStyle w:val="69"/>
        <w:spacing w:afterLines="0"/>
        <w:ind w:firstLine="560"/>
      </w:pPr>
      <w:bookmarkStart w:id="307" w:name="_Toc79406465"/>
      <w:r>
        <w:rPr>
          <w:rFonts w:hint="eastAsia"/>
        </w:rPr>
        <w:t>二、公司近三年的分红情况</w:t>
      </w:r>
      <w:bookmarkEnd w:id="301"/>
      <w:bookmarkEnd w:id="302"/>
      <w:bookmarkEnd w:id="303"/>
      <w:r>
        <w:t>及未分配利润的使用情况</w:t>
      </w:r>
      <w:bookmarkEnd w:id="304"/>
      <w:bookmarkEnd w:id="305"/>
      <w:bookmarkEnd w:id="306"/>
      <w:bookmarkEnd w:id="307"/>
    </w:p>
    <w:p>
      <w:pPr>
        <w:pStyle w:val="71"/>
        <w:spacing w:afterLines="0"/>
        <w:ind w:firstLine="482"/>
      </w:pPr>
      <w:bookmarkStart w:id="308" w:name="_Toc15504248"/>
      <w:bookmarkStart w:id="309" w:name="_Toc67935120"/>
      <w:bookmarkStart w:id="310" w:name="_Toc15503617"/>
      <w:bookmarkStart w:id="311" w:name="_Toc22734928"/>
      <w:bookmarkStart w:id="312" w:name="_Toc15504438"/>
      <w:r>
        <w:t>（一）公司近三年现金分红情况</w:t>
      </w:r>
      <w:bookmarkEnd w:id="308"/>
      <w:bookmarkEnd w:id="309"/>
      <w:bookmarkEnd w:id="310"/>
      <w:bookmarkEnd w:id="311"/>
      <w:bookmarkEnd w:id="312"/>
    </w:p>
    <w:p>
      <w:pPr>
        <w:pStyle w:val="67"/>
        <w:ind w:firstLine="420"/>
        <w:jc w:val="right"/>
        <w:rPr>
          <w:sz w:val="21"/>
          <w:szCs w:val="21"/>
        </w:rPr>
      </w:pPr>
      <w:r>
        <w:rPr>
          <w:rFonts w:hint="eastAsia"/>
          <w:sz w:val="21"/>
          <w:szCs w:val="21"/>
        </w:rPr>
        <w:t>单位：元</w:t>
      </w:r>
    </w:p>
    <w:tbl>
      <w:tblPr>
        <w:tblStyle w:val="31"/>
        <w:tblW w:w="85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780"/>
        <w:gridCol w:w="2432"/>
        <w:gridCol w:w="3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124" w:type="dxa"/>
            <w:shd w:val="clear" w:color="auto" w:fill="auto"/>
            <w:vAlign w:val="center"/>
          </w:tcPr>
          <w:p>
            <w:pPr>
              <w:widowControl/>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年份</w:t>
            </w:r>
          </w:p>
        </w:tc>
        <w:tc>
          <w:tcPr>
            <w:tcW w:w="1780" w:type="dxa"/>
            <w:shd w:val="clear" w:color="auto" w:fill="auto"/>
            <w:vAlign w:val="center"/>
          </w:tcPr>
          <w:p>
            <w:pPr>
              <w:widowControl/>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现金分红金额</w:t>
            </w:r>
          </w:p>
        </w:tc>
        <w:tc>
          <w:tcPr>
            <w:tcW w:w="2432" w:type="dxa"/>
            <w:shd w:val="clear" w:color="auto" w:fill="auto"/>
            <w:vAlign w:val="center"/>
          </w:tcPr>
          <w:p>
            <w:pPr>
              <w:widowControl/>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合并报表中归属于母公司股东的净利润</w:t>
            </w:r>
          </w:p>
        </w:tc>
        <w:tc>
          <w:tcPr>
            <w:tcW w:w="3180" w:type="dxa"/>
            <w:shd w:val="clear" w:color="auto" w:fill="auto"/>
            <w:vAlign w:val="center"/>
          </w:tcPr>
          <w:p>
            <w:pPr>
              <w:widowControl/>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现金分红金额占当期归属于母股东的净利润的比例（</w:t>
            </w:r>
            <w:r>
              <w:rPr>
                <w:rFonts w:ascii="Times New Roman" w:hAnsi="Times New Roman" w:eastAsia="宋体" w:cs="Times New Roman"/>
                <w:b/>
                <w:bCs/>
                <w:color w:val="000000"/>
                <w:kern w:val="0"/>
                <w:szCs w:val="21"/>
              </w:rPr>
              <w:t>%</w:t>
            </w:r>
            <w:r>
              <w:rPr>
                <w:rFonts w:hint="eastAsia" w:ascii="Times New Roman" w:hAnsi="Times New Roman" w:eastAsia="宋体" w:cs="宋体"/>
                <w:b/>
                <w:bCs/>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2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szCs w:val="21"/>
              </w:rPr>
              <w:t>2020年</w:t>
            </w:r>
          </w:p>
        </w:tc>
        <w:tc>
          <w:tcPr>
            <w:tcW w:w="1780" w:type="dxa"/>
            <w:vAlign w:val="center"/>
          </w:tcPr>
          <w:p>
            <w:pPr>
              <w:widowControl/>
              <w:jc w:val="right"/>
              <w:rPr>
                <w:rFonts w:ascii="Times New Roman" w:hAnsi="Times New Roman" w:eastAsia="宋体" w:cs="Times New Roman"/>
                <w:color w:val="000000"/>
                <w:kern w:val="0"/>
                <w:szCs w:val="21"/>
              </w:rPr>
            </w:pPr>
            <w:r>
              <w:rPr>
                <w:rFonts w:ascii="Times New Roman" w:hAnsi="Times New Roman" w:eastAsia="宋体" w:cs="Times New Roman"/>
                <w:kern w:val="0"/>
                <w:szCs w:val="21"/>
                <w:lang w:bidi="ar"/>
              </w:rPr>
              <w:t>94,105,117.05</w:t>
            </w:r>
          </w:p>
        </w:tc>
        <w:tc>
          <w:tcPr>
            <w:tcW w:w="2432" w:type="dxa"/>
            <w:vAlign w:val="center"/>
          </w:tcPr>
          <w:p>
            <w:pPr>
              <w:widowControl/>
              <w:jc w:val="right"/>
              <w:rPr>
                <w:rFonts w:ascii="Times New Roman" w:hAnsi="Times New Roman" w:eastAsia="宋体" w:cs="Times New Roman"/>
                <w:color w:val="000000"/>
                <w:kern w:val="0"/>
                <w:szCs w:val="21"/>
              </w:rPr>
            </w:pPr>
            <w:r>
              <w:rPr>
                <w:rFonts w:ascii="Times New Roman" w:hAnsi="Times New Roman" w:eastAsia="宋体" w:cs="Times New Roman"/>
                <w:kern w:val="0"/>
                <w:szCs w:val="21"/>
                <w:lang w:bidi="ar"/>
              </w:rPr>
              <w:t>324,859,557.55</w:t>
            </w:r>
          </w:p>
        </w:tc>
        <w:tc>
          <w:tcPr>
            <w:tcW w:w="3180" w:type="dxa"/>
            <w:vAlign w:val="center"/>
          </w:tcPr>
          <w:p>
            <w:pPr>
              <w:widowControl/>
              <w:jc w:val="right"/>
              <w:rPr>
                <w:rFonts w:ascii="Times New Roman" w:hAnsi="Times New Roman" w:eastAsia="宋体" w:cs="Times New Roman"/>
                <w:color w:val="000000"/>
                <w:kern w:val="0"/>
                <w:szCs w:val="21"/>
              </w:rPr>
            </w:pPr>
            <w:r>
              <w:rPr>
                <w:rFonts w:ascii="Times New Roman" w:hAnsi="Times New Roman" w:eastAsia="宋体" w:cs="Times New Roman"/>
                <w:kern w:val="0"/>
                <w:szCs w:val="21"/>
                <w:lang w:bidi="ar"/>
              </w:rPr>
              <w:t>28.97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2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szCs w:val="21"/>
              </w:rPr>
              <w:t>2019年</w:t>
            </w:r>
          </w:p>
        </w:tc>
        <w:tc>
          <w:tcPr>
            <w:tcW w:w="1780" w:type="dxa"/>
            <w:vAlign w:val="center"/>
          </w:tcPr>
          <w:p>
            <w:pPr>
              <w:widowControl/>
              <w:jc w:val="right"/>
              <w:rPr>
                <w:rFonts w:ascii="Times New Roman" w:hAnsi="Times New Roman" w:eastAsia="宋体" w:cs="Times New Roman"/>
                <w:color w:val="000000"/>
                <w:kern w:val="0"/>
                <w:szCs w:val="21"/>
              </w:rPr>
            </w:pPr>
            <w:r>
              <w:rPr>
                <w:rFonts w:ascii="Times New Roman" w:hAnsi="Times New Roman" w:eastAsia="宋体" w:cs="Times New Roman"/>
                <w:kern w:val="0"/>
                <w:szCs w:val="21"/>
                <w:lang w:bidi="ar"/>
              </w:rPr>
              <w:t>74,623,133.64</w:t>
            </w:r>
          </w:p>
        </w:tc>
        <w:tc>
          <w:tcPr>
            <w:tcW w:w="2432" w:type="dxa"/>
            <w:vAlign w:val="center"/>
          </w:tcPr>
          <w:p>
            <w:pPr>
              <w:widowControl/>
              <w:jc w:val="right"/>
              <w:rPr>
                <w:rFonts w:ascii="Times New Roman" w:hAnsi="Times New Roman" w:eastAsia="宋体" w:cs="Times New Roman"/>
                <w:color w:val="000000"/>
                <w:kern w:val="0"/>
                <w:szCs w:val="21"/>
              </w:rPr>
            </w:pPr>
            <w:r>
              <w:rPr>
                <w:rFonts w:ascii="Times New Roman" w:hAnsi="Times New Roman" w:eastAsia="宋体" w:cs="Times New Roman"/>
                <w:kern w:val="0"/>
                <w:szCs w:val="21"/>
                <w:lang w:bidi="ar"/>
              </w:rPr>
              <w:t>299,966,265.71</w:t>
            </w:r>
          </w:p>
        </w:tc>
        <w:tc>
          <w:tcPr>
            <w:tcW w:w="3180" w:type="dxa"/>
            <w:vAlign w:val="center"/>
          </w:tcPr>
          <w:p>
            <w:pPr>
              <w:widowControl/>
              <w:jc w:val="right"/>
              <w:rPr>
                <w:rFonts w:ascii="Times New Roman" w:hAnsi="Times New Roman" w:eastAsia="宋体" w:cs="Times New Roman"/>
                <w:color w:val="000000"/>
                <w:kern w:val="0"/>
                <w:szCs w:val="21"/>
              </w:rPr>
            </w:pPr>
            <w:r>
              <w:rPr>
                <w:rFonts w:ascii="Times New Roman" w:hAnsi="Times New Roman" w:eastAsia="宋体" w:cs="Times New Roman"/>
                <w:kern w:val="0"/>
                <w:szCs w:val="21"/>
                <w:lang w:bidi="ar"/>
              </w:rPr>
              <w:t>24.88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2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szCs w:val="21"/>
              </w:rPr>
              <w:t>2018年</w:t>
            </w:r>
          </w:p>
        </w:tc>
        <w:tc>
          <w:tcPr>
            <w:tcW w:w="1780" w:type="dxa"/>
            <w:vAlign w:val="center"/>
          </w:tcPr>
          <w:p>
            <w:pPr>
              <w:widowControl/>
              <w:jc w:val="right"/>
              <w:rPr>
                <w:rFonts w:ascii="Times New Roman" w:hAnsi="Times New Roman" w:eastAsia="宋体" w:cs="Times New Roman"/>
                <w:color w:val="000000"/>
                <w:kern w:val="0"/>
                <w:szCs w:val="21"/>
              </w:rPr>
            </w:pPr>
            <w:r>
              <w:rPr>
                <w:rFonts w:ascii="Times New Roman" w:hAnsi="Times New Roman" w:eastAsia="宋体" w:cs="Times New Roman"/>
                <w:kern w:val="0"/>
                <w:szCs w:val="21"/>
                <w:lang w:bidi="ar"/>
              </w:rPr>
              <w:t>62,185,944.70</w:t>
            </w:r>
          </w:p>
        </w:tc>
        <w:tc>
          <w:tcPr>
            <w:tcW w:w="2432" w:type="dxa"/>
            <w:vAlign w:val="center"/>
          </w:tcPr>
          <w:p>
            <w:pPr>
              <w:widowControl/>
              <w:jc w:val="right"/>
              <w:rPr>
                <w:rFonts w:ascii="Times New Roman" w:hAnsi="Times New Roman" w:eastAsia="宋体" w:cs="Times New Roman"/>
                <w:color w:val="000000"/>
                <w:kern w:val="0"/>
                <w:szCs w:val="21"/>
              </w:rPr>
            </w:pPr>
            <w:r>
              <w:rPr>
                <w:rFonts w:ascii="Times New Roman" w:hAnsi="Times New Roman" w:eastAsia="宋体" w:cs="Times New Roman"/>
                <w:kern w:val="0"/>
                <w:szCs w:val="21"/>
                <w:lang w:bidi="ar"/>
              </w:rPr>
              <w:t>255,314,454.86</w:t>
            </w:r>
          </w:p>
        </w:tc>
        <w:tc>
          <w:tcPr>
            <w:tcW w:w="3180" w:type="dxa"/>
            <w:vAlign w:val="center"/>
          </w:tcPr>
          <w:p>
            <w:pPr>
              <w:widowControl/>
              <w:jc w:val="right"/>
              <w:rPr>
                <w:rFonts w:ascii="Times New Roman" w:hAnsi="Times New Roman" w:eastAsia="宋体" w:cs="Times New Roman"/>
                <w:color w:val="000000"/>
                <w:kern w:val="0"/>
                <w:szCs w:val="21"/>
              </w:rPr>
            </w:pPr>
            <w:r>
              <w:rPr>
                <w:rFonts w:ascii="Times New Roman" w:hAnsi="Times New Roman" w:eastAsia="宋体" w:cs="Times New Roman"/>
                <w:kern w:val="0"/>
                <w:szCs w:val="21"/>
                <w:lang w:bidi="ar"/>
              </w:rPr>
              <w:t>24.36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24" w:type="dxa"/>
            <w:shd w:val="clear" w:color="auto" w:fill="auto"/>
            <w:vAlign w:val="center"/>
          </w:tcPr>
          <w:p>
            <w:pPr>
              <w:widowControl/>
              <w:jc w:val="center"/>
              <w:rPr>
                <w:rFonts w:ascii="Times New Roman" w:hAnsi="Times New Roman" w:eastAsia="宋体" w:cs="宋体"/>
                <w:b/>
                <w:bCs/>
                <w:color w:val="000000"/>
                <w:kern w:val="0"/>
                <w:szCs w:val="21"/>
              </w:rPr>
            </w:pPr>
            <w:r>
              <w:rPr>
                <w:rFonts w:hint="eastAsia" w:ascii="Times New Roman" w:hAnsi="Times New Roman" w:eastAsia="宋体" w:cs="宋体"/>
                <w:b/>
                <w:bCs/>
                <w:color w:val="000000"/>
                <w:kern w:val="0"/>
                <w:szCs w:val="21"/>
              </w:rPr>
              <w:t>合计</w:t>
            </w:r>
          </w:p>
        </w:tc>
        <w:tc>
          <w:tcPr>
            <w:tcW w:w="1780" w:type="dxa"/>
            <w:shd w:val="clear" w:color="auto" w:fill="auto"/>
            <w:vAlign w:val="center"/>
          </w:tcPr>
          <w:p>
            <w:pPr>
              <w:widowControl/>
              <w:jc w:val="right"/>
              <w:rPr>
                <w:rFonts w:ascii="Times New Roman" w:hAnsi="Times New Roman" w:eastAsia="宋体" w:cs="Times New Roman"/>
                <w:b/>
                <w:kern w:val="0"/>
                <w:szCs w:val="21"/>
                <w:lang w:bidi="ar"/>
              </w:rPr>
            </w:pPr>
            <w:r>
              <w:rPr>
                <w:rFonts w:ascii="Times New Roman" w:hAnsi="Times New Roman" w:eastAsia="宋体" w:cs="Times New Roman"/>
                <w:b/>
                <w:kern w:val="0"/>
                <w:szCs w:val="21"/>
                <w:lang w:bidi="ar"/>
              </w:rPr>
              <w:t>230,914,195.39</w:t>
            </w:r>
          </w:p>
        </w:tc>
        <w:tc>
          <w:tcPr>
            <w:tcW w:w="2432" w:type="dxa"/>
            <w:shd w:val="clear" w:color="auto" w:fill="auto"/>
            <w:vAlign w:val="center"/>
          </w:tcPr>
          <w:p>
            <w:pPr>
              <w:widowControl/>
              <w:jc w:val="right"/>
              <w:rPr>
                <w:rFonts w:ascii="Times New Roman" w:hAnsi="Times New Roman" w:eastAsia="宋体" w:cs="Times New Roman"/>
                <w:b/>
                <w:kern w:val="0"/>
                <w:szCs w:val="21"/>
                <w:lang w:bidi="ar"/>
              </w:rPr>
            </w:pPr>
            <w:r>
              <w:rPr>
                <w:rFonts w:ascii="Times New Roman" w:hAnsi="Times New Roman" w:eastAsia="宋体" w:cs="Times New Roman"/>
                <w:b/>
                <w:kern w:val="0"/>
                <w:szCs w:val="21"/>
                <w:lang w:bidi="ar"/>
              </w:rPr>
              <w:t>880,140,278.12</w:t>
            </w:r>
          </w:p>
        </w:tc>
        <w:tc>
          <w:tcPr>
            <w:tcW w:w="3180" w:type="dxa"/>
            <w:shd w:val="clear" w:color="auto" w:fill="auto"/>
            <w:vAlign w:val="center"/>
          </w:tcPr>
          <w:p>
            <w:pPr>
              <w:widowControl/>
              <w:jc w:val="right"/>
              <w:rPr>
                <w:rFonts w:ascii="Times New Roman" w:hAnsi="Times New Roman" w:eastAsia="宋体" w:cs="Times New Roman"/>
                <w:b/>
                <w:kern w:val="0"/>
                <w:szCs w:val="21"/>
                <w:lang w:bidi="ar"/>
              </w:rPr>
            </w:pPr>
            <w:r>
              <w:rPr>
                <w:rFonts w:ascii="Times New Roman" w:hAnsi="Times New Roman" w:eastAsia="宋体" w:cs="Times New Roman"/>
                <w:b/>
                <w:kern w:val="0"/>
                <w:szCs w:val="21"/>
                <w:lang w:bidi="ar"/>
              </w:rPr>
              <w:t>26.24</w:t>
            </w:r>
          </w:p>
        </w:tc>
      </w:tr>
    </w:tbl>
    <w:p>
      <w:pPr>
        <w:pStyle w:val="71"/>
        <w:spacing w:afterLines="0"/>
        <w:ind w:firstLine="482"/>
      </w:pPr>
      <w:bookmarkStart w:id="313" w:name="_Toc22734929"/>
      <w:bookmarkStart w:id="314" w:name="_Toc67935121"/>
      <w:bookmarkStart w:id="315" w:name="_Toc15503618"/>
      <w:bookmarkStart w:id="316" w:name="_Toc11685726"/>
      <w:bookmarkStart w:id="317" w:name="_Toc335221096"/>
      <w:bookmarkStart w:id="318" w:name="_Toc15504439"/>
      <w:bookmarkStart w:id="319" w:name="_Toc15504249"/>
      <w:bookmarkStart w:id="320" w:name="_Toc529647961"/>
      <w:r>
        <w:t>（</w:t>
      </w:r>
      <w:r>
        <w:rPr>
          <w:rFonts w:hint="eastAsia"/>
        </w:rPr>
        <w:t>二）未分配利润的使用安排</w:t>
      </w:r>
      <w:bookmarkEnd w:id="313"/>
      <w:bookmarkEnd w:id="314"/>
      <w:bookmarkEnd w:id="315"/>
      <w:bookmarkEnd w:id="316"/>
      <w:bookmarkEnd w:id="317"/>
      <w:bookmarkEnd w:id="318"/>
      <w:bookmarkEnd w:id="319"/>
      <w:bookmarkEnd w:id="320"/>
    </w:p>
    <w:p>
      <w:pPr>
        <w:pStyle w:val="67"/>
        <w:ind w:firstLine="480"/>
      </w:pPr>
      <w:r>
        <w:rPr>
          <w:rFonts w:hint="eastAsia"/>
        </w:rPr>
        <w:t>最近三年，公司滚存未分配利润主要用于公司生产经营所需的流动资金及业务发展所需的资本性支出等，以支持公司长期可持续发展。</w:t>
      </w:r>
      <w:bookmarkStart w:id="321" w:name="_Toc529202687"/>
      <w:bookmarkStart w:id="322" w:name="_Toc423537901"/>
      <w:bookmarkStart w:id="323" w:name="_Toc15504250"/>
      <w:bookmarkStart w:id="324" w:name="_Toc424736821"/>
      <w:bookmarkStart w:id="325" w:name="_Toc394866750"/>
      <w:bookmarkStart w:id="326" w:name="_Toc15503619"/>
      <w:bookmarkStart w:id="327" w:name="_Toc433974935"/>
      <w:bookmarkStart w:id="328" w:name="_Toc22734930"/>
    </w:p>
    <w:p>
      <w:pPr>
        <w:pStyle w:val="69"/>
        <w:spacing w:afterLines="0"/>
        <w:ind w:firstLine="560"/>
      </w:pPr>
      <w:bookmarkStart w:id="329" w:name="_Toc79406466"/>
      <w:r>
        <w:t>三、未来三年分红计划</w:t>
      </w:r>
      <w:bookmarkEnd w:id="321"/>
      <w:bookmarkEnd w:id="322"/>
      <w:bookmarkEnd w:id="323"/>
      <w:bookmarkEnd w:id="324"/>
      <w:bookmarkEnd w:id="325"/>
      <w:bookmarkEnd w:id="326"/>
      <w:bookmarkEnd w:id="327"/>
      <w:bookmarkEnd w:id="328"/>
      <w:bookmarkEnd w:id="329"/>
    </w:p>
    <w:p>
      <w:pPr>
        <w:pStyle w:val="67"/>
        <w:ind w:firstLine="480"/>
      </w:pPr>
      <w:r>
        <w:t>为建立和健全</w:t>
      </w:r>
      <w:r>
        <w:rPr>
          <w:rFonts w:hint="eastAsia"/>
        </w:rPr>
        <w:t>公司</w:t>
      </w:r>
      <w:r>
        <w:t>科学、持续、稳定的分红决策和监督机制，积极回报投资者，引导投资者树立长期投资和理性投资理念，董事会综合公司盈利能力、经营发展规划、股东回报、社会资金成本以及外部融资环境等因素，根据《中华人民共和国公司法》（以下称《公司法》）、中国证券监督管理委员会《关于进一步落实上市公司现金分红有关事项的通知》、《上市公司监管指引第</w:t>
      </w:r>
      <w:r>
        <w:rPr>
          <w:rFonts w:hint="eastAsia"/>
        </w:rPr>
        <w:t>3</w:t>
      </w:r>
      <w:r>
        <w:t>号——上市公司现金分红》等法律、行政法规、规范性文件及《山东新华制药股份有限公司章程》（以下称《公司章程》）的要求，公司制订未来三年（</w:t>
      </w:r>
      <w:r>
        <w:rPr>
          <w:rFonts w:hint="eastAsia"/>
        </w:rPr>
        <w:t>2021</w:t>
      </w:r>
      <w:r>
        <w:t>年-</w:t>
      </w:r>
      <w:r>
        <w:rPr>
          <w:rFonts w:hint="eastAsia"/>
        </w:rPr>
        <w:t>2023</w:t>
      </w:r>
      <w:r>
        <w:t>年）股东回报规划（以下称本规划），具体内容如下</w:t>
      </w:r>
      <w:r>
        <w:rPr>
          <w:rFonts w:hint="eastAsia"/>
        </w:rPr>
        <w:t>：</w:t>
      </w:r>
    </w:p>
    <w:p>
      <w:pPr>
        <w:pStyle w:val="67"/>
        <w:ind w:firstLine="480"/>
        <w:rPr>
          <w:rFonts w:ascii="宋体" w:hAnsi="宋体" w:cs="宋体"/>
          <w:b/>
          <w:bCs/>
        </w:rPr>
      </w:pPr>
      <w:r>
        <w:rPr>
          <w:rFonts w:hint="eastAsia"/>
        </w:rPr>
        <w:t>“</w:t>
      </w:r>
      <w:r>
        <w:rPr>
          <w:rFonts w:hint="eastAsia" w:ascii="宋体" w:hAnsi="宋体" w:cs="宋体"/>
        </w:rPr>
        <w:t xml:space="preserve">第一条 </w:t>
      </w:r>
      <w:r>
        <w:rPr>
          <w:rFonts w:ascii="宋体" w:hAnsi="宋体" w:cs="宋体"/>
        </w:rPr>
        <w:t>本规划考虑的因素</w:t>
      </w:r>
    </w:p>
    <w:p>
      <w:pPr>
        <w:pStyle w:val="67"/>
        <w:ind w:firstLine="480"/>
      </w:pPr>
      <w:r>
        <w:rPr>
          <w:rFonts w:hint="eastAsia"/>
        </w:rPr>
        <w:t>本规划应当着眼于公司的长远和可持续发展，综合分析公司经营发展实际、股东要求和意愿、社会资金成本、外部融资环境等因素，充分考虑公司目前及未来盈利水平、现金流量状况、发展所处阶段、项目投资资金需求、银行信贷及债权融资环境等情况，在平衡股东的合理投资回报和公司长远发展的基础上做出合理安排，以保证利润分配政策的连续性和稳定性。</w:t>
      </w:r>
    </w:p>
    <w:p>
      <w:pPr>
        <w:pStyle w:val="67"/>
        <w:ind w:firstLine="480"/>
        <w:rPr>
          <w:rFonts w:ascii="宋体" w:hAnsi="宋体" w:cs="宋体"/>
        </w:rPr>
      </w:pPr>
      <w:r>
        <w:rPr>
          <w:rFonts w:hint="eastAsia" w:ascii="宋体" w:hAnsi="宋体" w:cs="宋体"/>
        </w:rPr>
        <w:t xml:space="preserve">第二条 </w:t>
      </w:r>
      <w:r>
        <w:rPr>
          <w:rFonts w:ascii="宋体" w:hAnsi="宋体" w:cs="宋体"/>
        </w:rPr>
        <w:t>本规划</w:t>
      </w:r>
      <w:r>
        <w:rPr>
          <w:rFonts w:hint="eastAsia" w:ascii="宋体" w:hAnsi="宋体" w:cs="宋体"/>
        </w:rPr>
        <w:t>的制定原则</w:t>
      </w:r>
    </w:p>
    <w:p>
      <w:pPr>
        <w:pStyle w:val="67"/>
        <w:ind w:firstLine="480"/>
      </w:pPr>
      <w:r>
        <w:rPr>
          <w:rFonts w:hint="eastAsia"/>
        </w:rPr>
        <w:t>本规划依据《公司法》等法律、行政法规、规范性文件和《公司章程》的规定制定。公司实行持续、稳定的利润分配政策，同时充分考虑股东特别是中小股东和独立董事的意见，公司的利润分配重视对投资者的合理投资回报并兼顾公司的可持续发展，在满足公司生产经营和持续发展对资金需求的情况下，优先考虑现金分红。健全现金分红制度，保持现金分红政策的一致性、合理性和稳定性。</w:t>
      </w:r>
    </w:p>
    <w:p>
      <w:pPr>
        <w:pStyle w:val="67"/>
        <w:ind w:firstLine="480"/>
      </w:pPr>
      <w:r>
        <w:rPr>
          <w:rFonts w:hint="eastAsia"/>
        </w:rPr>
        <w:t>第三条</w:t>
      </w:r>
      <w:r>
        <w:t xml:space="preserve"> </w:t>
      </w:r>
      <w:r>
        <w:rPr>
          <w:rFonts w:hint="eastAsia"/>
        </w:rPr>
        <w:t>公司未来三年（</w:t>
      </w:r>
      <w:r>
        <w:t>2021</w:t>
      </w:r>
      <w:r>
        <w:rPr>
          <w:rFonts w:hint="eastAsia"/>
        </w:rPr>
        <w:t>年</w:t>
      </w:r>
      <w:r>
        <w:t>-2023</w:t>
      </w:r>
      <w:r>
        <w:rPr>
          <w:rFonts w:hint="eastAsia"/>
        </w:rPr>
        <w:t>年）的具体股东回报规划</w:t>
      </w:r>
    </w:p>
    <w:p>
      <w:pPr>
        <w:pStyle w:val="67"/>
        <w:ind w:firstLine="480"/>
      </w:pPr>
      <w:r>
        <w:rPr>
          <w:rFonts w:hint="eastAsia"/>
        </w:rPr>
        <w:t>1、利润分配的形式</w:t>
      </w:r>
    </w:p>
    <w:p>
      <w:pPr>
        <w:pStyle w:val="67"/>
        <w:ind w:firstLine="480"/>
      </w:pPr>
      <w:r>
        <w:rPr>
          <w:rFonts w:hint="eastAsia"/>
        </w:rPr>
        <w:t>公司可以采取现金、股票、现金与股票相结合或其他法律法规允许的方式分配股利。在上述利润分配方式中，公司优先采取现金方式分配股利。公司董事会可以根据公司盈利情况及资金需求状况提议公司进行中期利润分配。除非经董事会论证同意，且经独立董事发表独立意见、监事会决议通过，两次分红间隔时间不少于六个月。</w:t>
      </w:r>
    </w:p>
    <w:p>
      <w:pPr>
        <w:pStyle w:val="67"/>
        <w:ind w:firstLine="480"/>
      </w:pPr>
      <w:r>
        <w:rPr>
          <w:rFonts w:hint="eastAsia"/>
        </w:rPr>
        <w:t>2、利润分配的条件和比例</w:t>
      </w:r>
    </w:p>
    <w:p>
      <w:pPr>
        <w:pStyle w:val="67"/>
        <w:ind w:firstLine="480"/>
      </w:pPr>
      <w:r>
        <w:rPr>
          <w:rFonts w:hint="eastAsia"/>
        </w:rPr>
        <w:t>（1）现金分红的条件、比例及时间间隔</w:t>
      </w:r>
    </w:p>
    <w:p>
      <w:pPr>
        <w:pStyle w:val="67"/>
        <w:ind w:firstLine="480"/>
      </w:pPr>
      <w:r>
        <w:rPr>
          <w:rFonts w:hint="eastAsia"/>
        </w:rPr>
        <w:t>根据《公司法》等有关法律、行政法规及《公司章程》的规定，公司当年实现的净利润在弥补亏损、足额提取法定公积金、任意公积金以后可供分配利润为正值，且审计机构对公司年度财务报告出具了标准无保留意见的审计报告时（中期现金分红可未经审计），公司须提出现金分配方案，特殊情况除外（如发生重大投资计划或重大现金支出等）。</w:t>
      </w:r>
    </w:p>
    <w:p>
      <w:pPr>
        <w:pStyle w:val="67"/>
        <w:ind w:firstLine="480"/>
      </w:pPr>
      <w:r>
        <w:rPr>
          <w:rFonts w:hint="eastAsia"/>
        </w:rPr>
        <w:t>在保证公司正常经营业务和长期发展的前提下，如无重大投资计划或重大现金支出等事项发生，公司原则上每年进行一次现金分红。公司每年以现金方式分配的利润应当不少于当年实现的可分配利润的百分之十，确因特殊原因不能达到上述比例的，董事会应当向股东大会作特别说明。</w:t>
      </w:r>
    </w:p>
    <w:p>
      <w:pPr>
        <w:pStyle w:val="67"/>
        <w:ind w:firstLine="480"/>
      </w:pPr>
      <w:r>
        <w:rPr>
          <w:rFonts w:hint="eastAsia"/>
        </w:rPr>
        <w:t>（2）股票股利分配的条件</w:t>
      </w:r>
    </w:p>
    <w:p>
      <w:pPr>
        <w:pStyle w:val="67"/>
        <w:ind w:firstLine="480"/>
      </w:pPr>
      <w:r>
        <w:rPr>
          <w:rFonts w:hint="eastAsia"/>
        </w:rPr>
        <w:t>公司在经营情况良好，并且董事会认为公司股票价格与公司股本规模不匹配、发放股票股利有益于公司全体股东整体利益时，可以在满足上述现金分红的条件下，提出股票股利分配预案。</w:t>
      </w:r>
    </w:p>
    <w:p>
      <w:pPr>
        <w:pStyle w:val="67"/>
        <w:ind w:firstLine="480"/>
      </w:pPr>
      <w:r>
        <w:rPr>
          <w:rFonts w:hint="eastAsia"/>
        </w:rPr>
        <w:t>（3）差异化的现金分红政策</w:t>
      </w:r>
    </w:p>
    <w:p>
      <w:pPr>
        <w:pStyle w:val="67"/>
        <w:ind w:firstLine="480"/>
      </w:pPr>
      <w:r>
        <w:rPr>
          <w:rFonts w:hint="eastAsia"/>
        </w:rPr>
        <w:t>未来三年，公司董事会应当综合考虑所处行业特点、发展阶段、自身经营模式、盈利水平以及是否有重大资金支出安排等因素，区分下列情形，并按照本章程规定的程序，提出差异化的现金分红政策：</w:t>
      </w:r>
    </w:p>
    <w:p>
      <w:pPr>
        <w:pStyle w:val="67"/>
        <w:ind w:firstLine="480"/>
      </w:pPr>
      <w:r>
        <w:rPr>
          <w:rFonts w:hint="eastAsia"/>
        </w:rPr>
        <w:t>1）公司发展阶段属成熟期且无重大资金支出安排的，进行利润分配时，现金分红在本次利润分配中所占比例最低应达到80%；</w:t>
      </w:r>
    </w:p>
    <w:p>
      <w:pPr>
        <w:pStyle w:val="67"/>
        <w:ind w:firstLine="480"/>
      </w:pPr>
      <w:r>
        <w:rPr>
          <w:rFonts w:hint="eastAsia"/>
        </w:rPr>
        <w:t>2）公司发展阶段属成熟期且有重大资金支出安排的，进行利润分配时，现金分红在本次利润分配中所占比例最低应达到40%；</w:t>
      </w:r>
    </w:p>
    <w:p>
      <w:pPr>
        <w:pStyle w:val="67"/>
        <w:ind w:firstLine="480"/>
      </w:pPr>
      <w:r>
        <w:rPr>
          <w:rFonts w:hint="eastAsia"/>
        </w:rPr>
        <w:t>3）公司发展阶段属成长期且有重大资金支出安排的，进行利润分配时，现金分红在本次利润分配中所占比例最低应达到20%；</w:t>
      </w:r>
    </w:p>
    <w:p>
      <w:pPr>
        <w:pStyle w:val="67"/>
        <w:ind w:firstLine="480"/>
      </w:pPr>
      <w:r>
        <w:rPr>
          <w:rFonts w:hint="eastAsia"/>
        </w:rPr>
        <w:t>4）若公司发展阶段不易区分但有重大资金支出安排的，可以按照前项规定处理。</w:t>
      </w:r>
    </w:p>
    <w:p>
      <w:pPr>
        <w:pStyle w:val="67"/>
        <w:ind w:firstLine="480"/>
      </w:pPr>
      <w:r>
        <w:rPr>
          <w:rFonts w:hint="eastAsia"/>
        </w:rPr>
        <w:t>（4）利润分配预案的审议程序</w:t>
      </w:r>
    </w:p>
    <w:p>
      <w:pPr>
        <w:pStyle w:val="67"/>
        <w:ind w:firstLine="480"/>
      </w:pPr>
      <w:r>
        <w:rPr>
          <w:rFonts w:hint="eastAsia"/>
        </w:rPr>
        <w:t>每个会计年度结束后，公司董事会应结合公司盈利情况、资金需求和股东回报情况合理提出利润分配预案，董事会在利润分配预案论证过程中，需与独立董事、监事充分讨论，并通过多种渠道充分听取中小股东意见，认真研究和论证公司现金分红的时机、条件和最低比例、调整的条件及其决策程序要求等事宜。</w:t>
      </w:r>
    </w:p>
    <w:p>
      <w:pPr>
        <w:pStyle w:val="67"/>
        <w:ind w:firstLine="480"/>
      </w:pPr>
      <w:r>
        <w:rPr>
          <w:rFonts w:hint="eastAsia"/>
        </w:rPr>
        <w:t>公司董事会、监事会在审议利润分配预案时，需分别经全体董事过半数以上、二分之一以上独立董事、全体监事半数以上同意，独立董事应当发表明确意见。董事会审议通过的利润分配预案，应当提交公司股东大会进行审议。如股东大会审议发放股票股利或以公积金转增股本的方案，须经出席股东大会的股东所持表决权的三分之二以上通过。</w:t>
      </w:r>
    </w:p>
    <w:p>
      <w:pPr>
        <w:pStyle w:val="67"/>
        <w:ind w:firstLine="480"/>
      </w:pPr>
      <w:r>
        <w:rPr>
          <w:rFonts w:hint="eastAsia"/>
        </w:rPr>
        <w:t>公司在符合现金分红条件的情况下，因特殊原因而不进行现金分红时，董事会应就不进行现金分红的具体原因、未用于分红的资金留存用途等事项进行专项说明，并经独立董事发表意见后提交股东大会审议。</w:t>
      </w:r>
    </w:p>
    <w:p>
      <w:pPr>
        <w:pStyle w:val="67"/>
        <w:ind w:firstLine="480"/>
      </w:pPr>
      <w:r>
        <w:rPr>
          <w:rFonts w:hint="eastAsia"/>
        </w:rPr>
        <w:t>（5）利润分配政策的调整</w:t>
      </w:r>
    </w:p>
    <w:p>
      <w:pPr>
        <w:pStyle w:val="67"/>
        <w:ind w:firstLine="480"/>
      </w:pPr>
      <w:r>
        <w:rPr>
          <w:rFonts w:hint="eastAsia"/>
        </w:rPr>
        <w:t>在对利润分配政策的决策和论证过程中，公司董事会和股东大会应当通过电话、传真、邮件等多种方式考虑独立董事和公众投资者尤其是中小股东的意见。</w:t>
      </w:r>
    </w:p>
    <w:p>
      <w:pPr>
        <w:pStyle w:val="67"/>
        <w:ind w:firstLine="480"/>
      </w:pPr>
      <w:r>
        <w:rPr>
          <w:rFonts w:hint="eastAsia"/>
        </w:rPr>
        <w:t>公司根据生产经营情况、投资规划、长期发展的需要，或者外部经营环境发生变化，确需调整利润分配政策的，应充分考虑保护中小股东权益，调整后的利润分配政策不得违反证券监管部门的有关规定。公司作出有关调整利润分配政策的议案应事先征求独立董事及监事会意见并经公司董事会审议后提交公司股东大会。股东大会审议调整利润分配政策的议案需经出席股东大会的股东所持表决权的三分之二以上通过。</w:t>
      </w:r>
    </w:p>
    <w:p>
      <w:pPr>
        <w:pStyle w:val="67"/>
        <w:ind w:firstLine="480"/>
        <w:rPr>
          <w:rFonts w:ascii="宋体" w:hAnsi="宋体" w:cs="宋体"/>
        </w:rPr>
      </w:pPr>
      <w:r>
        <w:rPr>
          <w:rFonts w:hint="eastAsia" w:ascii="宋体" w:hAnsi="宋体" w:cs="宋体"/>
        </w:rPr>
        <w:t>第四条 股东回报规划的制定及调整</w:t>
      </w:r>
    </w:p>
    <w:p>
      <w:pPr>
        <w:pStyle w:val="67"/>
        <w:ind w:firstLine="480"/>
      </w:pPr>
      <w:r>
        <w:rPr>
          <w:rFonts w:hint="eastAsia"/>
        </w:rPr>
        <w:t>1、公司按照法律、行政法规及规范性文件及监管机构的要求，结合公司实际情况及股东（特别是中小股东）的意见，制定及调整股东回报规划。</w:t>
      </w:r>
    </w:p>
    <w:p>
      <w:pPr>
        <w:pStyle w:val="67"/>
        <w:ind w:firstLine="480"/>
      </w:pPr>
      <w:r>
        <w:rPr>
          <w:rFonts w:hint="eastAsia"/>
        </w:rPr>
        <w:t>2、在充分考虑公司盈利规模、现金流量状况、发展阶段及当期资金需求，并结合股东特别是中小股东意见的基础上，由董事会制定股东回报规划，独立董事对此发表独立意见，并提交股东大会审议通过。</w:t>
      </w:r>
    </w:p>
    <w:p>
      <w:pPr>
        <w:pStyle w:val="67"/>
        <w:ind w:firstLine="480"/>
      </w:pPr>
      <w:r>
        <w:rPr>
          <w:rFonts w:hint="eastAsia"/>
        </w:rPr>
        <w:t>3、公司因外部经营环境或公司自身经营需要，确有必要对公司既定的股东回报规划进行调整的，应由董事会、独立董事审议通过后，提交股东大会以特别决议通过。”</w:t>
      </w:r>
    </w:p>
    <w:p>
      <w:pPr>
        <w:spacing w:line="360" w:lineRule="auto"/>
        <w:ind w:firstLine="720" w:firstLineChars="200"/>
        <w:jc w:val="center"/>
        <w:rPr>
          <w:rFonts w:ascii="Times New Roman" w:hAnsi="Times New Roman" w:eastAsia="黑体" w:cs="Times New Roman"/>
          <w:sz w:val="36"/>
          <w:szCs w:val="36"/>
        </w:rPr>
      </w:pPr>
    </w:p>
    <w:p>
      <w:pPr>
        <w:pStyle w:val="66"/>
        <w:spacing w:afterLines="0"/>
      </w:pPr>
      <w:r>
        <w:br w:type="page"/>
      </w:r>
      <w:bookmarkStart w:id="330" w:name="_Toc67934569"/>
      <w:bookmarkStart w:id="331" w:name="_Toc15504251"/>
      <w:bookmarkStart w:id="332" w:name="_Toc15503620"/>
      <w:bookmarkStart w:id="333" w:name="_Toc529202688"/>
      <w:bookmarkStart w:id="334" w:name="_Toc79406467"/>
      <w:r>
        <w:rPr>
          <w:rFonts w:hint="eastAsia"/>
        </w:rPr>
        <w:t>第七节 摊薄即期回报的风险及采取的措施</w:t>
      </w:r>
      <w:bookmarkEnd w:id="330"/>
      <w:bookmarkEnd w:id="331"/>
      <w:bookmarkEnd w:id="332"/>
      <w:bookmarkEnd w:id="333"/>
      <w:bookmarkEnd w:id="334"/>
    </w:p>
    <w:p>
      <w:pPr>
        <w:pStyle w:val="67"/>
        <w:ind w:firstLine="480"/>
      </w:pPr>
      <w:bookmarkStart w:id="335" w:name="_Toc22734932"/>
      <w:bookmarkStart w:id="336" w:name="_Toc15503621"/>
      <w:bookmarkStart w:id="337" w:name="_Toc15504252"/>
    </w:p>
    <w:p>
      <w:pPr>
        <w:pStyle w:val="69"/>
        <w:spacing w:afterLines="0"/>
        <w:ind w:firstLine="560"/>
      </w:pPr>
      <w:bookmarkStart w:id="338" w:name="_Toc79406468"/>
      <w:r>
        <w:t>一、本次非公开发行摊薄即期收益的风险及对公司主要财务指标的影响分析</w:t>
      </w:r>
      <w:bookmarkEnd w:id="335"/>
      <w:bookmarkEnd w:id="336"/>
      <w:bookmarkEnd w:id="337"/>
      <w:bookmarkEnd w:id="338"/>
    </w:p>
    <w:p>
      <w:pPr>
        <w:pStyle w:val="67"/>
        <w:ind w:firstLine="480"/>
      </w:pPr>
      <w:r>
        <w:rPr>
          <w:rFonts w:hint="eastAsia"/>
        </w:rPr>
        <w:t>本次发行完成后，公司的净资产规模将有所上升。短期内，在募集资金的效用尚不能完全得到发挥的情况下，公司的每股收益、净资产收益率可能会受到一定影响；从中长期看，本次非公开发行募集资金带来的资本金规模增长将有效促进公司业务规模的扩张，进一步提升公司的业务规模和盈利能力。公司将积极采取各种措施提高净资产和资本金的使用效率，以获得良好的净资产收益率。</w:t>
      </w:r>
    </w:p>
    <w:p>
      <w:pPr>
        <w:pStyle w:val="71"/>
        <w:numPr>
          <w:ilvl w:val="0"/>
          <w:numId w:val="4"/>
        </w:numPr>
        <w:spacing w:afterLines="0"/>
        <w:ind w:firstLineChars="0"/>
      </w:pPr>
      <w:bookmarkStart w:id="339" w:name="_Toc15504443"/>
      <w:bookmarkStart w:id="340" w:name="_Toc15504253"/>
      <w:bookmarkStart w:id="341" w:name="_Toc67935125"/>
      <w:bookmarkStart w:id="342" w:name="_Toc22734933"/>
      <w:bookmarkStart w:id="343" w:name="_Toc15503622"/>
      <w:r>
        <w:t>主要假设</w:t>
      </w:r>
      <w:bookmarkEnd w:id="339"/>
      <w:bookmarkEnd w:id="340"/>
      <w:bookmarkEnd w:id="341"/>
      <w:bookmarkEnd w:id="342"/>
      <w:bookmarkEnd w:id="343"/>
    </w:p>
    <w:p>
      <w:pPr>
        <w:pStyle w:val="67"/>
        <w:ind w:firstLine="480"/>
      </w:pPr>
      <w:r>
        <w:rPr>
          <w:rFonts w:hint="eastAsia"/>
        </w:rPr>
        <w:t>1、考虑本次非公开发行的审核和发行需要一定时间，假定本次非公开发行于20</w:t>
      </w:r>
      <w:r>
        <w:t>21</w:t>
      </w:r>
      <w:r>
        <w:rPr>
          <w:rFonts w:hint="eastAsia"/>
        </w:rPr>
        <w:t>年1</w:t>
      </w:r>
      <w:r>
        <w:t>0</w:t>
      </w:r>
      <w:r>
        <w:rPr>
          <w:rFonts w:hint="eastAsia"/>
        </w:rPr>
        <w:t>月实施完毕，该时间仅为估计，最终以中国证监会核准本次发行后的实际完成时间为准。</w:t>
      </w:r>
    </w:p>
    <w:p>
      <w:pPr>
        <w:pStyle w:val="67"/>
        <w:ind w:firstLine="480"/>
      </w:pPr>
      <w:r>
        <w:rPr>
          <w:rFonts w:hint="eastAsia"/>
        </w:rPr>
        <w:t>2、不考虑发行费用，并假设本次非公开发行最终发行数量为发行数量的上限</w:t>
      </w:r>
      <w:r>
        <w:rPr>
          <w:rFonts w:ascii="楷体" w:hAnsi="楷体" w:eastAsia="楷体"/>
          <w:b/>
          <w:bCs/>
          <w:sz w:val="21"/>
          <w:szCs w:val="22"/>
        </w:rPr>
        <w:t>37,091,988</w:t>
      </w:r>
      <w:r>
        <w:rPr>
          <w:rFonts w:hint="eastAsia"/>
        </w:rPr>
        <w:t>股，最终发行股数以经中国证监会核准发行的股份数量为准，同时假设本次非公开发行募集资金总额为本次非公开发行的募集资金总额的上限2</w:t>
      </w:r>
      <w:r>
        <w:t>5,000</w:t>
      </w:r>
      <w:r>
        <w:rPr>
          <w:rFonts w:hint="eastAsia"/>
        </w:rPr>
        <w:t>万元。</w:t>
      </w:r>
    </w:p>
    <w:p>
      <w:pPr>
        <w:pStyle w:val="67"/>
        <w:ind w:firstLine="480"/>
      </w:pPr>
      <w:r>
        <w:rPr>
          <w:rFonts w:hint="eastAsia"/>
        </w:rPr>
        <w:t>3、公司20</w:t>
      </w:r>
      <w:r>
        <w:t>20</w:t>
      </w:r>
      <w:r>
        <w:rPr>
          <w:rFonts w:hint="eastAsia"/>
        </w:rPr>
        <w:t>年度实现归属母公司股东的净利润为人民币</w:t>
      </w:r>
      <w:r>
        <w:t>32</w:t>
      </w:r>
      <w:r>
        <w:rPr>
          <w:rFonts w:hint="eastAsia"/>
        </w:rPr>
        <w:t>,</w:t>
      </w:r>
      <w:r>
        <w:t>485</w:t>
      </w:r>
      <w:r>
        <w:rPr>
          <w:rFonts w:hint="eastAsia"/>
        </w:rPr>
        <w:t>.</w:t>
      </w:r>
      <w:r>
        <w:t>96</w:t>
      </w:r>
      <w:r>
        <w:rPr>
          <w:rFonts w:hint="eastAsia"/>
        </w:rPr>
        <w:t>万元，扣除非经常性损益后归属于母公司所有者净利润为</w:t>
      </w:r>
      <w:r>
        <w:t>29</w:t>
      </w:r>
      <w:r>
        <w:rPr>
          <w:rFonts w:hint="eastAsia"/>
        </w:rPr>
        <w:t>,0</w:t>
      </w:r>
      <w:r>
        <w:t>79</w:t>
      </w:r>
      <w:r>
        <w:rPr>
          <w:rFonts w:hint="eastAsia"/>
        </w:rPr>
        <w:t>.</w:t>
      </w:r>
      <w:r>
        <w:t>00</w:t>
      </w:r>
      <w:r>
        <w:rPr>
          <w:rFonts w:hint="eastAsia"/>
        </w:rPr>
        <w:t>万元，假设20</w:t>
      </w:r>
      <w:r>
        <w:t>21</w:t>
      </w:r>
      <w:r>
        <w:rPr>
          <w:rFonts w:hint="eastAsia"/>
        </w:rPr>
        <w:t>年度扣除非经常性损益后归属于母公司所有者净利润分为以下三种情况：</w:t>
      </w:r>
    </w:p>
    <w:p>
      <w:pPr>
        <w:pStyle w:val="67"/>
        <w:ind w:firstLine="480"/>
      </w:pPr>
      <w:r>
        <w:rPr>
          <w:rFonts w:hint="eastAsia"/>
        </w:rPr>
        <w:t>（1）较20</w:t>
      </w:r>
      <w:r>
        <w:t>20</w:t>
      </w:r>
      <w:r>
        <w:rPr>
          <w:rFonts w:hint="eastAsia"/>
        </w:rPr>
        <w:t>年增长</w:t>
      </w:r>
      <w:r>
        <w:t>1</w:t>
      </w:r>
      <w:r>
        <w:rPr>
          <w:rFonts w:hint="eastAsia"/>
        </w:rPr>
        <w:t>0%；</w:t>
      </w:r>
    </w:p>
    <w:p>
      <w:pPr>
        <w:pStyle w:val="67"/>
        <w:ind w:firstLine="480"/>
      </w:pPr>
      <w:r>
        <w:rPr>
          <w:rFonts w:hint="eastAsia"/>
        </w:rPr>
        <w:t>（2）与20</w:t>
      </w:r>
      <w:r>
        <w:t>20</w:t>
      </w:r>
      <w:r>
        <w:rPr>
          <w:rFonts w:hint="eastAsia"/>
        </w:rPr>
        <w:t>年持平；</w:t>
      </w:r>
    </w:p>
    <w:p>
      <w:pPr>
        <w:pStyle w:val="67"/>
        <w:ind w:firstLine="480"/>
      </w:pPr>
      <w:r>
        <w:rPr>
          <w:rFonts w:hint="eastAsia"/>
        </w:rPr>
        <w:t>（3）较20</w:t>
      </w:r>
      <w:r>
        <w:t>20</w:t>
      </w:r>
      <w:r>
        <w:rPr>
          <w:rFonts w:hint="eastAsia"/>
        </w:rPr>
        <w:t>年降低</w:t>
      </w:r>
      <w:r>
        <w:t>1</w:t>
      </w:r>
      <w:r>
        <w:rPr>
          <w:rFonts w:hint="eastAsia"/>
        </w:rPr>
        <w:t>0%；</w:t>
      </w:r>
    </w:p>
    <w:p>
      <w:pPr>
        <w:pStyle w:val="67"/>
        <w:ind w:firstLine="480"/>
      </w:pPr>
      <w:r>
        <w:rPr>
          <w:rFonts w:hint="eastAsia"/>
        </w:rPr>
        <w:t>4、假设不考虑本次发行募集资金到账后，对公司生产经营、财务状况（如财务费用、理财收益）等的影响。</w:t>
      </w:r>
    </w:p>
    <w:p>
      <w:pPr>
        <w:pStyle w:val="67"/>
        <w:ind w:firstLine="480"/>
      </w:pPr>
      <w:r>
        <w:rPr>
          <w:rFonts w:hint="eastAsia"/>
        </w:rPr>
        <w:t>5、假设宏观经济环境、公司所处行业情况没有发生重大不利变化。</w:t>
      </w:r>
    </w:p>
    <w:p>
      <w:pPr>
        <w:pStyle w:val="67"/>
        <w:ind w:firstLine="480"/>
      </w:pPr>
      <w:r>
        <w:rPr>
          <w:rFonts w:hint="eastAsia"/>
        </w:rPr>
        <w:t>6、在预测公司本次发行后净资产时，不考虑除本次发行募集资金、净利润之外的其他因素对公司净资产的影响。</w:t>
      </w:r>
    </w:p>
    <w:p>
      <w:pPr>
        <w:pStyle w:val="67"/>
        <w:ind w:firstLine="480"/>
      </w:pPr>
      <w:r>
        <w:rPr>
          <w:rFonts w:hint="eastAsia"/>
        </w:rPr>
        <w:t>7、在预测公司总股本时，以截至2</w:t>
      </w:r>
      <w:r>
        <w:t>020</w:t>
      </w:r>
      <w:r>
        <w:rPr>
          <w:rFonts w:hint="eastAsia"/>
        </w:rPr>
        <w:t>年1</w:t>
      </w:r>
      <w:r>
        <w:t>2</w:t>
      </w:r>
      <w:r>
        <w:rPr>
          <w:rFonts w:hint="eastAsia"/>
        </w:rPr>
        <w:t>月3</w:t>
      </w:r>
      <w:r>
        <w:t>1</w:t>
      </w:r>
      <w:r>
        <w:rPr>
          <w:rFonts w:hint="eastAsia"/>
        </w:rPr>
        <w:t>日总股本</w:t>
      </w:r>
      <w:r>
        <w:rPr>
          <w:kern w:val="0"/>
          <w:szCs w:val="21"/>
        </w:rPr>
        <w:t>621,</w:t>
      </w:r>
      <w:r>
        <w:rPr>
          <w:rFonts w:hint="eastAsia"/>
          <w:kern w:val="0"/>
          <w:szCs w:val="21"/>
        </w:rPr>
        <w:t>859</w:t>
      </w:r>
      <w:r>
        <w:rPr>
          <w:kern w:val="0"/>
          <w:szCs w:val="21"/>
        </w:rPr>
        <w:t>,447</w:t>
      </w:r>
      <w:r>
        <w:rPr>
          <w:rFonts w:hint="eastAsia"/>
          <w:kern w:val="0"/>
          <w:szCs w:val="21"/>
        </w:rPr>
        <w:t>股为基础，2</w:t>
      </w:r>
      <w:r>
        <w:rPr>
          <w:kern w:val="0"/>
          <w:szCs w:val="21"/>
        </w:rPr>
        <w:t>021</w:t>
      </w:r>
      <w:r>
        <w:rPr>
          <w:rFonts w:hint="eastAsia"/>
          <w:kern w:val="0"/>
          <w:szCs w:val="21"/>
        </w:rPr>
        <w:t>年1月因公司 2018 年股票期权激励计划第一个行权期行权完毕，新增</w:t>
      </w:r>
      <w:r>
        <w:rPr>
          <w:kern w:val="0"/>
          <w:szCs w:val="21"/>
        </w:rPr>
        <w:t>A</w:t>
      </w:r>
      <w:r>
        <w:rPr>
          <w:rFonts w:hint="eastAsia"/>
          <w:kern w:val="0"/>
          <w:szCs w:val="21"/>
        </w:rPr>
        <w:t>股股份550.8</w:t>
      </w:r>
      <w:r>
        <w:rPr>
          <w:kern w:val="0"/>
          <w:szCs w:val="21"/>
        </w:rPr>
        <w:t>0</w:t>
      </w:r>
      <w:r>
        <w:rPr>
          <w:rFonts w:hint="eastAsia"/>
          <w:kern w:val="0"/>
          <w:szCs w:val="21"/>
        </w:rPr>
        <w:t>万股，</w:t>
      </w:r>
      <w:r>
        <w:t>假设除上述事项和本次</w:t>
      </w:r>
      <w:r>
        <w:rPr>
          <w:rFonts w:hint="eastAsia"/>
        </w:rPr>
        <w:t>非公开发行外</w:t>
      </w:r>
      <w:r>
        <w:t>，不考虑其他未来导致股本变动的事项</w:t>
      </w:r>
      <w:r>
        <w:rPr>
          <w:rFonts w:hint="eastAsia"/>
        </w:rPr>
        <w:t>。</w:t>
      </w:r>
    </w:p>
    <w:p>
      <w:pPr>
        <w:pStyle w:val="67"/>
        <w:ind w:firstLine="480"/>
      </w:pPr>
      <w:r>
        <w:t>8</w:t>
      </w:r>
      <w:r>
        <w:rPr>
          <w:rFonts w:hint="eastAsia"/>
        </w:rPr>
        <w:t>、上述假设仅为测算本次非公开发行摊薄即期回报对公司主要财务指标的影响，不代表公司对20</w:t>
      </w:r>
      <w:r>
        <w:t>21</w:t>
      </w:r>
      <w:r>
        <w:rPr>
          <w:rFonts w:hint="eastAsia"/>
        </w:rPr>
        <w:t>年经营情况及趋势的判断，亦不构成盈利预测。投资者不应据此进行投资决策，投资者据此进行投资决策造成损失的，公司不承担赔偿责任。</w:t>
      </w:r>
    </w:p>
    <w:p>
      <w:pPr>
        <w:pStyle w:val="71"/>
        <w:spacing w:afterLines="0"/>
        <w:ind w:firstLine="482"/>
      </w:pPr>
      <w:bookmarkStart w:id="344" w:name="_Toc15504254"/>
      <w:bookmarkStart w:id="345" w:name="_Toc22734934"/>
      <w:bookmarkStart w:id="346" w:name="_Toc67935126"/>
      <w:bookmarkStart w:id="347" w:name="_Toc15503623"/>
      <w:bookmarkStart w:id="348" w:name="_Toc15504444"/>
      <w:r>
        <w:t>（二）对公司主要财务指标的影响</w:t>
      </w:r>
      <w:bookmarkEnd w:id="344"/>
      <w:bookmarkEnd w:id="345"/>
      <w:bookmarkEnd w:id="346"/>
      <w:bookmarkEnd w:id="347"/>
      <w:bookmarkEnd w:id="348"/>
    </w:p>
    <w:p>
      <w:pPr>
        <w:pStyle w:val="67"/>
        <w:ind w:firstLine="480"/>
      </w:pPr>
      <w:r>
        <w:rPr>
          <w:rFonts w:hint="eastAsia"/>
        </w:rPr>
        <w:t>基于上述假设，公司测算了本次非公开发行对主要财务指标的影响，具体情况如下：</w:t>
      </w:r>
    </w:p>
    <w:tbl>
      <w:tblPr>
        <w:tblStyle w:val="31"/>
        <w:tblW w:w="9000" w:type="dxa"/>
        <w:tblInd w:w="0" w:type="dxa"/>
        <w:tblLayout w:type="fixed"/>
        <w:tblCellMar>
          <w:top w:w="0" w:type="dxa"/>
          <w:left w:w="108" w:type="dxa"/>
          <w:bottom w:w="0" w:type="dxa"/>
          <w:right w:w="108" w:type="dxa"/>
        </w:tblCellMar>
      </w:tblPr>
      <w:tblGrid>
        <w:gridCol w:w="2611"/>
        <w:gridCol w:w="2000"/>
        <w:gridCol w:w="2155"/>
        <w:gridCol w:w="2234"/>
      </w:tblGrid>
      <w:tr>
        <w:tblPrEx>
          <w:tblLayout w:type="fixed"/>
          <w:tblCellMar>
            <w:top w:w="0" w:type="dxa"/>
            <w:left w:w="108" w:type="dxa"/>
            <w:bottom w:w="0" w:type="dxa"/>
            <w:right w:w="108" w:type="dxa"/>
          </w:tblCellMar>
        </w:tblPrEx>
        <w:trPr>
          <w:trHeight w:val="327" w:hRule="atLeast"/>
        </w:trPr>
        <w:tc>
          <w:tcPr>
            <w:tcW w:w="2611"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b/>
                <w:color w:val="333333"/>
                <w:kern w:val="0"/>
                <w:szCs w:val="21"/>
              </w:rPr>
            </w:pPr>
            <w:r>
              <w:rPr>
                <w:rFonts w:hint="eastAsia" w:ascii="Times New Roman" w:hAnsi="Times New Roman" w:eastAsia="宋体" w:cs="Times New Roman"/>
                <w:b/>
                <w:color w:val="333333"/>
                <w:kern w:val="0"/>
                <w:szCs w:val="21"/>
              </w:rPr>
              <w:t>项目</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b/>
                <w:color w:val="333333"/>
                <w:kern w:val="0"/>
                <w:szCs w:val="21"/>
              </w:rPr>
            </w:pPr>
            <w:r>
              <w:rPr>
                <w:rFonts w:ascii="Times New Roman" w:hAnsi="Times New Roman" w:eastAsia="宋体" w:cs="Times New Roman"/>
                <w:b/>
                <w:color w:val="333333"/>
                <w:kern w:val="0"/>
                <w:szCs w:val="21"/>
              </w:rPr>
              <w:t>2020</w:t>
            </w:r>
            <w:r>
              <w:rPr>
                <w:rFonts w:hint="eastAsia" w:ascii="Times New Roman" w:hAnsi="Times New Roman" w:eastAsia="宋体" w:cs="Times New Roman"/>
                <w:b/>
                <w:color w:val="333333"/>
                <w:kern w:val="0"/>
                <w:szCs w:val="21"/>
              </w:rPr>
              <w:t>年度</w:t>
            </w:r>
            <w:r>
              <w:rPr>
                <w:rFonts w:ascii="Times New Roman" w:hAnsi="Times New Roman" w:eastAsia="宋体" w:cs="Times New Roman"/>
                <w:b/>
                <w:color w:val="333333"/>
                <w:kern w:val="0"/>
                <w:szCs w:val="21"/>
              </w:rPr>
              <w:t>/2020</w:t>
            </w:r>
            <w:r>
              <w:rPr>
                <w:rFonts w:hint="eastAsia" w:ascii="Times New Roman" w:hAnsi="Times New Roman" w:eastAsia="宋体" w:cs="Times New Roman"/>
                <w:b/>
                <w:color w:val="333333"/>
                <w:kern w:val="0"/>
                <w:szCs w:val="21"/>
              </w:rPr>
              <w:t>年</w:t>
            </w:r>
            <w:r>
              <w:rPr>
                <w:rFonts w:ascii="Times New Roman" w:hAnsi="Times New Roman" w:eastAsia="宋体" w:cs="Times New Roman"/>
                <w:b/>
                <w:color w:val="333333"/>
                <w:kern w:val="0"/>
                <w:szCs w:val="21"/>
              </w:rPr>
              <w:t>12</w:t>
            </w:r>
            <w:r>
              <w:rPr>
                <w:rFonts w:hint="eastAsia" w:ascii="Times New Roman" w:hAnsi="Times New Roman" w:eastAsia="宋体" w:cs="Times New Roman"/>
                <w:b/>
                <w:color w:val="333333"/>
                <w:kern w:val="0"/>
                <w:szCs w:val="21"/>
              </w:rPr>
              <w:t>月</w:t>
            </w:r>
            <w:r>
              <w:rPr>
                <w:rFonts w:ascii="Times New Roman" w:hAnsi="Times New Roman" w:eastAsia="宋体" w:cs="Times New Roman"/>
                <w:b/>
                <w:color w:val="333333"/>
                <w:kern w:val="0"/>
                <w:szCs w:val="21"/>
              </w:rPr>
              <w:t>31</w:t>
            </w:r>
            <w:r>
              <w:rPr>
                <w:rFonts w:hint="eastAsia" w:ascii="Times New Roman" w:hAnsi="Times New Roman" w:eastAsia="宋体" w:cs="Times New Roman"/>
                <w:b/>
                <w:color w:val="333333"/>
                <w:kern w:val="0"/>
                <w:szCs w:val="21"/>
              </w:rPr>
              <w:t>日</w:t>
            </w:r>
          </w:p>
        </w:tc>
        <w:tc>
          <w:tcPr>
            <w:tcW w:w="4389"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b/>
                <w:color w:val="333333"/>
                <w:kern w:val="0"/>
                <w:szCs w:val="21"/>
              </w:rPr>
            </w:pPr>
            <w:r>
              <w:rPr>
                <w:rFonts w:ascii="Times New Roman" w:hAnsi="Times New Roman" w:eastAsia="宋体" w:cs="Times New Roman"/>
                <w:b/>
                <w:color w:val="333333"/>
                <w:kern w:val="0"/>
                <w:szCs w:val="21"/>
              </w:rPr>
              <w:t>2021</w:t>
            </w:r>
            <w:r>
              <w:rPr>
                <w:rFonts w:hint="eastAsia" w:ascii="Times New Roman" w:hAnsi="Times New Roman" w:eastAsia="宋体" w:cs="Times New Roman"/>
                <w:b/>
                <w:color w:val="333333"/>
                <w:kern w:val="0"/>
                <w:szCs w:val="21"/>
              </w:rPr>
              <w:t>年度</w:t>
            </w:r>
            <w:r>
              <w:rPr>
                <w:rFonts w:ascii="Times New Roman" w:hAnsi="Times New Roman" w:eastAsia="宋体" w:cs="Times New Roman"/>
                <w:b/>
                <w:color w:val="333333"/>
                <w:kern w:val="0"/>
                <w:szCs w:val="21"/>
              </w:rPr>
              <w:t>/2021</w:t>
            </w:r>
            <w:r>
              <w:rPr>
                <w:rFonts w:hint="eastAsia" w:ascii="Times New Roman" w:hAnsi="Times New Roman" w:eastAsia="宋体" w:cs="Times New Roman"/>
                <w:b/>
                <w:color w:val="333333"/>
                <w:kern w:val="0"/>
                <w:szCs w:val="21"/>
              </w:rPr>
              <w:t>年</w:t>
            </w:r>
            <w:r>
              <w:rPr>
                <w:rFonts w:ascii="Times New Roman" w:hAnsi="Times New Roman" w:eastAsia="宋体" w:cs="Times New Roman"/>
                <w:b/>
                <w:color w:val="333333"/>
                <w:kern w:val="0"/>
                <w:szCs w:val="21"/>
              </w:rPr>
              <w:t>12</w:t>
            </w:r>
            <w:r>
              <w:rPr>
                <w:rFonts w:hint="eastAsia" w:ascii="Times New Roman" w:hAnsi="Times New Roman" w:eastAsia="宋体" w:cs="Times New Roman"/>
                <w:b/>
                <w:color w:val="333333"/>
                <w:kern w:val="0"/>
                <w:szCs w:val="21"/>
              </w:rPr>
              <w:t>月</w:t>
            </w:r>
            <w:r>
              <w:rPr>
                <w:rFonts w:ascii="Times New Roman" w:hAnsi="Times New Roman" w:eastAsia="宋体" w:cs="Times New Roman"/>
                <w:b/>
                <w:color w:val="333333"/>
                <w:kern w:val="0"/>
                <w:szCs w:val="21"/>
              </w:rPr>
              <w:t>31</w:t>
            </w:r>
            <w:r>
              <w:rPr>
                <w:rFonts w:hint="eastAsia" w:ascii="Times New Roman" w:hAnsi="Times New Roman" w:eastAsia="宋体" w:cs="Times New Roman"/>
                <w:b/>
                <w:color w:val="333333"/>
                <w:kern w:val="0"/>
                <w:szCs w:val="21"/>
              </w:rPr>
              <w:t>日</w:t>
            </w:r>
          </w:p>
        </w:tc>
      </w:tr>
      <w:tr>
        <w:tblPrEx>
          <w:tblLayout w:type="fixed"/>
          <w:tblCellMar>
            <w:top w:w="0" w:type="dxa"/>
            <w:left w:w="108" w:type="dxa"/>
            <w:bottom w:w="0" w:type="dxa"/>
            <w:right w:w="108" w:type="dxa"/>
          </w:tblCellMar>
        </w:tblPrEx>
        <w:trPr>
          <w:trHeight w:val="327" w:hRule="atLeast"/>
        </w:trPr>
        <w:tc>
          <w:tcPr>
            <w:tcW w:w="2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Times New Roman" w:hAnsi="Times New Roman" w:eastAsia="宋体" w:cs="Times New Roman"/>
                <w:b/>
                <w:color w:val="333333"/>
                <w:kern w:val="0"/>
                <w:szCs w:val="21"/>
              </w:rPr>
            </w:pPr>
          </w:p>
        </w:tc>
        <w:tc>
          <w:tcPr>
            <w:tcW w:w="20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Times New Roman" w:hAnsi="Times New Roman" w:eastAsia="宋体" w:cs="Times New Roman"/>
                <w:b/>
                <w:color w:val="333333"/>
                <w:kern w:val="0"/>
                <w:szCs w:val="21"/>
              </w:rPr>
            </w:pPr>
          </w:p>
        </w:tc>
        <w:tc>
          <w:tcPr>
            <w:tcW w:w="2155" w:type="dxa"/>
            <w:tcBorders>
              <w:top w:val="nil"/>
              <w:left w:val="nil"/>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b/>
                <w:color w:val="333333"/>
                <w:kern w:val="0"/>
                <w:szCs w:val="21"/>
              </w:rPr>
            </w:pPr>
            <w:r>
              <w:rPr>
                <w:rFonts w:hint="eastAsia" w:ascii="Times New Roman" w:hAnsi="Times New Roman" w:eastAsia="宋体" w:cs="Times New Roman"/>
                <w:b/>
                <w:color w:val="333333"/>
                <w:kern w:val="0"/>
                <w:szCs w:val="21"/>
              </w:rPr>
              <w:t>本次发行前</w:t>
            </w:r>
          </w:p>
        </w:tc>
        <w:tc>
          <w:tcPr>
            <w:tcW w:w="2234" w:type="dxa"/>
            <w:tcBorders>
              <w:top w:val="nil"/>
              <w:left w:val="nil"/>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b/>
                <w:color w:val="333333"/>
                <w:kern w:val="0"/>
                <w:szCs w:val="21"/>
              </w:rPr>
            </w:pPr>
            <w:r>
              <w:rPr>
                <w:rFonts w:hint="eastAsia" w:ascii="Times New Roman" w:hAnsi="Times New Roman" w:eastAsia="宋体" w:cs="Times New Roman"/>
                <w:b/>
                <w:color w:val="333333"/>
                <w:kern w:val="0"/>
                <w:szCs w:val="21"/>
              </w:rPr>
              <w:t>本次发行后</w:t>
            </w:r>
          </w:p>
        </w:tc>
      </w:tr>
      <w:tr>
        <w:tblPrEx>
          <w:tblLayout w:type="fixed"/>
          <w:tblCellMar>
            <w:top w:w="0" w:type="dxa"/>
            <w:left w:w="108" w:type="dxa"/>
            <w:bottom w:w="0" w:type="dxa"/>
            <w:right w:w="108" w:type="dxa"/>
          </w:tblCellMar>
        </w:tblPrEx>
        <w:trPr>
          <w:trHeight w:val="529"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总股本（股）</w:t>
            </w:r>
          </w:p>
        </w:tc>
        <w:tc>
          <w:tcPr>
            <w:tcW w:w="2000" w:type="dxa"/>
            <w:tcBorders>
              <w:top w:val="single" w:color="000000" w:sz="4" w:space="0"/>
              <w:left w:val="nil"/>
              <w:bottom w:val="nil"/>
              <w:right w:val="single" w:color="auto" w:sz="4" w:space="0"/>
            </w:tcBorders>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621,</w:t>
            </w:r>
            <w:r>
              <w:rPr>
                <w:rFonts w:hint="eastAsia" w:ascii="Times New Roman" w:hAnsi="Times New Roman" w:eastAsia="宋体" w:cs="Times New Roman"/>
                <w:kern w:val="0"/>
                <w:szCs w:val="21"/>
              </w:rPr>
              <w:t>859</w:t>
            </w:r>
            <w:r>
              <w:rPr>
                <w:rFonts w:ascii="Times New Roman" w:hAnsi="Times New Roman" w:eastAsia="宋体" w:cs="Times New Roman"/>
                <w:kern w:val="0"/>
                <w:szCs w:val="21"/>
              </w:rPr>
              <w:t xml:space="preserve">,447 </w:t>
            </w:r>
          </w:p>
        </w:tc>
        <w:tc>
          <w:tcPr>
            <w:tcW w:w="2155" w:type="dxa"/>
            <w:tcBorders>
              <w:top w:val="nil"/>
              <w:left w:val="single" w:color="auto" w:sz="4" w:space="0"/>
              <w:bottom w:val="nil"/>
              <w:right w:val="nil"/>
            </w:tcBorders>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627,367,447 </w:t>
            </w:r>
          </w:p>
        </w:tc>
        <w:tc>
          <w:tcPr>
            <w:tcW w:w="2234"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tLeast"/>
              <w:jc w:val="center"/>
              <w:rPr>
                <w:rFonts w:ascii="楷体" w:hAnsi="楷体" w:eastAsia="楷体" w:cs="Times New Roman"/>
                <w:kern w:val="0"/>
                <w:szCs w:val="21"/>
              </w:rPr>
            </w:pPr>
            <w:r>
              <w:rPr>
                <w:rFonts w:ascii="楷体" w:hAnsi="楷体" w:eastAsia="楷体"/>
                <w:b/>
                <w:color w:val="000000"/>
                <w:szCs w:val="21"/>
              </w:rPr>
              <w:t>664,459,435</w:t>
            </w:r>
          </w:p>
        </w:tc>
      </w:tr>
      <w:tr>
        <w:tblPrEx>
          <w:tblLayout w:type="fixed"/>
          <w:tblCellMar>
            <w:top w:w="0" w:type="dxa"/>
            <w:left w:w="108" w:type="dxa"/>
            <w:bottom w:w="0" w:type="dxa"/>
            <w:right w:w="108" w:type="dxa"/>
          </w:tblCellMar>
        </w:tblPrEx>
        <w:trPr>
          <w:trHeight w:val="327" w:hRule="atLeast"/>
        </w:trPr>
        <w:tc>
          <w:tcPr>
            <w:tcW w:w="9000"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假设情形（1）：2021年净利润不增长</w:t>
            </w:r>
          </w:p>
        </w:tc>
      </w:tr>
      <w:tr>
        <w:tblPrEx>
          <w:tblLayout w:type="fixed"/>
          <w:tblCellMar>
            <w:top w:w="0" w:type="dxa"/>
            <w:left w:w="108" w:type="dxa"/>
            <w:bottom w:w="0" w:type="dxa"/>
            <w:right w:w="108" w:type="dxa"/>
          </w:tblCellMar>
        </w:tblPrEx>
        <w:trPr>
          <w:trHeight w:val="645"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当期归属于母公司净利润（万元）</w:t>
            </w:r>
          </w:p>
        </w:tc>
        <w:tc>
          <w:tcPr>
            <w:tcW w:w="2000"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32,485.96</w:t>
            </w:r>
          </w:p>
        </w:tc>
        <w:tc>
          <w:tcPr>
            <w:tcW w:w="2155"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32,485.96</w:t>
            </w:r>
          </w:p>
        </w:tc>
        <w:tc>
          <w:tcPr>
            <w:tcW w:w="2234"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32,485.96</w:t>
            </w:r>
          </w:p>
        </w:tc>
      </w:tr>
      <w:tr>
        <w:tblPrEx>
          <w:tblLayout w:type="fixed"/>
          <w:tblCellMar>
            <w:top w:w="0" w:type="dxa"/>
            <w:left w:w="108" w:type="dxa"/>
            <w:bottom w:w="0" w:type="dxa"/>
            <w:right w:w="108" w:type="dxa"/>
          </w:tblCellMar>
        </w:tblPrEx>
        <w:trPr>
          <w:trHeight w:val="962"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归属于上市公司股东的扣除非经常性损益的净利润(万元）</w:t>
            </w:r>
          </w:p>
        </w:tc>
        <w:tc>
          <w:tcPr>
            <w:tcW w:w="2000"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29,079.00 </w:t>
            </w:r>
          </w:p>
        </w:tc>
        <w:tc>
          <w:tcPr>
            <w:tcW w:w="2155"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29,079.00 </w:t>
            </w:r>
          </w:p>
        </w:tc>
        <w:tc>
          <w:tcPr>
            <w:tcW w:w="2234" w:type="dxa"/>
            <w:tcBorders>
              <w:top w:val="nil"/>
              <w:left w:val="nil"/>
              <w:bottom w:val="single" w:color="auto"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29,079.00 </w:t>
            </w:r>
          </w:p>
        </w:tc>
      </w:tr>
      <w:tr>
        <w:tblPrEx>
          <w:tblLayout w:type="fixed"/>
          <w:tblCellMar>
            <w:top w:w="0" w:type="dxa"/>
            <w:left w:w="108" w:type="dxa"/>
            <w:bottom w:w="0" w:type="dxa"/>
            <w:right w:w="108" w:type="dxa"/>
          </w:tblCellMar>
        </w:tblPrEx>
        <w:trPr>
          <w:trHeight w:val="355"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基本每股收益（元/股）</w:t>
            </w:r>
          </w:p>
        </w:tc>
        <w:tc>
          <w:tcPr>
            <w:tcW w:w="2000"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0.52</w:t>
            </w:r>
          </w:p>
        </w:tc>
        <w:tc>
          <w:tcPr>
            <w:tcW w:w="2155" w:type="dxa"/>
            <w:tcBorders>
              <w:top w:val="nil"/>
              <w:left w:val="nil"/>
              <w:bottom w:val="single" w:color="000000" w:sz="4" w:space="0"/>
              <w:right w:val="single" w:color="auto"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0.52</w:t>
            </w:r>
          </w:p>
        </w:tc>
        <w:tc>
          <w:tcPr>
            <w:tcW w:w="22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等线" w:cs="Times New Roman"/>
                <w:color w:val="000000"/>
                <w:szCs w:val="21"/>
              </w:rPr>
              <w:t>0.51</w:t>
            </w:r>
          </w:p>
        </w:tc>
      </w:tr>
      <w:tr>
        <w:tblPrEx>
          <w:tblLayout w:type="fixed"/>
          <w:tblCellMar>
            <w:top w:w="0" w:type="dxa"/>
            <w:left w:w="108" w:type="dxa"/>
            <w:bottom w:w="0" w:type="dxa"/>
            <w:right w:w="108" w:type="dxa"/>
          </w:tblCellMar>
        </w:tblPrEx>
        <w:trPr>
          <w:trHeight w:val="645"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基本每股收益（扣非后）（元/股）</w:t>
            </w:r>
          </w:p>
        </w:tc>
        <w:tc>
          <w:tcPr>
            <w:tcW w:w="2000"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0.47 </w:t>
            </w:r>
          </w:p>
        </w:tc>
        <w:tc>
          <w:tcPr>
            <w:tcW w:w="2155" w:type="dxa"/>
            <w:tcBorders>
              <w:top w:val="nil"/>
              <w:left w:val="nil"/>
              <w:bottom w:val="single" w:color="000000" w:sz="4" w:space="0"/>
              <w:right w:val="single" w:color="auto"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0.46 </w:t>
            </w:r>
          </w:p>
        </w:tc>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等线" w:cs="Times New Roman"/>
                <w:color w:val="000000"/>
                <w:szCs w:val="21"/>
              </w:rPr>
              <w:t>0.46</w:t>
            </w:r>
          </w:p>
        </w:tc>
      </w:tr>
      <w:tr>
        <w:tblPrEx>
          <w:tblLayout w:type="fixed"/>
          <w:tblCellMar>
            <w:top w:w="0" w:type="dxa"/>
            <w:left w:w="108" w:type="dxa"/>
            <w:bottom w:w="0" w:type="dxa"/>
            <w:right w:w="108" w:type="dxa"/>
          </w:tblCellMar>
        </w:tblPrEx>
        <w:trPr>
          <w:trHeight w:val="327"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稀释</w:t>
            </w:r>
            <w:r>
              <w:rPr>
                <w:rFonts w:ascii="Times New Roman" w:hAnsi="Times New Roman" w:eastAsia="宋体" w:cs="Times New Roman"/>
                <w:color w:val="333333"/>
                <w:kern w:val="0"/>
                <w:szCs w:val="21"/>
              </w:rPr>
              <w:t>每股收益（元/股）</w:t>
            </w:r>
          </w:p>
        </w:tc>
        <w:tc>
          <w:tcPr>
            <w:tcW w:w="2000"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color w:val="333333"/>
                <w:kern w:val="0"/>
                <w:szCs w:val="21"/>
              </w:rPr>
              <w:t>0.52</w:t>
            </w:r>
          </w:p>
        </w:tc>
        <w:tc>
          <w:tcPr>
            <w:tcW w:w="2155" w:type="dxa"/>
            <w:tcBorders>
              <w:top w:val="nil"/>
              <w:left w:val="nil"/>
              <w:bottom w:val="single" w:color="000000" w:sz="4" w:space="0"/>
              <w:right w:val="single" w:color="auto"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color w:val="333333"/>
                <w:kern w:val="0"/>
                <w:szCs w:val="21"/>
              </w:rPr>
              <w:t>0.52</w:t>
            </w:r>
          </w:p>
        </w:tc>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等线" w:cs="Times New Roman"/>
                <w:color w:val="000000"/>
                <w:szCs w:val="21"/>
              </w:rPr>
              <w:t>0.51</w:t>
            </w:r>
          </w:p>
        </w:tc>
      </w:tr>
      <w:tr>
        <w:tblPrEx>
          <w:tblLayout w:type="fixed"/>
          <w:tblCellMar>
            <w:top w:w="0" w:type="dxa"/>
            <w:left w:w="108" w:type="dxa"/>
            <w:bottom w:w="0" w:type="dxa"/>
            <w:right w:w="108" w:type="dxa"/>
          </w:tblCellMar>
        </w:tblPrEx>
        <w:trPr>
          <w:trHeight w:val="645"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稀释</w:t>
            </w:r>
            <w:r>
              <w:rPr>
                <w:rFonts w:ascii="Times New Roman" w:hAnsi="Times New Roman" w:eastAsia="宋体" w:cs="Times New Roman"/>
                <w:color w:val="333333"/>
                <w:kern w:val="0"/>
                <w:szCs w:val="21"/>
              </w:rPr>
              <w:t>每股收益（扣非后）（元/股）</w:t>
            </w:r>
          </w:p>
        </w:tc>
        <w:tc>
          <w:tcPr>
            <w:tcW w:w="2000"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0.47 </w:t>
            </w:r>
          </w:p>
        </w:tc>
        <w:tc>
          <w:tcPr>
            <w:tcW w:w="2155" w:type="dxa"/>
            <w:tcBorders>
              <w:top w:val="nil"/>
              <w:left w:val="nil"/>
              <w:bottom w:val="single" w:color="000000" w:sz="4" w:space="0"/>
              <w:right w:val="single" w:color="auto"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0.46 </w:t>
            </w:r>
          </w:p>
        </w:tc>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等线" w:cs="Times New Roman"/>
                <w:color w:val="000000"/>
                <w:szCs w:val="21"/>
              </w:rPr>
              <w:t>0.46</w:t>
            </w:r>
          </w:p>
        </w:tc>
      </w:tr>
      <w:tr>
        <w:tblPrEx>
          <w:tblLayout w:type="fixed"/>
          <w:tblCellMar>
            <w:top w:w="0" w:type="dxa"/>
            <w:left w:w="108" w:type="dxa"/>
            <w:bottom w:w="0" w:type="dxa"/>
            <w:right w:w="108" w:type="dxa"/>
          </w:tblCellMar>
        </w:tblPrEx>
        <w:trPr>
          <w:trHeight w:val="327" w:hRule="atLeast"/>
        </w:trPr>
        <w:tc>
          <w:tcPr>
            <w:tcW w:w="9000"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假设情形（2）：2021年净利润增长10%</w:t>
            </w:r>
          </w:p>
        </w:tc>
      </w:tr>
      <w:tr>
        <w:tblPrEx>
          <w:tblLayout w:type="fixed"/>
          <w:tblCellMar>
            <w:top w:w="0" w:type="dxa"/>
            <w:left w:w="108" w:type="dxa"/>
            <w:bottom w:w="0" w:type="dxa"/>
            <w:right w:w="108" w:type="dxa"/>
          </w:tblCellMar>
        </w:tblPrEx>
        <w:trPr>
          <w:trHeight w:val="645"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当期归属于母公司净利润（万元）</w:t>
            </w:r>
          </w:p>
        </w:tc>
        <w:tc>
          <w:tcPr>
            <w:tcW w:w="2000"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32,485.96</w:t>
            </w:r>
          </w:p>
        </w:tc>
        <w:tc>
          <w:tcPr>
            <w:tcW w:w="2155"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35,734.55</w:t>
            </w:r>
          </w:p>
        </w:tc>
        <w:tc>
          <w:tcPr>
            <w:tcW w:w="2234"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35,734.55</w:t>
            </w:r>
          </w:p>
        </w:tc>
      </w:tr>
      <w:tr>
        <w:tblPrEx>
          <w:tblLayout w:type="fixed"/>
          <w:tblCellMar>
            <w:top w:w="0" w:type="dxa"/>
            <w:left w:w="108" w:type="dxa"/>
            <w:bottom w:w="0" w:type="dxa"/>
            <w:right w:w="108" w:type="dxa"/>
          </w:tblCellMar>
        </w:tblPrEx>
        <w:trPr>
          <w:trHeight w:val="962"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归属于上市公司股东的扣除非经常性损益的净利润(万元）</w:t>
            </w:r>
          </w:p>
        </w:tc>
        <w:tc>
          <w:tcPr>
            <w:tcW w:w="2000"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29,079.00 </w:t>
            </w:r>
          </w:p>
        </w:tc>
        <w:tc>
          <w:tcPr>
            <w:tcW w:w="2155"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31,986.90 </w:t>
            </w:r>
          </w:p>
        </w:tc>
        <w:tc>
          <w:tcPr>
            <w:tcW w:w="2234" w:type="dxa"/>
            <w:tcBorders>
              <w:top w:val="nil"/>
              <w:left w:val="nil"/>
              <w:bottom w:val="single" w:color="auto"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31,986.90 </w:t>
            </w:r>
          </w:p>
        </w:tc>
      </w:tr>
      <w:tr>
        <w:tblPrEx>
          <w:tblLayout w:type="fixed"/>
          <w:tblCellMar>
            <w:top w:w="0" w:type="dxa"/>
            <w:left w:w="108" w:type="dxa"/>
            <w:bottom w:w="0" w:type="dxa"/>
            <w:right w:w="108" w:type="dxa"/>
          </w:tblCellMar>
        </w:tblPrEx>
        <w:trPr>
          <w:trHeight w:val="327"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基本每股收益（元/股）</w:t>
            </w:r>
          </w:p>
        </w:tc>
        <w:tc>
          <w:tcPr>
            <w:tcW w:w="2000"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0.52</w:t>
            </w:r>
          </w:p>
        </w:tc>
        <w:tc>
          <w:tcPr>
            <w:tcW w:w="2155" w:type="dxa"/>
            <w:tcBorders>
              <w:top w:val="nil"/>
              <w:left w:val="nil"/>
              <w:bottom w:val="single" w:color="000000" w:sz="4" w:space="0"/>
              <w:right w:val="single" w:color="auto"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0</w:t>
            </w:r>
            <w:r>
              <w:rPr>
                <w:rFonts w:ascii="Times New Roman" w:hAnsi="Times New Roman" w:eastAsia="宋体" w:cs="Times New Roman"/>
                <w:color w:val="333333"/>
                <w:kern w:val="0"/>
                <w:szCs w:val="21"/>
              </w:rPr>
              <w:t>.57</w:t>
            </w:r>
          </w:p>
        </w:tc>
        <w:tc>
          <w:tcPr>
            <w:tcW w:w="22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等线" w:cs="Times New Roman"/>
                <w:color w:val="000000"/>
                <w:szCs w:val="21"/>
              </w:rPr>
              <w:t>0.56</w:t>
            </w:r>
          </w:p>
        </w:tc>
      </w:tr>
      <w:tr>
        <w:tblPrEx>
          <w:tblLayout w:type="fixed"/>
          <w:tblCellMar>
            <w:top w:w="0" w:type="dxa"/>
            <w:left w:w="108" w:type="dxa"/>
            <w:bottom w:w="0" w:type="dxa"/>
            <w:right w:w="108" w:type="dxa"/>
          </w:tblCellMar>
        </w:tblPrEx>
        <w:trPr>
          <w:trHeight w:val="645"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基本每股收益（扣非后）（元/股）</w:t>
            </w:r>
          </w:p>
        </w:tc>
        <w:tc>
          <w:tcPr>
            <w:tcW w:w="2000"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0.47 </w:t>
            </w:r>
          </w:p>
        </w:tc>
        <w:tc>
          <w:tcPr>
            <w:tcW w:w="2155" w:type="dxa"/>
            <w:tcBorders>
              <w:top w:val="nil"/>
              <w:left w:val="nil"/>
              <w:bottom w:val="single" w:color="000000" w:sz="4" w:space="0"/>
              <w:right w:val="single" w:color="auto"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0</w:t>
            </w:r>
            <w:r>
              <w:rPr>
                <w:rFonts w:ascii="Times New Roman" w:hAnsi="Times New Roman" w:eastAsia="宋体" w:cs="Times New Roman"/>
                <w:color w:val="333333"/>
                <w:kern w:val="0"/>
                <w:szCs w:val="21"/>
              </w:rPr>
              <w:t>.51</w:t>
            </w:r>
          </w:p>
        </w:tc>
        <w:tc>
          <w:tcPr>
            <w:tcW w:w="22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等线" w:cs="Times New Roman"/>
                <w:color w:val="000000"/>
                <w:szCs w:val="21"/>
              </w:rPr>
              <w:t>0.51</w:t>
            </w:r>
          </w:p>
        </w:tc>
      </w:tr>
      <w:tr>
        <w:tblPrEx>
          <w:tblLayout w:type="fixed"/>
          <w:tblCellMar>
            <w:top w:w="0" w:type="dxa"/>
            <w:left w:w="108" w:type="dxa"/>
            <w:bottom w:w="0" w:type="dxa"/>
            <w:right w:w="108" w:type="dxa"/>
          </w:tblCellMar>
        </w:tblPrEx>
        <w:trPr>
          <w:trHeight w:val="327"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稀释</w:t>
            </w:r>
            <w:r>
              <w:rPr>
                <w:rFonts w:ascii="Times New Roman" w:hAnsi="Times New Roman" w:eastAsia="宋体" w:cs="Times New Roman"/>
                <w:color w:val="333333"/>
                <w:kern w:val="0"/>
                <w:szCs w:val="21"/>
              </w:rPr>
              <w:t>每股收益（元/股）</w:t>
            </w:r>
          </w:p>
        </w:tc>
        <w:tc>
          <w:tcPr>
            <w:tcW w:w="2000"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color w:val="333333"/>
                <w:kern w:val="0"/>
                <w:szCs w:val="21"/>
              </w:rPr>
              <w:t>0.52</w:t>
            </w:r>
          </w:p>
        </w:tc>
        <w:tc>
          <w:tcPr>
            <w:tcW w:w="2155" w:type="dxa"/>
            <w:tcBorders>
              <w:top w:val="nil"/>
              <w:left w:val="nil"/>
              <w:bottom w:val="single" w:color="000000" w:sz="4" w:space="0"/>
              <w:right w:val="single" w:color="auto"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0</w:t>
            </w:r>
            <w:r>
              <w:rPr>
                <w:rFonts w:ascii="Times New Roman" w:hAnsi="Times New Roman" w:eastAsia="宋体" w:cs="Times New Roman"/>
                <w:color w:val="333333"/>
                <w:kern w:val="0"/>
                <w:szCs w:val="21"/>
              </w:rPr>
              <w:t>.57</w:t>
            </w:r>
          </w:p>
        </w:tc>
        <w:tc>
          <w:tcPr>
            <w:tcW w:w="22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等线" w:cs="Times New Roman"/>
                <w:color w:val="000000"/>
                <w:szCs w:val="21"/>
              </w:rPr>
              <w:t>0.56</w:t>
            </w:r>
          </w:p>
        </w:tc>
      </w:tr>
      <w:tr>
        <w:tblPrEx>
          <w:tblLayout w:type="fixed"/>
          <w:tblCellMar>
            <w:top w:w="0" w:type="dxa"/>
            <w:left w:w="108" w:type="dxa"/>
            <w:bottom w:w="0" w:type="dxa"/>
            <w:right w:w="108" w:type="dxa"/>
          </w:tblCellMar>
        </w:tblPrEx>
        <w:trPr>
          <w:trHeight w:val="645"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稀释</w:t>
            </w:r>
            <w:r>
              <w:rPr>
                <w:rFonts w:ascii="Times New Roman" w:hAnsi="Times New Roman" w:eastAsia="宋体" w:cs="Times New Roman"/>
                <w:color w:val="333333"/>
                <w:kern w:val="0"/>
                <w:szCs w:val="21"/>
              </w:rPr>
              <w:t>每股收益（扣非后）（元/股）</w:t>
            </w:r>
          </w:p>
        </w:tc>
        <w:tc>
          <w:tcPr>
            <w:tcW w:w="2000"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0.47 </w:t>
            </w:r>
          </w:p>
        </w:tc>
        <w:tc>
          <w:tcPr>
            <w:tcW w:w="2155" w:type="dxa"/>
            <w:tcBorders>
              <w:top w:val="nil"/>
              <w:left w:val="nil"/>
              <w:bottom w:val="single" w:color="000000" w:sz="4" w:space="0"/>
              <w:right w:val="single" w:color="auto"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0</w:t>
            </w:r>
            <w:r>
              <w:rPr>
                <w:rFonts w:ascii="Times New Roman" w:hAnsi="Times New Roman" w:eastAsia="宋体" w:cs="Times New Roman"/>
                <w:color w:val="333333"/>
                <w:kern w:val="0"/>
                <w:szCs w:val="21"/>
              </w:rPr>
              <w:t>.51</w:t>
            </w:r>
          </w:p>
        </w:tc>
        <w:tc>
          <w:tcPr>
            <w:tcW w:w="22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等线" w:cs="Times New Roman"/>
                <w:color w:val="000000"/>
                <w:szCs w:val="21"/>
              </w:rPr>
              <w:t>0.51</w:t>
            </w:r>
          </w:p>
        </w:tc>
      </w:tr>
      <w:tr>
        <w:tblPrEx>
          <w:tblLayout w:type="fixed"/>
          <w:tblCellMar>
            <w:top w:w="0" w:type="dxa"/>
            <w:left w:w="108" w:type="dxa"/>
            <w:bottom w:w="0" w:type="dxa"/>
            <w:right w:w="108" w:type="dxa"/>
          </w:tblCellMar>
        </w:tblPrEx>
        <w:trPr>
          <w:trHeight w:val="327" w:hRule="atLeast"/>
        </w:trPr>
        <w:tc>
          <w:tcPr>
            <w:tcW w:w="9000"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假设情形（3）：2021年净利润下降10%</w:t>
            </w:r>
          </w:p>
        </w:tc>
      </w:tr>
      <w:tr>
        <w:tblPrEx>
          <w:tblLayout w:type="fixed"/>
          <w:tblCellMar>
            <w:top w:w="0" w:type="dxa"/>
            <w:left w:w="108" w:type="dxa"/>
            <w:bottom w:w="0" w:type="dxa"/>
            <w:right w:w="108" w:type="dxa"/>
          </w:tblCellMar>
        </w:tblPrEx>
        <w:trPr>
          <w:trHeight w:val="645"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当期归属于母公司净利润（万元）</w:t>
            </w:r>
          </w:p>
        </w:tc>
        <w:tc>
          <w:tcPr>
            <w:tcW w:w="2000"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32,485.96</w:t>
            </w:r>
          </w:p>
        </w:tc>
        <w:tc>
          <w:tcPr>
            <w:tcW w:w="2155"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29,237.36</w:t>
            </w:r>
          </w:p>
        </w:tc>
        <w:tc>
          <w:tcPr>
            <w:tcW w:w="2234"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29,237.36</w:t>
            </w:r>
          </w:p>
        </w:tc>
      </w:tr>
      <w:tr>
        <w:tblPrEx>
          <w:tblLayout w:type="fixed"/>
          <w:tblCellMar>
            <w:top w:w="0" w:type="dxa"/>
            <w:left w:w="108" w:type="dxa"/>
            <w:bottom w:w="0" w:type="dxa"/>
            <w:right w:w="108" w:type="dxa"/>
          </w:tblCellMar>
        </w:tblPrEx>
        <w:trPr>
          <w:trHeight w:val="962"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归属于上市公司股东的扣除非经常性损益的净利润(万元）</w:t>
            </w:r>
          </w:p>
        </w:tc>
        <w:tc>
          <w:tcPr>
            <w:tcW w:w="2000"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29,079.00 </w:t>
            </w:r>
          </w:p>
        </w:tc>
        <w:tc>
          <w:tcPr>
            <w:tcW w:w="2155"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26,171.10 </w:t>
            </w:r>
          </w:p>
        </w:tc>
        <w:tc>
          <w:tcPr>
            <w:tcW w:w="2234" w:type="dxa"/>
            <w:tcBorders>
              <w:top w:val="nil"/>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26,171.10 </w:t>
            </w:r>
          </w:p>
        </w:tc>
      </w:tr>
      <w:tr>
        <w:tblPrEx>
          <w:tblLayout w:type="fixed"/>
          <w:tblCellMar>
            <w:top w:w="0" w:type="dxa"/>
            <w:left w:w="108" w:type="dxa"/>
            <w:bottom w:w="0" w:type="dxa"/>
            <w:right w:w="108" w:type="dxa"/>
          </w:tblCellMar>
        </w:tblPrEx>
        <w:trPr>
          <w:trHeight w:val="327" w:hRule="atLeast"/>
        </w:trPr>
        <w:tc>
          <w:tcPr>
            <w:tcW w:w="2611" w:type="dxa"/>
            <w:tcBorders>
              <w:top w:val="nil"/>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基本每股收益（元/股）</w:t>
            </w:r>
          </w:p>
        </w:tc>
        <w:tc>
          <w:tcPr>
            <w:tcW w:w="2000"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0.52</w:t>
            </w:r>
          </w:p>
        </w:tc>
        <w:tc>
          <w:tcPr>
            <w:tcW w:w="2155"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0</w:t>
            </w:r>
            <w:r>
              <w:rPr>
                <w:rFonts w:ascii="Times New Roman" w:hAnsi="Times New Roman" w:eastAsia="宋体" w:cs="Times New Roman"/>
                <w:color w:val="333333"/>
                <w:kern w:val="0"/>
                <w:szCs w:val="21"/>
              </w:rPr>
              <w:t>.47</w:t>
            </w:r>
          </w:p>
        </w:tc>
        <w:tc>
          <w:tcPr>
            <w:tcW w:w="2234" w:type="dxa"/>
            <w:tcBorders>
              <w:top w:val="nil"/>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等线" w:cs="Times New Roman"/>
                <w:color w:val="000000"/>
                <w:szCs w:val="21"/>
              </w:rPr>
              <w:t>0.46</w:t>
            </w:r>
          </w:p>
        </w:tc>
      </w:tr>
      <w:tr>
        <w:tblPrEx>
          <w:tblLayout w:type="fixed"/>
          <w:tblCellMar>
            <w:top w:w="0" w:type="dxa"/>
            <w:left w:w="108" w:type="dxa"/>
            <w:bottom w:w="0" w:type="dxa"/>
            <w:right w:w="108" w:type="dxa"/>
          </w:tblCellMar>
        </w:tblPrEx>
        <w:trPr>
          <w:trHeight w:val="526" w:hRule="atLeast"/>
        </w:trPr>
        <w:tc>
          <w:tcPr>
            <w:tcW w:w="261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基本每股收益（扣非后）（元/股）</w:t>
            </w:r>
          </w:p>
        </w:tc>
        <w:tc>
          <w:tcPr>
            <w:tcW w:w="200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0.47 </w:t>
            </w:r>
          </w:p>
        </w:tc>
        <w:tc>
          <w:tcPr>
            <w:tcW w:w="2155" w:type="dxa"/>
            <w:tcBorders>
              <w:top w:val="single" w:color="000000" w:sz="4" w:space="0"/>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0</w:t>
            </w:r>
            <w:r>
              <w:rPr>
                <w:rFonts w:ascii="Times New Roman" w:hAnsi="Times New Roman" w:eastAsia="宋体" w:cs="Times New Roman"/>
                <w:color w:val="333333"/>
                <w:kern w:val="0"/>
                <w:szCs w:val="21"/>
              </w:rPr>
              <w:t>.42</w:t>
            </w:r>
          </w:p>
        </w:tc>
        <w:tc>
          <w:tcPr>
            <w:tcW w:w="2234" w:type="dxa"/>
            <w:tcBorders>
              <w:top w:val="single" w:color="000000" w:sz="4" w:space="0"/>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等线" w:cs="Times New Roman"/>
                <w:color w:val="000000"/>
                <w:szCs w:val="21"/>
              </w:rPr>
              <w:t>0.41</w:t>
            </w:r>
          </w:p>
        </w:tc>
      </w:tr>
      <w:tr>
        <w:tblPrEx>
          <w:tblLayout w:type="fixed"/>
          <w:tblCellMar>
            <w:top w:w="0" w:type="dxa"/>
            <w:left w:w="108" w:type="dxa"/>
            <w:bottom w:w="0" w:type="dxa"/>
            <w:right w:w="108" w:type="dxa"/>
          </w:tblCellMar>
        </w:tblPrEx>
        <w:trPr>
          <w:trHeight w:val="526" w:hRule="atLeast"/>
        </w:trPr>
        <w:tc>
          <w:tcPr>
            <w:tcW w:w="261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稀释</w:t>
            </w:r>
            <w:r>
              <w:rPr>
                <w:rFonts w:ascii="Times New Roman" w:hAnsi="Times New Roman" w:eastAsia="宋体" w:cs="Times New Roman"/>
                <w:color w:val="333333"/>
                <w:kern w:val="0"/>
                <w:szCs w:val="21"/>
              </w:rPr>
              <w:t>每股收益（元/股）</w:t>
            </w:r>
          </w:p>
        </w:tc>
        <w:tc>
          <w:tcPr>
            <w:tcW w:w="200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color w:val="333333"/>
                <w:kern w:val="0"/>
                <w:szCs w:val="21"/>
              </w:rPr>
              <w:t>0.52</w:t>
            </w:r>
          </w:p>
        </w:tc>
        <w:tc>
          <w:tcPr>
            <w:tcW w:w="2155" w:type="dxa"/>
            <w:tcBorders>
              <w:top w:val="single" w:color="000000" w:sz="4" w:space="0"/>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0</w:t>
            </w:r>
            <w:r>
              <w:rPr>
                <w:rFonts w:ascii="Times New Roman" w:hAnsi="Times New Roman" w:eastAsia="宋体" w:cs="Times New Roman"/>
                <w:color w:val="333333"/>
                <w:kern w:val="0"/>
                <w:szCs w:val="21"/>
              </w:rPr>
              <w:t>.47</w:t>
            </w:r>
          </w:p>
        </w:tc>
        <w:tc>
          <w:tcPr>
            <w:tcW w:w="2234" w:type="dxa"/>
            <w:tcBorders>
              <w:top w:val="single" w:color="000000" w:sz="4" w:space="0"/>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等线" w:cs="Times New Roman"/>
                <w:color w:val="000000"/>
                <w:szCs w:val="21"/>
              </w:rPr>
              <w:t>0.46</w:t>
            </w:r>
          </w:p>
        </w:tc>
      </w:tr>
      <w:tr>
        <w:tblPrEx>
          <w:tblLayout w:type="fixed"/>
          <w:tblCellMar>
            <w:top w:w="0" w:type="dxa"/>
            <w:left w:w="108" w:type="dxa"/>
            <w:bottom w:w="0" w:type="dxa"/>
            <w:right w:w="108" w:type="dxa"/>
          </w:tblCellMar>
        </w:tblPrEx>
        <w:trPr>
          <w:trHeight w:val="655" w:hRule="atLeast"/>
        </w:trPr>
        <w:tc>
          <w:tcPr>
            <w:tcW w:w="261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稀释</w:t>
            </w:r>
            <w:r>
              <w:rPr>
                <w:rFonts w:ascii="Times New Roman" w:hAnsi="Times New Roman" w:eastAsia="宋体" w:cs="Times New Roman"/>
                <w:color w:val="333333"/>
                <w:kern w:val="0"/>
                <w:szCs w:val="21"/>
              </w:rPr>
              <w:t>每股收益（扣非后）（元/股）</w:t>
            </w:r>
          </w:p>
        </w:tc>
        <w:tc>
          <w:tcPr>
            <w:tcW w:w="200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tLeast"/>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0.47 </w:t>
            </w:r>
          </w:p>
        </w:tc>
        <w:tc>
          <w:tcPr>
            <w:tcW w:w="2155" w:type="dxa"/>
            <w:tcBorders>
              <w:top w:val="single" w:color="000000" w:sz="4" w:space="0"/>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0</w:t>
            </w:r>
            <w:r>
              <w:rPr>
                <w:rFonts w:ascii="Times New Roman" w:hAnsi="Times New Roman" w:eastAsia="宋体" w:cs="Times New Roman"/>
                <w:color w:val="333333"/>
                <w:kern w:val="0"/>
                <w:szCs w:val="21"/>
              </w:rPr>
              <w:t>.42</w:t>
            </w:r>
          </w:p>
        </w:tc>
        <w:tc>
          <w:tcPr>
            <w:tcW w:w="2234" w:type="dxa"/>
            <w:tcBorders>
              <w:top w:val="single" w:color="000000" w:sz="4" w:space="0"/>
              <w:left w:val="nil"/>
              <w:bottom w:val="single" w:color="000000" w:sz="4" w:space="0"/>
              <w:right w:val="single" w:color="000000" w:sz="4" w:space="0"/>
            </w:tcBorders>
            <w:shd w:val="clear" w:color="000000" w:fill="FFFFFF"/>
            <w:vAlign w:val="center"/>
          </w:tcPr>
          <w:p>
            <w:pPr>
              <w:widowControl/>
              <w:spacing w:line="240" w:lineRule="atLeast"/>
              <w:jc w:val="right"/>
              <w:rPr>
                <w:rFonts w:ascii="Times New Roman" w:hAnsi="Times New Roman" w:eastAsia="宋体" w:cs="Times New Roman"/>
                <w:color w:val="333333"/>
                <w:kern w:val="0"/>
                <w:szCs w:val="21"/>
              </w:rPr>
            </w:pPr>
            <w:r>
              <w:rPr>
                <w:rFonts w:ascii="Times New Roman" w:hAnsi="Times New Roman" w:eastAsia="等线" w:cs="Times New Roman"/>
                <w:color w:val="000000"/>
                <w:szCs w:val="21"/>
              </w:rPr>
              <w:t>0.41</w:t>
            </w:r>
          </w:p>
        </w:tc>
      </w:tr>
    </w:tbl>
    <w:p>
      <w:pPr>
        <w:pStyle w:val="67"/>
        <w:ind w:firstLine="480"/>
      </w:pPr>
      <w:r>
        <w:rPr>
          <w:rFonts w:hint="eastAsia"/>
        </w:rPr>
        <w:t>关于测算的说明如下：</w:t>
      </w:r>
    </w:p>
    <w:p>
      <w:pPr>
        <w:pStyle w:val="67"/>
        <w:ind w:firstLine="480"/>
      </w:pPr>
      <w:r>
        <w:t>1</w:t>
      </w:r>
      <w:r>
        <w:rPr>
          <w:rFonts w:hint="eastAsia"/>
        </w:rPr>
        <w:t>、公司对</w:t>
      </w:r>
      <w:r>
        <w:t>202</w:t>
      </w:r>
      <w:r>
        <w:rPr>
          <w:rFonts w:hint="eastAsia"/>
        </w:rPr>
        <w:t>1年度净利润的假设分析并不构成公司的盈利预测，投资者不应据此进行投资决策，投资者据此进行投资决策造成损失的，公司不承担赔偿责任。</w:t>
      </w:r>
    </w:p>
    <w:p>
      <w:pPr>
        <w:pStyle w:val="67"/>
        <w:ind w:firstLine="480"/>
      </w:pPr>
      <w:r>
        <w:t>2</w:t>
      </w:r>
      <w:r>
        <w:rPr>
          <w:rFonts w:hint="eastAsia"/>
        </w:rPr>
        <w:t>、本次非公开发行的股份数量和发行完成时间仅为预计，最终以经监管部门核准发行的股份数量和实际发行完成时间为准。</w:t>
      </w:r>
    </w:p>
    <w:p>
      <w:pPr>
        <w:pStyle w:val="67"/>
        <w:ind w:firstLine="480"/>
      </w:pPr>
      <w:r>
        <w:t>3</w:t>
      </w:r>
      <w:r>
        <w:rPr>
          <w:rFonts w:hint="eastAsia"/>
        </w:rPr>
        <w:t>、在预测公司发行后主要财务指标时，未考虑除拟募集资金总额、净利润之外的其他因素对主要财务指标的影响。</w:t>
      </w:r>
    </w:p>
    <w:p>
      <w:pPr>
        <w:pStyle w:val="67"/>
        <w:ind w:firstLine="480"/>
      </w:pPr>
      <w:r>
        <w:rPr>
          <w:rFonts w:hint="eastAsia"/>
        </w:rPr>
        <w:t>公司提醒投资者，上述分析不构成公司的盈利预测，本次发行尚需监管部门核准，能否获得核准、获得核准的时间及发行完成时间等均存在不确定性。特此提醒投资者关注本次发行对即期回报的影响。</w:t>
      </w:r>
      <w:bookmarkStart w:id="349" w:name="_Toc22734935"/>
    </w:p>
    <w:p>
      <w:pPr>
        <w:pStyle w:val="69"/>
        <w:spacing w:afterLines="0"/>
        <w:ind w:firstLine="560"/>
      </w:pPr>
      <w:bookmarkStart w:id="350" w:name="_Toc79406469"/>
      <w:r>
        <w:rPr>
          <w:rFonts w:hint="eastAsia"/>
        </w:rPr>
        <w:t>二</w:t>
      </w:r>
      <w:r>
        <w:t>、本次募投项目与公司现有业务的关系及公司从事募投项目在人员、技术、市场等方面的储备情况</w:t>
      </w:r>
      <w:bookmarkEnd w:id="349"/>
      <w:bookmarkEnd w:id="350"/>
    </w:p>
    <w:p>
      <w:pPr>
        <w:pStyle w:val="67"/>
        <w:ind w:firstLine="480"/>
      </w:pPr>
      <w:r>
        <w:rPr>
          <w:rFonts w:hint="eastAsia"/>
        </w:rPr>
        <w:t>公司以现金方式募集的资金扣除发行费用后将全部用于偿还有息负债及补充流动资金，可以有效改善公司财务状况，为公司现有的业务提供良好的支持。本次募投项目未涉及具体建设项目及公司在相关项目人员、技术、市场等方面的储备。</w:t>
      </w:r>
      <w:bookmarkStart w:id="351" w:name="_Toc22734936"/>
      <w:bookmarkStart w:id="352" w:name="_Toc15504258"/>
      <w:bookmarkStart w:id="353" w:name="_Toc15503627"/>
    </w:p>
    <w:p>
      <w:pPr>
        <w:pStyle w:val="69"/>
        <w:spacing w:afterLines="0"/>
        <w:ind w:firstLine="560"/>
      </w:pPr>
      <w:bookmarkStart w:id="354" w:name="_Toc79406470"/>
      <w:r>
        <w:t>三、公司采取的填补回报的具体措施</w:t>
      </w:r>
      <w:bookmarkEnd w:id="351"/>
      <w:bookmarkEnd w:id="352"/>
      <w:bookmarkEnd w:id="353"/>
      <w:bookmarkEnd w:id="354"/>
    </w:p>
    <w:p>
      <w:pPr>
        <w:pStyle w:val="67"/>
        <w:ind w:firstLine="480"/>
      </w:pPr>
      <w:r>
        <w:rPr>
          <w:rFonts w:hint="eastAsia"/>
        </w:rPr>
        <w:t>为了保护投资者利益，公司将采取多种措施保证此次募集资金有效使用、有效防范即期回报被摊薄的风险、提高未来的回报能力，具体措施包括：</w:t>
      </w:r>
    </w:p>
    <w:p>
      <w:pPr>
        <w:pStyle w:val="71"/>
        <w:spacing w:afterLines="0"/>
        <w:ind w:firstLine="482"/>
      </w:pPr>
      <w:bookmarkStart w:id="355" w:name="_Toc22734937"/>
      <w:bookmarkStart w:id="356" w:name="_Toc15504259"/>
      <w:bookmarkStart w:id="357" w:name="_Toc15503628"/>
      <w:bookmarkStart w:id="358" w:name="_Toc15504449"/>
      <w:bookmarkStart w:id="359" w:name="_Toc67935129"/>
      <w:r>
        <w:t>（一）加强募集资金管理，切实保障投资者的利益</w:t>
      </w:r>
      <w:bookmarkEnd w:id="355"/>
      <w:bookmarkEnd w:id="356"/>
      <w:bookmarkEnd w:id="357"/>
      <w:bookmarkEnd w:id="358"/>
      <w:bookmarkEnd w:id="359"/>
    </w:p>
    <w:p>
      <w:pPr>
        <w:pStyle w:val="67"/>
        <w:ind w:firstLine="480"/>
      </w:pPr>
      <w:r>
        <w:rPr>
          <w:rFonts w:hint="eastAsia"/>
        </w:rPr>
        <w:t>根据《公司法》、《证券法》、《上市公司证券发行管理办法》、《上市公司监管指引第</w:t>
      </w:r>
      <w:r>
        <w:t>2</w:t>
      </w:r>
      <w:r>
        <w:rPr>
          <w:rFonts w:hint="eastAsia"/>
        </w:rPr>
        <w:t>号</w:t>
      </w:r>
      <w:r>
        <w:t>——</w:t>
      </w:r>
      <w:r>
        <w:rPr>
          <w:rFonts w:hint="eastAsia"/>
        </w:rPr>
        <w:t>上市公司募集资金管理和使用的监管要求》、《深圳证券交易所股票上市规则》和《深圳证券交易所主板上市公司规范运作指引》等有关法律法规及《公司章程》的要求，公司制订了《募集资金使用管理办法》，对募集资金专户存储、使用、用途变更、管理与监督等进行了明确的规定。为保障公司规范、有效使用募集资金，本次发行募集资金到位后，公司董事会将持续监督募集资金的存储和使用，定期对募集资金进行内部审计，配合监管银行和保荐机构对募集资金使用的检查和监督，以保证募集资金合理规范使用，合理防范募集资金使用风险。</w:t>
      </w:r>
    </w:p>
    <w:p>
      <w:pPr>
        <w:pStyle w:val="71"/>
        <w:spacing w:afterLines="0"/>
        <w:ind w:firstLine="482"/>
      </w:pPr>
      <w:bookmarkStart w:id="360" w:name="_Toc67935130"/>
      <w:bookmarkStart w:id="361" w:name="_Toc22734938"/>
      <w:bookmarkStart w:id="362" w:name="_Toc15504260"/>
      <w:bookmarkStart w:id="363" w:name="_Toc15504450"/>
      <w:bookmarkStart w:id="364" w:name="_Toc15503629"/>
      <w:r>
        <w:t>（二）加强公司治理水平，以制度保障公司的发展</w:t>
      </w:r>
      <w:bookmarkEnd w:id="360"/>
      <w:bookmarkEnd w:id="361"/>
      <w:bookmarkEnd w:id="362"/>
      <w:bookmarkEnd w:id="363"/>
      <w:bookmarkEnd w:id="364"/>
    </w:p>
    <w:p>
      <w:pPr>
        <w:pStyle w:val="67"/>
        <w:ind w:firstLine="480"/>
      </w:pPr>
      <w:r>
        <w:rPr>
          <w:rFonts w:hint="eastAsia"/>
        </w:rPr>
        <w:t>公司将严格遵循《公司法》、《证券法》、《上市公司治理准则》等法律法规和规范性文件的要求，不断完善公司治理，确保股东能够充分行使权利，确保董事会能够按照法律、法规和《公司章程》的规定行使职权，作出科学、迅速和谨慎的决策，确保独立董事能够认真履行职责，维护公司整体利益，尤其是中小股东的合法权益，确保监事会能够独立有效地行使对董事、高级管理人员及公司财务的监督权和检查权，为公司发展提供制度保障。</w:t>
      </w:r>
    </w:p>
    <w:p>
      <w:pPr>
        <w:pStyle w:val="71"/>
        <w:spacing w:afterLines="0"/>
        <w:ind w:firstLine="482"/>
      </w:pPr>
      <w:bookmarkStart w:id="365" w:name="_Toc15504451"/>
      <w:bookmarkStart w:id="366" w:name="_Toc67935131"/>
      <w:bookmarkStart w:id="367" w:name="_Toc22734939"/>
      <w:bookmarkStart w:id="368" w:name="_Toc15504261"/>
      <w:bookmarkStart w:id="369" w:name="_Toc15503630"/>
      <w:r>
        <w:t>（三）严格执行分红政策，保障公司股东利益回报</w:t>
      </w:r>
      <w:bookmarkEnd w:id="365"/>
      <w:bookmarkEnd w:id="366"/>
      <w:bookmarkEnd w:id="367"/>
      <w:bookmarkEnd w:id="368"/>
      <w:bookmarkEnd w:id="369"/>
    </w:p>
    <w:p>
      <w:pPr>
        <w:pStyle w:val="67"/>
        <w:ind w:firstLine="480"/>
      </w:pPr>
      <w:r>
        <w:rPr>
          <w:rFonts w:hint="eastAsia"/>
        </w:rPr>
        <w:t>根据《关于进一步落实上市公司现金分红有关事项的通知》、《上市公司监管指引第</w:t>
      </w:r>
      <w:r>
        <w:t>3</w:t>
      </w:r>
      <w:r>
        <w:rPr>
          <w:rFonts w:hint="eastAsia"/>
        </w:rPr>
        <w:t>号</w:t>
      </w:r>
      <w:r>
        <w:t>——</w:t>
      </w:r>
      <w:r>
        <w:rPr>
          <w:rFonts w:hint="eastAsia"/>
        </w:rPr>
        <w:t>上市公司现金分红》以及《上市公司章程指引》的精神和规定，公司在充分考虑对股东的投资回报并兼顾公司的成长和发展的基础上，结合自身实际情况制定了《未来三年（</w:t>
      </w:r>
      <w:r>
        <w:t>2021</w:t>
      </w:r>
      <w:r>
        <w:rPr>
          <w:rFonts w:hint="eastAsia"/>
        </w:rPr>
        <w:t>—</w:t>
      </w:r>
      <w:r>
        <w:t>2023年</w:t>
      </w:r>
      <w:r>
        <w:rPr>
          <w:rFonts w:hint="eastAsia"/>
        </w:rPr>
        <w:t>）股东回报规划》，进一步明确和完善了公司利润分配的原则和方式，利润分配尤其是现金分红的具体条件、比例，股票股利的分配条件，完善了公司利润分配的决策程序和机制以及利润分配政策调整的决策程序。</w:t>
      </w:r>
    </w:p>
    <w:p>
      <w:pPr>
        <w:pStyle w:val="67"/>
        <w:ind w:firstLine="480"/>
      </w:pPr>
      <w:r>
        <w:rPr>
          <w:rFonts w:hint="eastAsia"/>
        </w:rPr>
        <w:t>未来，公司将继续严格执行公司分红政策，增强投资者回报的监督与管理机制，确保公司股东特别是中小股东的利益得到保护，努力提升股东回报水平。</w:t>
      </w:r>
      <w:bookmarkStart w:id="370" w:name="_Toc15504452"/>
      <w:bookmarkStart w:id="371" w:name="_Toc15503631"/>
      <w:bookmarkStart w:id="372" w:name="_Toc15504262"/>
      <w:bookmarkStart w:id="373" w:name="_Toc22734940"/>
    </w:p>
    <w:p>
      <w:pPr>
        <w:pStyle w:val="71"/>
        <w:spacing w:afterLines="0"/>
        <w:ind w:firstLine="482"/>
      </w:pPr>
      <w:bookmarkStart w:id="374" w:name="_Toc67935132"/>
      <w:r>
        <w:t>（四）</w:t>
      </w:r>
      <w:bookmarkEnd w:id="370"/>
      <w:bookmarkEnd w:id="371"/>
      <w:bookmarkEnd w:id="372"/>
      <w:bookmarkEnd w:id="373"/>
      <w:r>
        <w:rPr>
          <w:rFonts w:hint="eastAsia"/>
        </w:rPr>
        <w:t>加强技术研发，推动创新发展</w:t>
      </w:r>
      <w:bookmarkEnd w:id="374"/>
    </w:p>
    <w:p>
      <w:pPr>
        <w:pStyle w:val="67"/>
        <w:ind w:firstLine="480"/>
      </w:pPr>
      <w:bookmarkStart w:id="375" w:name="_Toc22734941"/>
      <w:bookmarkStart w:id="376" w:name="_Toc15503632"/>
      <w:bookmarkStart w:id="377" w:name="_Toc15504263"/>
      <w:r>
        <w:rPr>
          <w:rFonts w:hint="eastAsia"/>
        </w:rPr>
        <w:t>全面实施“大研发战略”规划，进一步加大研发投入，进一步加快科研体制机制改革，进一步完善研发体系和研发平台建设，进一步充实完善研发管线中疼痛控制类、心脑血管类、抗肿瘤类等新药，加速制剂新技术应用，进一步提升高端给药系统，实现抗体药物、重大创新药物的突破。</w:t>
      </w:r>
    </w:p>
    <w:p>
      <w:pPr>
        <w:pStyle w:val="67"/>
        <w:ind w:firstLine="480"/>
      </w:pPr>
      <w:r>
        <w:rPr>
          <w:rFonts w:hint="eastAsia"/>
        </w:rPr>
        <w:t>高效整合现有资源，加快后续产品特别是重点品种一致性评价工作，争取获得阿莫西林胶囊等4个以上一致性评价批件。</w:t>
      </w:r>
    </w:p>
    <w:p>
      <w:pPr>
        <w:pStyle w:val="69"/>
        <w:spacing w:afterLines="0"/>
        <w:ind w:firstLine="560"/>
      </w:pPr>
      <w:bookmarkStart w:id="378" w:name="_Toc79406471"/>
      <w:r>
        <w:t>四、公司董事、高级管理人员对公司填补回报措施的承诺</w:t>
      </w:r>
      <w:bookmarkEnd w:id="375"/>
      <w:bookmarkEnd w:id="376"/>
      <w:bookmarkEnd w:id="377"/>
      <w:bookmarkEnd w:id="378"/>
    </w:p>
    <w:p>
      <w:pPr>
        <w:pStyle w:val="67"/>
        <w:ind w:firstLine="480"/>
      </w:pPr>
      <w:r>
        <w:rPr>
          <w:rFonts w:hint="eastAsia"/>
        </w:rPr>
        <w:t>为贯彻执行《国务院办公厅关于进一步加强资本市场中小投资者合法权益保护工作的意见》《国务院关于进一步促进资本市场健康发展的若干意见》和中国证券监督管理委员会《关于首发及再融资、重大资产重组摊薄即期回报有关事项的指导意见》等文件的规定和精神，切实保护投资者特别是中小投资者的合法权益，公司全体董事、高级管理人员作出如下承诺：</w:t>
      </w:r>
    </w:p>
    <w:p>
      <w:pPr>
        <w:pStyle w:val="67"/>
        <w:ind w:firstLine="240" w:firstLineChars="100"/>
      </w:pPr>
      <w:r>
        <w:rPr>
          <w:rFonts w:hint="eastAsia"/>
        </w:rPr>
        <w:t>“</w:t>
      </w:r>
      <w:r>
        <w:t>1</w:t>
      </w:r>
      <w:r>
        <w:rPr>
          <w:rFonts w:hint="eastAsia"/>
        </w:rPr>
        <w:t>、本人承诺不无偿或以不公平条件向其他单位或者个人输送利益，也不采用其他方式损害公司利益；</w:t>
      </w:r>
    </w:p>
    <w:p>
      <w:pPr>
        <w:pStyle w:val="67"/>
        <w:ind w:firstLine="480"/>
      </w:pPr>
      <w:r>
        <w:t>2</w:t>
      </w:r>
      <w:r>
        <w:rPr>
          <w:rFonts w:hint="eastAsia"/>
        </w:rPr>
        <w:t>、本人承诺对本人的职务消费行为进行约束；</w:t>
      </w:r>
    </w:p>
    <w:p>
      <w:pPr>
        <w:pStyle w:val="67"/>
        <w:ind w:firstLine="480"/>
      </w:pPr>
      <w:r>
        <w:t>3</w:t>
      </w:r>
      <w:r>
        <w:rPr>
          <w:rFonts w:hint="eastAsia"/>
        </w:rPr>
        <w:t>、本人承诺不动用公司资产从事与履行职责无关的投资、消费活动；</w:t>
      </w:r>
    </w:p>
    <w:p>
      <w:pPr>
        <w:pStyle w:val="67"/>
        <w:ind w:firstLine="480"/>
      </w:pPr>
      <w:r>
        <w:t>4</w:t>
      </w:r>
      <w:r>
        <w:rPr>
          <w:rFonts w:hint="eastAsia"/>
        </w:rPr>
        <w:t>、本人承诺由董事会或薪酬委员会制定的薪酬制度与公司填补被摊薄即期回报措施的执行情况相挂钩；</w:t>
      </w:r>
    </w:p>
    <w:p>
      <w:pPr>
        <w:pStyle w:val="67"/>
        <w:ind w:firstLine="480"/>
      </w:pPr>
      <w:r>
        <w:rPr>
          <w:rFonts w:hint="eastAsia"/>
        </w:rPr>
        <w:t>5、未来公司如实施股权激励，本人承诺股权激励的行权条件与公司填补回报措施的执行情况相挂钩；</w:t>
      </w:r>
    </w:p>
    <w:p>
      <w:pPr>
        <w:pStyle w:val="67"/>
        <w:ind w:firstLine="480"/>
      </w:pPr>
      <w:r>
        <w:rPr>
          <w:rFonts w:hint="eastAsia"/>
        </w:rPr>
        <w:t>6、自本承诺出具日至公司本次非公开发行股票完成前，若国家及证券监管部门作出关于上市公司填补被摊薄即期回报措施的其他新的监管规定的，且本承诺不能满足国家及证券监管部门的该等规定时，本人承诺届时将按照国家及证券监管部门的最新规定出具承诺；</w:t>
      </w:r>
    </w:p>
    <w:p>
      <w:pPr>
        <w:pStyle w:val="67"/>
        <w:ind w:firstLine="480"/>
      </w:pPr>
      <w:r>
        <w:rPr>
          <w:rFonts w:hint="eastAsia"/>
        </w:rPr>
        <w:t>7、作为填补回报措施相关责任主体之一，本人若违反本承诺或拒不履行本承诺，本人同意国家或证券监管机构按照其制定或发布的有关规定、规则，对本人作出相关处罚或采取相关监管措施。”</w:t>
      </w:r>
      <w:bookmarkStart w:id="379" w:name="_Toc15504264"/>
      <w:bookmarkStart w:id="380" w:name="_Toc15503633"/>
      <w:bookmarkStart w:id="381" w:name="_Toc22734942"/>
    </w:p>
    <w:p>
      <w:pPr>
        <w:pStyle w:val="69"/>
        <w:spacing w:afterLines="0"/>
        <w:ind w:firstLine="560"/>
      </w:pPr>
      <w:bookmarkStart w:id="382" w:name="_Toc79406472"/>
      <w:r>
        <w:t>五、公司控股股东对公司填补回报措施的承诺</w:t>
      </w:r>
      <w:bookmarkEnd w:id="379"/>
      <w:bookmarkEnd w:id="380"/>
      <w:bookmarkEnd w:id="381"/>
      <w:bookmarkEnd w:id="382"/>
    </w:p>
    <w:p>
      <w:pPr>
        <w:pStyle w:val="67"/>
        <w:ind w:firstLine="480"/>
      </w:pPr>
      <w:r>
        <w:rPr>
          <w:rFonts w:hint="eastAsia"/>
        </w:rPr>
        <w:t>为贯彻执行《国务院办公厅关于进一步加强资本市场中小投资者合法权益保护工作的意见》、《国务院关于进一步促进资本市场健康发展的若干意见》和中国证券监督管理委员会《关于首发及再融资、重大资产重组摊薄即期回报有关事项的指导意见》等文件的规定和精神，切实保护投资者特别是中小投资者的合法权益，公司控股股东作出如下承诺：</w:t>
      </w:r>
    </w:p>
    <w:p>
      <w:pPr>
        <w:pStyle w:val="67"/>
        <w:ind w:firstLine="439" w:firstLineChars="183"/>
      </w:pPr>
      <w:r>
        <w:rPr>
          <w:rFonts w:hint="eastAsia"/>
        </w:rPr>
        <w:t>“</w:t>
      </w:r>
      <w:r>
        <w:t>1</w:t>
      </w:r>
      <w:r>
        <w:rPr>
          <w:rFonts w:hint="eastAsia"/>
        </w:rPr>
        <w:t>、本公司承诺不越权干预公司的经营管理活动，不侵占公司利益；</w:t>
      </w:r>
    </w:p>
    <w:p>
      <w:pPr>
        <w:pStyle w:val="67"/>
        <w:ind w:firstLine="480"/>
      </w:pPr>
      <w:r>
        <w:t>2</w:t>
      </w:r>
      <w:r>
        <w:rPr>
          <w:rFonts w:hint="eastAsia"/>
        </w:rPr>
        <w:t>、自本承诺出具日至公司本次非公开发行股票完成前，若国家及证券监管部门作出关于上市公司填补被摊薄即期回报措施的其他新的监管规定的，且本承诺不能满足国家及证券监管部门的该等规定时，本公司承诺届时将按照国家及证券监管部门的最新规定出具承诺；</w:t>
      </w:r>
    </w:p>
    <w:p>
      <w:pPr>
        <w:pStyle w:val="67"/>
        <w:ind w:firstLine="480"/>
        <w:sectPr>
          <w:pgSz w:w="11900" w:h="16840"/>
          <w:pgMar w:top="1213" w:right="1406" w:bottom="1213" w:left="1406" w:header="851" w:footer="992" w:gutter="0"/>
          <w:pgNumType w:fmt="decimal"/>
          <w:cols w:space="0" w:num="1"/>
          <w:titlePg/>
          <w:rtlGutter w:val="0"/>
          <w:docGrid w:type="lines" w:linePitch="312" w:charSpace="0"/>
        </w:sectPr>
      </w:pPr>
      <w:r>
        <w:t>3</w:t>
      </w:r>
      <w:r>
        <w:rPr>
          <w:rFonts w:hint="eastAsia"/>
        </w:rPr>
        <w:t>、本公司承诺切实履行公司制定的有关填补被摊薄即期回报措施以及本承诺，若违反本承诺或拒不履行本承诺而给公司或者投资者造成损失的，本公司愿意依法承担相应的补偿责任。”</w:t>
      </w:r>
      <w:bookmarkStart w:id="383" w:name="_Toc529470604"/>
      <w:bookmarkStart w:id="384" w:name="_Toc15504266"/>
      <w:bookmarkStart w:id="385" w:name="_Toc424736822"/>
      <w:bookmarkStart w:id="386" w:name="_Toc433974936"/>
      <w:bookmarkStart w:id="387" w:name="_Toc15503635"/>
    </w:p>
    <w:p>
      <w:pPr>
        <w:pStyle w:val="67"/>
        <w:ind w:firstLine="480"/>
      </w:pPr>
    </w:p>
    <w:p>
      <w:pPr>
        <w:spacing w:line="360" w:lineRule="auto"/>
        <w:jc w:val="center"/>
        <w:rPr>
          <w:rFonts w:ascii="Times New Roman" w:hAnsi="Times New Roman" w:eastAsia="宋体" w:cs="Times New Roman"/>
          <w:sz w:val="24"/>
          <w:szCs w:val="24"/>
        </w:rPr>
      </w:pPr>
    </w:p>
    <w:p>
      <w:pPr>
        <w:pStyle w:val="66"/>
        <w:spacing w:afterLines="0"/>
        <w:rPr>
          <w:rFonts w:eastAsia="宋体"/>
          <w:sz w:val="24"/>
          <w:szCs w:val="24"/>
        </w:rPr>
      </w:pPr>
      <w:bookmarkStart w:id="388" w:name="_Toc79406473"/>
      <w:bookmarkStart w:id="389" w:name="_Toc67934570"/>
      <w:r>
        <w:rPr>
          <w:rFonts w:hint="eastAsia"/>
        </w:rPr>
        <w:t>第八节 其他有必要披露的事项</w:t>
      </w:r>
      <w:bookmarkEnd w:id="383"/>
      <w:bookmarkEnd w:id="384"/>
      <w:bookmarkEnd w:id="385"/>
      <w:bookmarkEnd w:id="386"/>
      <w:bookmarkEnd w:id="387"/>
      <w:bookmarkEnd w:id="388"/>
      <w:bookmarkEnd w:id="389"/>
    </w:p>
    <w:p>
      <w:pPr>
        <w:pStyle w:val="67"/>
        <w:ind w:firstLine="480"/>
      </w:pPr>
    </w:p>
    <w:p>
      <w:pPr>
        <w:pStyle w:val="67"/>
        <w:ind w:firstLine="480"/>
      </w:pPr>
      <w:r>
        <w:rPr>
          <w:rFonts w:hint="eastAsia"/>
        </w:rPr>
        <w:t>本次非公开发行无其他有必要披露的事项。</w:t>
      </w:r>
    </w:p>
    <w:p>
      <w:r>
        <w:br w:type="page"/>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（本页无正文，为《山东新华制药股份有限公司2</w:t>
      </w:r>
      <w:r>
        <w:rPr>
          <w:rFonts w:ascii="Times New Roman" w:hAnsi="Times New Roman" w:eastAsia="宋体" w:cs="Times New Roman"/>
          <w:sz w:val="24"/>
          <w:szCs w:val="24"/>
        </w:rPr>
        <w:t>021</w:t>
      </w:r>
      <w:r>
        <w:rPr>
          <w:rFonts w:hint="eastAsia" w:ascii="Times New Roman" w:hAnsi="Times New Roman" w:eastAsia="宋体" w:cs="Times New Roman"/>
          <w:sz w:val="24"/>
          <w:szCs w:val="24"/>
        </w:rPr>
        <w:t>年度非公开发行A股股票预案</w:t>
      </w:r>
      <w:r>
        <w:rPr>
          <w:rFonts w:hint="eastAsia" w:ascii="Times New Roman" w:hAnsi="Times New Roman" w:eastAsia="宋体" w:cs="Times New Roman"/>
          <w:b/>
          <w:sz w:val="24"/>
          <w:szCs w:val="24"/>
        </w:rPr>
        <w:t>（</w:t>
      </w:r>
      <w:r>
        <w:rPr>
          <w:rFonts w:hint="eastAsia" w:ascii="楷体" w:hAnsi="楷体" w:eastAsia="楷体" w:cs="Times New Roman"/>
          <w:b/>
          <w:sz w:val="24"/>
          <w:szCs w:val="24"/>
        </w:rPr>
        <w:t>修订稿</w:t>
      </w:r>
      <w:r>
        <w:rPr>
          <w:rFonts w:hint="eastAsia" w:ascii="Times New Roman" w:hAnsi="Times New Roman" w:eastAsia="宋体" w:cs="Times New Roman"/>
          <w:b/>
          <w:sz w:val="24"/>
          <w:szCs w:val="24"/>
        </w:rPr>
        <w:t>）</w:t>
      </w:r>
      <w:r>
        <w:rPr>
          <w:rFonts w:hint="eastAsia" w:ascii="Times New Roman" w:hAnsi="Times New Roman" w:eastAsia="宋体" w:cs="Times New Roman"/>
          <w:sz w:val="24"/>
          <w:szCs w:val="24"/>
        </w:rPr>
        <w:t>》之盖章页）</w:t>
      </w:r>
    </w:p>
    <w:p>
      <w:pPr>
        <w:spacing w:line="360" w:lineRule="auto"/>
        <w:rPr>
          <w:rFonts w:ascii="Times New Roman" w:hAnsi="Times New Roman" w:eastAsia="宋体" w:cs="Times New Roman"/>
          <w:sz w:val="24"/>
          <w:szCs w:val="24"/>
        </w:rPr>
      </w:pPr>
    </w:p>
    <w:p/>
    <w:p/>
    <w:p/>
    <w:p/>
    <w:p/>
    <w:p/>
    <w:p/>
    <w:p/>
    <w:p/>
    <w:p/>
    <w:p/>
    <w:p/>
    <w:p/>
    <w:p/>
    <w:p/>
    <w:p/>
    <w:p/>
    <w:p/>
    <w:p/>
    <w:p/>
    <w:p>
      <w:pPr>
        <w:spacing w:line="360" w:lineRule="auto"/>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山东新华制药股份有限公司董事会</w:t>
      </w:r>
    </w:p>
    <w:p>
      <w:pPr>
        <w:spacing w:line="360" w:lineRule="auto"/>
        <w:ind w:right="480" w:firstLine="5640" w:firstLineChars="2350"/>
        <w:rPr>
          <w:rFonts w:ascii="Times New Roman" w:hAnsi="Times New Roman" w:eastAsia="宋体" w:cs="Times New Roman"/>
          <w:sz w:val="24"/>
          <w:szCs w:val="24"/>
        </w:rPr>
      </w:pPr>
    </w:p>
    <w:p>
      <w:pPr>
        <w:spacing w:line="360" w:lineRule="auto"/>
        <w:ind w:right="480" w:firstLine="6360" w:firstLineChars="2650"/>
        <w:rPr>
          <w:rFonts w:ascii="Times New Roman" w:hAnsi="Times New Roman" w:eastAsia="宋体" w:cs="Times New Roman"/>
          <w:sz w:val="24"/>
          <w:szCs w:val="24"/>
        </w:rPr>
      </w:pPr>
      <w:r>
        <w:rPr>
          <w:rFonts w:hint="eastAsia" w:ascii="Times New Roman" w:hAnsi="Times New Roman" w:eastAsia="宋体" w:cs="Times New Roman"/>
          <w:sz w:val="24"/>
          <w:szCs w:val="24"/>
        </w:rPr>
        <w:t>20</w:t>
      </w:r>
      <w:r>
        <w:rPr>
          <w:rFonts w:ascii="Times New Roman" w:hAnsi="Times New Roman" w:eastAsia="宋体" w:cs="Times New Roman"/>
          <w:sz w:val="24"/>
          <w:szCs w:val="24"/>
        </w:rPr>
        <w:t>21</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8</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13</w:t>
      </w:r>
      <w:r>
        <w:rPr>
          <w:rFonts w:hint="eastAsia" w:ascii="Times New Roman" w:hAnsi="Times New Roman" w:eastAsia="宋体" w:cs="Times New Roman"/>
          <w:sz w:val="24"/>
          <w:szCs w:val="24"/>
        </w:rPr>
        <w:t>日</w:t>
      </w:r>
    </w:p>
    <w:p>
      <w:pPr>
        <w:pStyle w:val="2"/>
        <w:ind w:left="0" w:leftChars="0" w:firstLine="0" w:firstLineChars="0"/>
        <w:rPr>
          <w:rFonts w:hint="eastAsia" w:ascii="Times New Roman" w:hAnsi="Times New Roman" w:eastAsia="宋体" w:cs="Times New Roman"/>
          <w:sz w:val="24"/>
          <w:szCs w:val="24"/>
        </w:rPr>
      </w:pPr>
    </w:p>
    <w:p>
      <w:pPr>
        <w:pStyle w:val="2"/>
        <w:ind w:left="0" w:leftChars="0" w:firstLine="0" w:firstLineChars="0"/>
        <w:rPr>
          <w:rFonts w:hint="eastAsia" w:ascii="Times New Roman" w:hAnsi="Times New Roman" w:eastAsia="宋体" w:cs="Times New Roman"/>
          <w:sz w:val="24"/>
          <w:szCs w:val="24"/>
        </w:rPr>
      </w:pPr>
    </w:p>
    <w:p>
      <w:pPr>
        <w:pStyle w:val="2"/>
        <w:ind w:left="0" w:leftChars="0" w:firstLine="0" w:firstLineChars="0"/>
        <w:rPr>
          <w:rFonts w:hint="eastAsia" w:ascii="Times New Roman" w:hAnsi="Times New Roman" w:eastAsia="宋体" w:cs="Times New Roman"/>
          <w:sz w:val="24"/>
          <w:szCs w:val="24"/>
        </w:rPr>
      </w:pPr>
    </w:p>
    <w:p>
      <w:pPr>
        <w:pStyle w:val="2"/>
        <w:ind w:left="0" w:leftChars="0" w:firstLine="0" w:firstLineChars="0"/>
        <w:rPr>
          <w:rFonts w:hint="eastAsia" w:ascii="Times New Roman" w:hAnsi="Times New Roman" w:eastAsia="宋体" w:cs="Times New Roman"/>
          <w:sz w:val="24"/>
          <w:szCs w:val="24"/>
        </w:rPr>
      </w:pPr>
    </w:p>
    <w:p>
      <w:pPr>
        <w:pStyle w:val="2"/>
        <w:ind w:left="0" w:leftChars="0" w:firstLine="0" w:firstLineChars="0"/>
        <w:rPr>
          <w:rFonts w:hint="eastAsia" w:ascii="Times New Roman" w:hAnsi="Times New Roman" w:eastAsia="宋体" w:cs="Times New Roman"/>
          <w:sz w:val="24"/>
          <w:szCs w:val="24"/>
        </w:rPr>
      </w:pPr>
    </w:p>
    <w:p>
      <w:pPr>
        <w:pStyle w:val="2"/>
        <w:ind w:left="0" w:leftChars="0" w:firstLine="0" w:firstLineChars="0"/>
        <w:rPr>
          <w:rFonts w:hint="eastAsia" w:ascii="Times New Roman" w:hAnsi="Times New Roman" w:eastAsia="宋体" w:cs="Times New Roman"/>
          <w:sz w:val="24"/>
          <w:szCs w:val="24"/>
        </w:rPr>
      </w:pPr>
    </w:p>
    <w:p>
      <w:pPr>
        <w:pStyle w:val="2"/>
        <w:ind w:left="0" w:leftChars="0" w:firstLine="0" w:firstLineChars="0"/>
        <w:rPr>
          <w:rFonts w:hint="eastAsia" w:ascii="Times New Roman" w:hAnsi="Times New Roman" w:eastAsia="宋体" w:cs="Times New Roman"/>
          <w:sz w:val="24"/>
          <w:szCs w:val="24"/>
        </w:rPr>
      </w:pPr>
    </w:p>
    <w:p>
      <w:pPr>
        <w:pStyle w:val="2"/>
        <w:ind w:left="0" w:leftChars="0" w:firstLine="0" w:firstLineChars="0"/>
        <w:rPr>
          <w:rFonts w:hint="eastAsia" w:ascii="Times New Roman" w:hAnsi="Times New Roman" w:eastAsia="宋体" w:cs="Times New Roman"/>
          <w:sz w:val="24"/>
          <w:szCs w:val="24"/>
        </w:rPr>
      </w:pPr>
    </w:p>
    <w:p>
      <w:pPr>
        <w:pStyle w:val="2"/>
        <w:ind w:left="0" w:leftChars="0" w:firstLine="0" w:firstLineChars="0"/>
        <w:rPr>
          <w:rFonts w:hint="eastAsia" w:ascii="Times New Roman" w:hAnsi="Times New Roman" w:eastAsia="宋体" w:cs="Times New Roman"/>
          <w:sz w:val="24"/>
          <w:szCs w:val="24"/>
        </w:rPr>
      </w:pPr>
    </w:p>
    <w:p>
      <w:pPr>
        <w:widowControl/>
        <w:spacing w:line="288" w:lineRule="auto"/>
        <w:jc w:val="center"/>
        <w:rPr>
          <w:rFonts w:ascii="Times New Roman" w:hAnsi="Times New Roman"/>
          <w:sz w:val="24"/>
        </w:rPr>
      </w:pPr>
    </w:p>
    <w:p>
      <w:pPr>
        <w:widowControl/>
        <w:spacing w:line="288" w:lineRule="auto"/>
        <w:jc w:val="center"/>
        <w:rPr>
          <w:rFonts w:hint="eastAsia" w:ascii="Times New Roman" w:hAnsi="Times New Roman"/>
          <w:sz w:val="24"/>
        </w:rPr>
      </w:pPr>
      <w:r>
        <w:rPr>
          <w:rFonts w:ascii="Times New Roman" w:hAnsi="Times New Roman"/>
          <w:sz w:val="24"/>
        </w:rPr>
        <w:t xml:space="preserve">证券代码：000756     </w:t>
      </w:r>
      <w:r>
        <w:rPr>
          <w:rFonts w:hint="eastAsia" w:ascii="Times New Roman" w:hAnsi="Times New Roman"/>
          <w:sz w:val="24"/>
          <w:lang w:val="en-US" w:eastAsia="zh-CN"/>
        </w:rPr>
        <w:t xml:space="preserve">      </w:t>
      </w:r>
      <w:r>
        <w:rPr>
          <w:rFonts w:ascii="Times New Roman" w:hAnsi="Times New Roman"/>
          <w:sz w:val="24"/>
        </w:rPr>
        <w:t xml:space="preserve">   证券简称：新华制药   </w:t>
      </w:r>
      <w:r>
        <w:rPr>
          <w:rFonts w:hint="eastAsia" w:ascii="Times New Roman" w:hAnsi="Times New Roman"/>
          <w:sz w:val="24"/>
          <w:lang w:val="en-US" w:eastAsia="zh-CN"/>
        </w:rPr>
        <w:t xml:space="preserve"> </w:t>
      </w:r>
      <w:r>
        <w:rPr>
          <w:rFonts w:ascii="Times New Roman" w:hAnsi="Times New Roman"/>
          <w:sz w:val="24"/>
        </w:rPr>
        <w:t xml:space="preserve"> </w:t>
      </w:r>
      <w:r>
        <w:rPr>
          <w:rFonts w:hint="eastAsia" w:ascii="Times New Roman" w:hAnsi="Times New Roman"/>
          <w:sz w:val="24"/>
          <w:lang w:val="en-US" w:eastAsia="zh-CN"/>
        </w:rPr>
        <w:t xml:space="preserve">  </w:t>
      </w:r>
      <w:r>
        <w:rPr>
          <w:rFonts w:ascii="Times New Roman" w:hAnsi="Times New Roman"/>
          <w:sz w:val="24"/>
        </w:rPr>
        <w:t xml:space="preserve">    公告编号：2021-</w:t>
      </w:r>
      <w:r>
        <w:rPr>
          <w:rFonts w:hint="eastAsia" w:ascii="Times New Roman" w:hAnsi="Times New Roman"/>
          <w:sz w:val="24"/>
          <w:lang w:val="en-US" w:eastAsia="zh-CN"/>
        </w:rPr>
        <w:t>45</w:t>
      </w:r>
    </w:p>
    <w:p>
      <w:pPr>
        <w:spacing w:line="288" w:lineRule="auto"/>
        <w:jc w:val="center"/>
        <w:rPr>
          <w:rFonts w:ascii="Times New Roman" w:hAnsi="Times New Roman"/>
          <w:b/>
          <w:sz w:val="24"/>
        </w:rPr>
      </w:pPr>
    </w:p>
    <w:p>
      <w:pPr>
        <w:widowControl/>
        <w:spacing w:line="288" w:lineRule="auto"/>
        <w:jc w:val="center"/>
        <w:outlineLvl w:val="0"/>
        <w:rPr>
          <w:rFonts w:ascii="Times New Roman" w:hAnsi="Times New Roman"/>
          <w:b/>
          <w:sz w:val="28"/>
          <w:szCs w:val="28"/>
        </w:rPr>
      </w:pPr>
      <w:r>
        <w:rPr>
          <w:rFonts w:hint="eastAsia" w:ascii="Times New Roman" w:hAnsi="Times New Roman"/>
          <w:b/>
          <w:sz w:val="28"/>
          <w:szCs w:val="28"/>
        </w:rPr>
        <w:t>山东新华制药股份有限公司</w:t>
      </w:r>
    </w:p>
    <w:p>
      <w:pPr>
        <w:widowControl/>
        <w:spacing w:line="288" w:lineRule="auto"/>
        <w:jc w:val="center"/>
        <w:outlineLvl w:val="0"/>
        <w:rPr>
          <w:rFonts w:ascii="Times New Roman" w:hAnsi="Times New Roman"/>
          <w:b/>
          <w:sz w:val="28"/>
          <w:szCs w:val="28"/>
        </w:rPr>
      </w:pPr>
      <w:r>
        <w:rPr>
          <w:rFonts w:hint="eastAsia" w:ascii="Times New Roman" w:hAnsi="Times New Roman"/>
          <w:b/>
          <w:sz w:val="28"/>
          <w:szCs w:val="28"/>
        </w:rPr>
        <w:t>关于公司调整非公开发行股票方案涉及关联交易</w:t>
      </w:r>
      <w:r>
        <w:rPr>
          <w:rFonts w:ascii="Times New Roman" w:hAnsi="Times New Roman"/>
          <w:b/>
          <w:sz w:val="28"/>
          <w:szCs w:val="28"/>
        </w:rPr>
        <w:t>的</w:t>
      </w:r>
      <w:r>
        <w:rPr>
          <w:rFonts w:hint="eastAsia" w:ascii="Times New Roman" w:hAnsi="Times New Roman"/>
          <w:b/>
          <w:sz w:val="28"/>
          <w:szCs w:val="28"/>
        </w:rPr>
        <w:t>公告</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本公司及董事会全体成员保证公告内容真实、准确、完整，没有虚假记载、误导性陈述或重大遗漏。</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特别提示：公司本次非公开发行股票事宜尚须获得有权国有资产管理机构同意以及中国证券监督管理委员会（以下称中国证监会）的核准。</w:t>
      </w:r>
    </w:p>
    <w:p>
      <w:pPr>
        <w:spacing w:line="288" w:lineRule="auto"/>
        <w:ind w:firstLine="480" w:firstLineChars="200"/>
        <w:rPr>
          <w:rFonts w:ascii="Times New Roman" w:hAnsi="Times New Roman"/>
          <w:sz w:val="24"/>
        </w:rPr>
      </w:pPr>
    </w:p>
    <w:p>
      <w:pPr>
        <w:spacing w:line="288" w:lineRule="auto"/>
        <w:ind w:firstLine="482" w:firstLineChars="200"/>
        <w:outlineLvl w:val="0"/>
        <w:rPr>
          <w:rFonts w:ascii="Times New Roman" w:hAnsi="Times New Roman"/>
          <w:b/>
          <w:sz w:val="24"/>
        </w:rPr>
      </w:pPr>
      <w:r>
        <w:rPr>
          <w:rFonts w:hint="eastAsia" w:ascii="Times New Roman" w:hAnsi="Times New Roman"/>
          <w:b/>
          <w:sz w:val="24"/>
        </w:rPr>
        <w:t>一、关联交易概述</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山东新华制药股份有限公司（以下称公司</w:t>
      </w:r>
      <w:r>
        <w:rPr>
          <w:rFonts w:ascii="Times New Roman" w:hAnsi="Times New Roman"/>
          <w:sz w:val="24"/>
        </w:rPr>
        <w:t>或本</w:t>
      </w:r>
      <w:r>
        <w:rPr>
          <w:rFonts w:hint="eastAsia" w:ascii="Times New Roman" w:hAnsi="Times New Roman"/>
          <w:sz w:val="24"/>
        </w:rPr>
        <w:t>公司）拟向特定对象非公开发行不超</w:t>
      </w:r>
      <w:r>
        <w:rPr>
          <w:rFonts w:hint="eastAsia" w:ascii="Times New Roman" w:hAnsi="Times New Roman"/>
          <w:sz w:val="24"/>
          <w:szCs w:val="24"/>
        </w:rPr>
        <w:t>过3</w:t>
      </w:r>
      <w:r>
        <w:rPr>
          <w:rFonts w:ascii="Times New Roman" w:hAnsi="Times New Roman"/>
          <w:sz w:val="24"/>
          <w:szCs w:val="24"/>
        </w:rPr>
        <w:t>6,284,470</w:t>
      </w:r>
      <w:r>
        <w:rPr>
          <w:rFonts w:hint="eastAsia" w:ascii="Times New Roman" w:hAnsi="Times New Roman"/>
          <w:sz w:val="24"/>
        </w:rPr>
        <w:t>股</w:t>
      </w:r>
      <w:r>
        <w:rPr>
          <w:rFonts w:ascii="Times New Roman" w:hAnsi="Times New Roman"/>
          <w:sz w:val="24"/>
        </w:rPr>
        <w:t>A</w:t>
      </w:r>
      <w:r>
        <w:rPr>
          <w:rFonts w:hint="eastAsia" w:ascii="Times New Roman" w:hAnsi="Times New Roman"/>
          <w:sz w:val="24"/>
        </w:rPr>
        <w:t>股股票（以下称本次非公开发行），发行对象为公司控股股东华鲁控股集团有限公司（以下称华鲁控股）的全资子公司华鲁投资发展有限公司（以下称华鲁投资）。根据《深圳证券交易所股票上市规则》第1</w:t>
      </w:r>
      <w:r>
        <w:rPr>
          <w:rFonts w:ascii="Times New Roman" w:hAnsi="Times New Roman"/>
          <w:sz w:val="24"/>
        </w:rPr>
        <w:t>0.1.3</w:t>
      </w:r>
      <w:r>
        <w:rPr>
          <w:rFonts w:hint="eastAsia" w:ascii="Times New Roman" w:hAnsi="Times New Roman"/>
          <w:sz w:val="24"/>
        </w:rPr>
        <w:t>条之规定，华鲁投资认购公司本次非公开发行股份构成公司的关联交易。详见《关于与认购对象签订附条件生效的股份认购合同暨关联交易的公告》（公告编号：20</w:t>
      </w:r>
      <w:r>
        <w:rPr>
          <w:rFonts w:ascii="Times New Roman" w:hAnsi="Times New Roman"/>
          <w:sz w:val="24"/>
        </w:rPr>
        <w:t>21-25</w:t>
      </w:r>
      <w:r>
        <w:rPr>
          <w:rFonts w:hint="eastAsia" w:ascii="Times New Roman" w:hAnsi="Times New Roman"/>
          <w:sz w:val="24"/>
        </w:rPr>
        <w:t>）。</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szCs w:val="24"/>
        </w:rPr>
        <w:t>鉴于公司</w:t>
      </w:r>
      <w:r>
        <w:rPr>
          <w:rFonts w:ascii="Times New Roman" w:hAnsi="Times New Roman"/>
          <w:sz w:val="24"/>
          <w:szCs w:val="24"/>
        </w:rPr>
        <w:t>2020</w:t>
      </w:r>
      <w:r>
        <w:rPr>
          <w:rFonts w:hint="eastAsia" w:ascii="Times New Roman" w:hAnsi="Times New Roman"/>
          <w:sz w:val="24"/>
        </w:rPr>
        <w:t>年度权益分派方案已实施完毕</w:t>
      </w:r>
      <w:r>
        <w:rPr>
          <w:rFonts w:hint="eastAsia" w:ascii="Times New Roman" w:hAnsi="Times New Roman"/>
          <w:sz w:val="24"/>
          <w:szCs w:val="24"/>
        </w:rPr>
        <w:t>，同时</w:t>
      </w:r>
      <w:r>
        <w:rPr>
          <w:rFonts w:hint="eastAsia" w:ascii="Times New Roman" w:hAnsi="Times New Roman"/>
          <w:sz w:val="24"/>
        </w:rPr>
        <w:t>按照中国证监会监管审核要求，公司对本次非公开发行</w:t>
      </w:r>
      <w:r>
        <w:rPr>
          <w:rFonts w:ascii="Times New Roman" w:hAnsi="Times New Roman"/>
          <w:sz w:val="24"/>
        </w:rPr>
        <w:t>的方案进行了</w:t>
      </w:r>
      <w:r>
        <w:rPr>
          <w:rFonts w:hint="eastAsia" w:ascii="Times New Roman" w:hAnsi="Times New Roman"/>
          <w:sz w:val="24"/>
        </w:rPr>
        <w:t>调整，并与发行对象签订了附条件生效的非公开发行股份认购合同的补充合同。华鲁投资与</w:t>
      </w:r>
      <w:r>
        <w:rPr>
          <w:rFonts w:ascii="Times New Roman" w:hAnsi="Times New Roman"/>
          <w:sz w:val="24"/>
        </w:rPr>
        <w:t>公司签署股份认购合同之补充合同构成关联交易</w:t>
      </w:r>
      <w:r>
        <w:rPr>
          <w:rFonts w:hint="eastAsia" w:ascii="Times New Roman" w:hAnsi="Times New Roman"/>
          <w:sz w:val="24"/>
        </w:rPr>
        <w:t>。</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公司董事会已按照《山东新华制药股份有限公司章程》等相关规定于</w:t>
      </w:r>
      <w:r>
        <w:rPr>
          <w:rFonts w:ascii="Times New Roman" w:hAnsi="Times New Roman"/>
          <w:sz w:val="24"/>
        </w:rPr>
        <w:t>2021</w:t>
      </w:r>
      <w:r>
        <w:rPr>
          <w:rFonts w:hint="eastAsia" w:ascii="Times New Roman" w:hAnsi="Times New Roman"/>
          <w:sz w:val="24"/>
        </w:rPr>
        <w:t>年</w:t>
      </w:r>
      <w:r>
        <w:rPr>
          <w:rFonts w:ascii="Times New Roman" w:hAnsi="Times New Roman"/>
          <w:sz w:val="24"/>
        </w:rPr>
        <w:t>8月</w:t>
      </w:r>
      <w:r>
        <w:rPr>
          <w:rFonts w:hint="eastAsia" w:ascii="Times New Roman" w:hAnsi="Times New Roman"/>
          <w:sz w:val="24"/>
          <w:lang w:val="en-US" w:eastAsia="zh-CN"/>
        </w:rPr>
        <w:t>13</w:t>
      </w:r>
      <w:r>
        <w:rPr>
          <w:rFonts w:hint="eastAsia" w:ascii="Times New Roman" w:hAnsi="Times New Roman"/>
          <w:sz w:val="24"/>
        </w:rPr>
        <w:t>日召开了第十届董事会20</w:t>
      </w:r>
      <w:r>
        <w:rPr>
          <w:rFonts w:ascii="Times New Roman" w:hAnsi="Times New Roman"/>
          <w:sz w:val="24"/>
        </w:rPr>
        <w:t>21</w:t>
      </w:r>
      <w:r>
        <w:rPr>
          <w:rFonts w:hint="eastAsia" w:ascii="Times New Roman" w:hAnsi="Times New Roman"/>
          <w:sz w:val="24"/>
        </w:rPr>
        <w:t>年第三次临时会议，审议通过了本次关联交易的相关事宜，关联董事丛克春已在相关议案上回避表决；公司独立董事已对本次关联交易发表事前认可意见及独立意见。</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上述交易尚须有权国有资产管理机构以及中国证监会的核准。</w:t>
      </w:r>
    </w:p>
    <w:p>
      <w:pPr>
        <w:spacing w:line="288" w:lineRule="auto"/>
        <w:ind w:firstLine="480" w:firstLineChars="200"/>
        <w:rPr>
          <w:rFonts w:ascii="Times New Roman" w:hAnsi="Times New Roman"/>
          <w:sz w:val="24"/>
        </w:rPr>
      </w:pPr>
    </w:p>
    <w:p>
      <w:pPr>
        <w:spacing w:line="288" w:lineRule="auto"/>
        <w:ind w:firstLine="482" w:firstLineChars="200"/>
        <w:outlineLvl w:val="0"/>
        <w:rPr>
          <w:rFonts w:ascii="Times New Roman" w:hAnsi="Times New Roman"/>
          <w:b/>
          <w:sz w:val="24"/>
        </w:rPr>
      </w:pPr>
      <w:r>
        <w:rPr>
          <w:rFonts w:hint="eastAsia" w:ascii="Times New Roman" w:hAnsi="Times New Roman"/>
          <w:b/>
          <w:sz w:val="24"/>
        </w:rPr>
        <w:t>二、关联方基本情况</w:t>
      </w:r>
    </w:p>
    <w:p>
      <w:pPr>
        <w:spacing w:line="288" w:lineRule="auto"/>
        <w:ind w:firstLine="480" w:firstLineChars="200"/>
        <w:rPr>
          <w:rFonts w:ascii="Times New Roman" w:hAnsi="Times New Roman"/>
          <w:sz w:val="24"/>
        </w:rPr>
      </w:pPr>
    </w:p>
    <w:p>
      <w:pPr>
        <w:spacing w:line="288" w:lineRule="auto"/>
        <w:ind w:firstLine="480" w:firstLineChars="200"/>
        <w:outlineLvl w:val="2"/>
        <w:rPr>
          <w:rFonts w:ascii="Times New Roman" w:hAnsi="Times New Roman"/>
          <w:sz w:val="24"/>
        </w:rPr>
      </w:pPr>
      <w:r>
        <w:rPr>
          <w:rFonts w:hint="eastAsia" w:ascii="Times New Roman" w:hAnsi="Times New Roman"/>
          <w:sz w:val="24"/>
        </w:rPr>
        <w:t>1、基本情况</w:t>
      </w:r>
    </w:p>
    <w:p>
      <w:pPr>
        <w:spacing w:line="288" w:lineRule="auto"/>
        <w:ind w:firstLine="480" w:firstLineChars="200"/>
        <w:rPr>
          <w:rFonts w:ascii="Times New Roman" w:hAnsi="Times New Roman"/>
          <w:sz w:val="24"/>
        </w:rPr>
      </w:pPr>
    </w:p>
    <w:tbl>
      <w:tblPr>
        <w:tblStyle w:val="31"/>
        <w:tblW w:w="7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8" w:type="dxa"/>
            <w:shd w:val="clear" w:color="auto" w:fill="auto"/>
            <w:vAlign w:val="top"/>
          </w:tcPr>
          <w:p>
            <w:pPr>
              <w:spacing w:line="288" w:lineRule="auto"/>
              <w:rPr>
                <w:rFonts w:ascii="Times New Roman" w:hAnsi="Times New Roman"/>
                <w:sz w:val="24"/>
              </w:rPr>
            </w:pPr>
            <w:r>
              <w:rPr>
                <w:rFonts w:hint="eastAsia" w:ascii="Times New Roman" w:hAnsi="Times New Roman"/>
                <w:sz w:val="24"/>
              </w:rPr>
              <w:t>企业名称</w:t>
            </w:r>
          </w:p>
        </w:tc>
        <w:tc>
          <w:tcPr>
            <w:tcW w:w="5570" w:type="dxa"/>
            <w:shd w:val="clear" w:color="auto" w:fill="auto"/>
            <w:vAlign w:val="top"/>
          </w:tcPr>
          <w:p>
            <w:pPr>
              <w:spacing w:line="288" w:lineRule="auto"/>
              <w:rPr>
                <w:rFonts w:ascii="Times New Roman" w:hAnsi="Times New Roman"/>
                <w:sz w:val="24"/>
              </w:rPr>
            </w:pPr>
            <w:r>
              <w:rPr>
                <w:rFonts w:hint="eastAsia" w:ascii="Times New Roman" w:hAnsi="Times New Roman"/>
                <w:sz w:val="24"/>
              </w:rPr>
              <w:t>华鲁投资发展有限公司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8" w:type="dxa"/>
            <w:shd w:val="clear" w:color="auto" w:fill="auto"/>
            <w:vAlign w:val="top"/>
          </w:tcPr>
          <w:p>
            <w:pPr>
              <w:spacing w:line="288" w:lineRule="auto"/>
              <w:rPr>
                <w:rFonts w:ascii="Times New Roman" w:hAnsi="Times New Roman"/>
                <w:sz w:val="24"/>
              </w:rPr>
            </w:pPr>
            <w:r>
              <w:rPr>
                <w:rFonts w:hint="eastAsia" w:ascii="Times New Roman" w:hAnsi="Times New Roman"/>
                <w:sz w:val="24"/>
              </w:rPr>
              <w:t>法定地址</w:t>
            </w:r>
          </w:p>
        </w:tc>
        <w:tc>
          <w:tcPr>
            <w:tcW w:w="5570" w:type="dxa"/>
            <w:shd w:val="clear" w:color="auto" w:fill="auto"/>
            <w:vAlign w:val="top"/>
          </w:tcPr>
          <w:p>
            <w:pPr>
              <w:spacing w:line="288" w:lineRule="auto"/>
              <w:rPr>
                <w:rFonts w:ascii="Times New Roman" w:hAnsi="Times New Roman"/>
                <w:sz w:val="24"/>
              </w:rPr>
            </w:pPr>
            <w:r>
              <w:rPr>
                <w:rFonts w:hint="eastAsia" w:ascii="Times New Roman" w:hAnsi="Times New Roman"/>
                <w:sz w:val="24"/>
              </w:rPr>
              <w:t>济南市高新技术产业开发区舜海路219号华创观礼中心2号楼21层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8" w:type="dxa"/>
            <w:shd w:val="clear" w:color="auto" w:fill="auto"/>
            <w:vAlign w:val="top"/>
          </w:tcPr>
          <w:p>
            <w:pPr>
              <w:spacing w:line="288" w:lineRule="auto"/>
              <w:rPr>
                <w:rFonts w:ascii="Times New Roman" w:hAnsi="Times New Roman"/>
                <w:sz w:val="24"/>
              </w:rPr>
            </w:pPr>
            <w:r>
              <w:rPr>
                <w:rFonts w:hint="eastAsia" w:ascii="Times New Roman" w:hAnsi="Times New Roman"/>
                <w:sz w:val="24"/>
              </w:rPr>
              <w:t>法定代表人</w:t>
            </w:r>
          </w:p>
        </w:tc>
        <w:tc>
          <w:tcPr>
            <w:tcW w:w="5570" w:type="dxa"/>
            <w:shd w:val="clear" w:color="auto" w:fill="auto"/>
            <w:vAlign w:val="top"/>
          </w:tcPr>
          <w:p>
            <w:pPr>
              <w:spacing w:line="288" w:lineRule="auto"/>
              <w:rPr>
                <w:rFonts w:ascii="Times New Roman" w:hAnsi="Times New Roman"/>
                <w:sz w:val="24"/>
              </w:rPr>
            </w:pPr>
            <w:r>
              <w:rPr>
                <w:rFonts w:hint="eastAsia" w:ascii="Times New Roman" w:hAnsi="Times New Roman"/>
                <w:sz w:val="24"/>
              </w:rPr>
              <w:t>张成勇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8" w:type="dxa"/>
            <w:shd w:val="clear" w:color="auto" w:fill="auto"/>
            <w:vAlign w:val="top"/>
          </w:tcPr>
          <w:p>
            <w:pPr>
              <w:spacing w:line="288" w:lineRule="auto"/>
              <w:rPr>
                <w:rFonts w:ascii="Times New Roman" w:hAnsi="Times New Roman"/>
                <w:sz w:val="24"/>
              </w:rPr>
            </w:pPr>
            <w:r>
              <w:rPr>
                <w:rFonts w:hint="eastAsia" w:ascii="Times New Roman" w:hAnsi="Times New Roman"/>
                <w:sz w:val="24"/>
              </w:rPr>
              <w:t>注册资本</w:t>
            </w:r>
          </w:p>
        </w:tc>
        <w:tc>
          <w:tcPr>
            <w:tcW w:w="5570" w:type="dxa"/>
            <w:shd w:val="clear" w:color="auto" w:fill="auto"/>
            <w:vAlign w:val="top"/>
          </w:tcPr>
          <w:p>
            <w:pPr>
              <w:spacing w:line="288" w:lineRule="auto"/>
              <w:rPr>
                <w:rFonts w:ascii="Times New Roman" w:hAnsi="Times New Roman"/>
                <w:sz w:val="24"/>
              </w:rPr>
            </w:pPr>
            <w:r>
              <w:rPr>
                <w:rFonts w:hint="eastAsia" w:ascii="Times New Roman" w:hAnsi="Times New Roman"/>
                <w:sz w:val="24"/>
              </w:rPr>
              <w:t>30,000万元人民币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8" w:type="dxa"/>
            <w:shd w:val="clear" w:color="auto" w:fill="auto"/>
            <w:vAlign w:val="top"/>
          </w:tcPr>
          <w:p>
            <w:pPr>
              <w:spacing w:line="288" w:lineRule="auto"/>
              <w:rPr>
                <w:rFonts w:ascii="Times New Roman" w:hAnsi="Times New Roman"/>
                <w:sz w:val="24"/>
              </w:rPr>
            </w:pPr>
            <w:r>
              <w:rPr>
                <w:rFonts w:hint="eastAsia" w:ascii="Times New Roman" w:hAnsi="Times New Roman"/>
                <w:sz w:val="24"/>
              </w:rPr>
              <w:t>统一社会信用代码</w:t>
            </w:r>
          </w:p>
        </w:tc>
        <w:tc>
          <w:tcPr>
            <w:tcW w:w="5570" w:type="dxa"/>
            <w:shd w:val="clear" w:color="auto" w:fill="auto"/>
            <w:vAlign w:val="top"/>
          </w:tcPr>
          <w:p>
            <w:pPr>
              <w:spacing w:line="288" w:lineRule="auto"/>
              <w:rPr>
                <w:rFonts w:ascii="Times New Roman" w:hAnsi="Times New Roman"/>
                <w:sz w:val="24"/>
              </w:rPr>
            </w:pPr>
            <w:r>
              <w:rPr>
                <w:rFonts w:ascii="Times New Roman" w:hAnsi="Times New Roman"/>
                <w:sz w:val="24"/>
              </w:rPr>
              <w:t>91370000MA3CCJRU8T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8" w:type="dxa"/>
            <w:shd w:val="clear" w:color="auto" w:fill="auto"/>
            <w:vAlign w:val="top"/>
          </w:tcPr>
          <w:p>
            <w:pPr>
              <w:spacing w:line="288" w:lineRule="auto"/>
              <w:rPr>
                <w:rFonts w:ascii="Times New Roman" w:hAnsi="Times New Roman"/>
                <w:sz w:val="24"/>
              </w:rPr>
            </w:pPr>
            <w:r>
              <w:rPr>
                <w:rFonts w:hint="eastAsia" w:ascii="Times New Roman" w:hAnsi="Times New Roman"/>
                <w:sz w:val="24"/>
              </w:rPr>
              <w:t>经营范围</w:t>
            </w:r>
          </w:p>
        </w:tc>
        <w:tc>
          <w:tcPr>
            <w:tcW w:w="5570" w:type="dxa"/>
            <w:shd w:val="clear" w:color="auto" w:fill="auto"/>
            <w:vAlign w:val="top"/>
          </w:tcPr>
          <w:p>
            <w:pPr>
              <w:spacing w:line="288" w:lineRule="auto"/>
              <w:rPr>
                <w:rFonts w:ascii="Times New Roman" w:hAnsi="Times New Roman"/>
                <w:sz w:val="24"/>
              </w:rPr>
            </w:pPr>
            <w:r>
              <w:rPr>
                <w:rFonts w:hint="eastAsia" w:ascii="Times New Roman" w:hAnsi="Times New Roman"/>
                <w:sz w:val="24"/>
              </w:rPr>
              <w:t>以自有资金对外投资及管理、投资咨询。（依法须经批准的项目，经相关部门批准后方可开展经营活动）</w:t>
            </w:r>
          </w:p>
        </w:tc>
      </w:tr>
    </w:tbl>
    <w:p>
      <w:pPr>
        <w:spacing w:line="288" w:lineRule="auto"/>
        <w:ind w:firstLine="480" w:firstLineChars="200"/>
        <w:rPr>
          <w:rFonts w:ascii="Times New Roman" w:hAnsi="Times New Roman"/>
          <w:sz w:val="24"/>
        </w:rPr>
      </w:pPr>
    </w:p>
    <w:p>
      <w:pPr>
        <w:spacing w:line="288" w:lineRule="auto"/>
        <w:ind w:firstLine="480" w:firstLineChars="200"/>
        <w:outlineLvl w:val="2"/>
        <w:rPr>
          <w:rFonts w:ascii="Times New Roman" w:hAnsi="Times New Roman"/>
          <w:sz w:val="24"/>
        </w:rPr>
      </w:pPr>
      <w:r>
        <w:rPr>
          <w:rFonts w:hint="eastAsia" w:ascii="Times New Roman" w:hAnsi="Times New Roman"/>
          <w:sz w:val="24"/>
        </w:rPr>
        <w:t>2、股权控制关系</w:t>
      </w:r>
    </w:p>
    <w:p>
      <w:pPr>
        <w:spacing w:line="288" w:lineRule="auto"/>
        <w:ind w:firstLine="480" w:firstLineChars="200"/>
        <w:outlineLvl w:val="2"/>
        <w:rPr>
          <w:rFonts w:ascii="Times New Roman" w:hAnsi="Times New Roman"/>
          <w:sz w:val="24"/>
        </w:rPr>
      </w:pPr>
    </w:p>
    <w:p>
      <w:pPr>
        <w:spacing w:line="288" w:lineRule="auto"/>
        <w:rPr>
          <w:rFonts w:ascii="Times New Roman" w:hAnsi="Times New Roman"/>
          <w:sz w:val="24"/>
        </w:rPr>
      </w:pPr>
      <w:r>
        <w:rPr>
          <w:rFonts w:ascii="Times New Roman" w:hAnsi="Times New Roman"/>
          <w:sz w:val="24"/>
        </w:rPr>
        <w:drawing>
          <wp:inline distT="0" distB="0" distL="114300" distR="114300">
            <wp:extent cx="4194810" cy="4518025"/>
            <wp:effectExtent l="0" t="0" r="15240" b="15875"/>
            <wp:docPr id="6" name="图片 2" descr="股权图2021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股权图20210408"/>
                    <pic:cNvPicPr>
                      <a:picLocks noChangeAspect="1"/>
                    </pic:cNvPicPr>
                  </pic:nvPicPr>
                  <pic:blipFill>
                    <a:blip r:embed="rId18"/>
                    <a:stretch>
                      <a:fillRect/>
                    </a:stretch>
                  </pic:blipFill>
                  <pic:spPr>
                    <a:xfrm>
                      <a:off x="0" y="0"/>
                      <a:ext cx="4194810" cy="4518025"/>
                    </a:xfrm>
                    <a:prstGeom prst="rect">
                      <a:avLst/>
                    </a:prstGeom>
                    <a:noFill/>
                    <a:ln w="9525">
                      <a:noFill/>
                    </a:ln>
                  </pic:spPr>
                </pic:pic>
              </a:graphicData>
            </a:graphic>
          </wp:inline>
        </w:drawing>
      </w:r>
    </w:p>
    <w:p>
      <w:pPr>
        <w:spacing w:line="288" w:lineRule="auto"/>
        <w:ind w:firstLine="480" w:firstLineChars="200"/>
        <w:rPr>
          <w:rFonts w:ascii="Times New Roman" w:hAnsi="Times New Roman"/>
          <w:sz w:val="24"/>
        </w:rPr>
      </w:pPr>
    </w:p>
    <w:p>
      <w:pPr>
        <w:spacing w:line="288" w:lineRule="auto"/>
        <w:ind w:firstLine="480" w:firstLineChars="200"/>
        <w:outlineLvl w:val="2"/>
        <w:rPr>
          <w:rFonts w:ascii="Times New Roman" w:hAnsi="Times New Roman"/>
          <w:sz w:val="24"/>
        </w:rPr>
      </w:pPr>
      <w:r>
        <w:rPr>
          <w:rFonts w:ascii="Times New Roman" w:hAnsi="Times New Roman"/>
          <w:sz w:val="24"/>
        </w:rPr>
        <w:t>3</w:t>
      </w:r>
      <w:r>
        <w:rPr>
          <w:rFonts w:hint="eastAsia" w:ascii="Times New Roman" w:hAnsi="Times New Roman"/>
          <w:sz w:val="24"/>
        </w:rPr>
        <w:t>、关联关系构成说明</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华鲁投资为公司控股股东华鲁控股的全资子公司，根据《深圳证券交易所股票上市规则》第10.1.3条之规定，华鲁投资构成公司的关联方，因此华鲁投资认购公司本次非公开发行股份、与</w:t>
      </w:r>
      <w:r>
        <w:rPr>
          <w:rFonts w:ascii="Times New Roman" w:hAnsi="Times New Roman"/>
          <w:sz w:val="24"/>
        </w:rPr>
        <w:t>公司签署股份认购合同之补充合同构成关联交易</w:t>
      </w:r>
      <w:r>
        <w:rPr>
          <w:rFonts w:hint="eastAsia" w:ascii="Times New Roman" w:hAnsi="Times New Roman"/>
          <w:sz w:val="24"/>
        </w:rPr>
        <w:t>。</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ascii="Times New Roman" w:hAnsi="Times New Roman"/>
          <w:sz w:val="24"/>
        </w:rPr>
        <w:t>4</w:t>
      </w:r>
      <w:r>
        <w:rPr>
          <w:rFonts w:hint="eastAsia" w:ascii="Times New Roman" w:hAnsi="Times New Roman"/>
          <w:sz w:val="24"/>
        </w:rPr>
        <w:t>、20</w:t>
      </w:r>
      <w:r>
        <w:rPr>
          <w:rFonts w:ascii="Times New Roman" w:hAnsi="Times New Roman"/>
          <w:sz w:val="24"/>
        </w:rPr>
        <w:t>21</w:t>
      </w:r>
      <w:r>
        <w:rPr>
          <w:rFonts w:hint="eastAsia" w:ascii="Times New Roman" w:hAnsi="Times New Roman"/>
          <w:sz w:val="24"/>
        </w:rPr>
        <w:t>年公司与该关联人已发生的各类关联交易的总金额</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ascii="Times New Roman" w:hAnsi="Times New Roman"/>
          <w:sz w:val="24"/>
        </w:rPr>
        <w:t>除就本次非公开发行</w:t>
      </w:r>
      <w:r>
        <w:rPr>
          <w:rFonts w:hint="eastAsia" w:ascii="Times New Roman" w:hAnsi="Times New Roman"/>
          <w:sz w:val="24"/>
        </w:rPr>
        <w:t>，</w:t>
      </w:r>
      <w:r>
        <w:rPr>
          <w:rFonts w:ascii="Times New Roman" w:hAnsi="Times New Roman"/>
          <w:sz w:val="24"/>
        </w:rPr>
        <w:t>公司与</w:t>
      </w:r>
      <w:r>
        <w:rPr>
          <w:rFonts w:hint="eastAsia" w:ascii="Times New Roman" w:hAnsi="Times New Roman"/>
          <w:sz w:val="24"/>
        </w:rPr>
        <w:t>该关联人于20</w:t>
      </w:r>
      <w:r>
        <w:rPr>
          <w:rFonts w:ascii="Times New Roman" w:hAnsi="Times New Roman"/>
          <w:sz w:val="24"/>
        </w:rPr>
        <w:t>21</w:t>
      </w:r>
      <w:r>
        <w:rPr>
          <w:rFonts w:hint="eastAsia" w:ascii="Times New Roman" w:hAnsi="Times New Roman"/>
          <w:sz w:val="24"/>
        </w:rPr>
        <w:t>年</w:t>
      </w:r>
      <w:r>
        <w:rPr>
          <w:rFonts w:ascii="Times New Roman" w:hAnsi="Times New Roman"/>
          <w:sz w:val="24"/>
        </w:rPr>
        <w:t>4</w:t>
      </w:r>
      <w:r>
        <w:rPr>
          <w:rFonts w:hint="eastAsia" w:ascii="Times New Roman" w:hAnsi="Times New Roman"/>
          <w:sz w:val="24"/>
        </w:rPr>
        <w:t>月</w:t>
      </w:r>
      <w:r>
        <w:rPr>
          <w:rFonts w:ascii="Times New Roman" w:hAnsi="Times New Roman"/>
          <w:sz w:val="24"/>
        </w:rPr>
        <w:t>14</w:t>
      </w:r>
      <w:r>
        <w:rPr>
          <w:rFonts w:hint="eastAsia" w:ascii="Times New Roman" w:hAnsi="Times New Roman"/>
          <w:sz w:val="24"/>
        </w:rPr>
        <w:t>日签署附条件生效的非公开发行股份认购合同外，2021年本公司未与该关联人发生任何关联交易</w:t>
      </w:r>
      <w:r>
        <w:rPr>
          <w:rFonts w:ascii="Times New Roman" w:hAnsi="Times New Roman"/>
          <w:sz w:val="24"/>
        </w:rPr>
        <w:t>。</w:t>
      </w:r>
    </w:p>
    <w:p>
      <w:pPr>
        <w:spacing w:line="288" w:lineRule="auto"/>
        <w:ind w:firstLine="480" w:firstLineChars="200"/>
        <w:rPr>
          <w:rFonts w:ascii="Times New Roman" w:hAnsi="Times New Roman"/>
          <w:sz w:val="24"/>
        </w:rPr>
      </w:pPr>
    </w:p>
    <w:p>
      <w:pPr>
        <w:spacing w:line="288" w:lineRule="auto"/>
        <w:ind w:firstLine="482" w:firstLineChars="200"/>
        <w:outlineLvl w:val="0"/>
        <w:rPr>
          <w:rFonts w:ascii="Times New Roman" w:hAnsi="Times New Roman"/>
          <w:b/>
          <w:sz w:val="24"/>
        </w:rPr>
      </w:pPr>
      <w:r>
        <w:rPr>
          <w:rFonts w:ascii="Times New Roman" w:hAnsi="Times New Roman"/>
          <w:b/>
          <w:sz w:val="24"/>
        </w:rPr>
        <w:t>三</w:t>
      </w:r>
      <w:r>
        <w:rPr>
          <w:rFonts w:hint="eastAsia" w:ascii="Times New Roman" w:hAnsi="Times New Roman"/>
          <w:b/>
          <w:sz w:val="24"/>
        </w:rPr>
        <w:t>、</w:t>
      </w:r>
      <w:r>
        <w:rPr>
          <w:rFonts w:ascii="Times New Roman" w:hAnsi="Times New Roman"/>
          <w:b/>
          <w:sz w:val="24"/>
        </w:rPr>
        <w:t>定价政策和定价依据</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根据《上市公司证券发行管理办法》及《上市公司非公开发行股票实施细则》的规定，本次非公开发行的发行价格为人民币6</w:t>
      </w:r>
      <w:r>
        <w:rPr>
          <w:rFonts w:ascii="Times New Roman" w:hAnsi="Times New Roman"/>
          <w:sz w:val="24"/>
        </w:rPr>
        <w:t>.89</w:t>
      </w:r>
      <w:r>
        <w:rPr>
          <w:rFonts w:hint="eastAsia" w:ascii="Times New Roman" w:hAnsi="Times New Roman"/>
          <w:sz w:val="24"/>
        </w:rPr>
        <w:t>元/股，不低于定价基准日前20个交易日公司股票交易均价的80%（定价基准日前20个交易日股票交易均价=定价基准日前20个交易日公司股票交易总额/定价基准日前20个交易日公司股票交易总量）与定价基准日前公司最近一年末经审计的归属于母公司普通股股东的每股净资产金额的孰高值（向上舍入至取2位小数）。</w:t>
      </w:r>
    </w:p>
    <w:p>
      <w:pPr>
        <w:spacing w:line="288" w:lineRule="auto"/>
        <w:ind w:firstLine="480" w:firstLineChars="200"/>
        <w:rPr>
          <w:rFonts w:hint="eastAsia" w:ascii="Times New Roman" w:hAnsi="Times New Roman"/>
          <w:sz w:val="24"/>
        </w:rPr>
      </w:pPr>
    </w:p>
    <w:p>
      <w:pPr>
        <w:spacing w:line="288" w:lineRule="auto"/>
        <w:ind w:firstLine="480" w:firstLineChars="200"/>
        <w:rPr>
          <w:rFonts w:ascii="Times New Roman" w:hAnsi="Times New Roman"/>
          <w:strike/>
          <w:sz w:val="24"/>
        </w:rPr>
      </w:pPr>
      <w:r>
        <w:rPr>
          <w:rFonts w:hint="eastAsia" w:ascii="Times New Roman" w:hAnsi="Times New Roman"/>
          <w:sz w:val="24"/>
        </w:rPr>
        <w:t>20</w:t>
      </w:r>
      <w:r>
        <w:rPr>
          <w:rFonts w:ascii="Times New Roman" w:hAnsi="Times New Roman"/>
          <w:sz w:val="24"/>
        </w:rPr>
        <w:t>21</w:t>
      </w:r>
      <w:r>
        <w:rPr>
          <w:rFonts w:hint="eastAsia" w:ascii="Times New Roman" w:hAnsi="Times New Roman"/>
          <w:sz w:val="24"/>
        </w:rPr>
        <w:t>年6月</w:t>
      </w:r>
      <w:r>
        <w:rPr>
          <w:rFonts w:ascii="Times New Roman" w:hAnsi="Times New Roman"/>
          <w:sz w:val="24"/>
        </w:rPr>
        <w:t>30</w:t>
      </w:r>
      <w:r>
        <w:rPr>
          <w:rFonts w:hint="eastAsia" w:ascii="Times New Roman" w:hAnsi="Times New Roman"/>
          <w:sz w:val="24"/>
        </w:rPr>
        <w:t>日，公司20</w:t>
      </w:r>
      <w:r>
        <w:rPr>
          <w:rFonts w:ascii="Times New Roman" w:hAnsi="Times New Roman"/>
          <w:sz w:val="24"/>
        </w:rPr>
        <w:t>20</w:t>
      </w:r>
      <w:r>
        <w:rPr>
          <w:rFonts w:hint="eastAsia" w:ascii="Times New Roman" w:hAnsi="Times New Roman"/>
          <w:sz w:val="24"/>
        </w:rPr>
        <w:t>年度周年股东大会决议批准公司每10股派息人民币1</w:t>
      </w:r>
      <w:r>
        <w:rPr>
          <w:rFonts w:ascii="Times New Roman" w:hAnsi="Times New Roman"/>
          <w:sz w:val="24"/>
        </w:rPr>
        <w:t>.50</w:t>
      </w:r>
      <w:r>
        <w:rPr>
          <w:rFonts w:hint="eastAsia" w:ascii="Times New Roman" w:hAnsi="Times New Roman"/>
          <w:sz w:val="24"/>
        </w:rPr>
        <w:t>元（含税）。公司20</w:t>
      </w:r>
      <w:r>
        <w:rPr>
          <w:rFonts w:ascii="Times New Roman" w:hAnsi="Times New Roman"/>
          <w:sz w:val="24"/>
        </w:rPr>
        <w:t>20</w:t>
      </w:r>
      <w:r>
        <w:rPr>
          <w:rFonts w:hint="eastAsia" w:ascii="Times New Roman" w:hAnsi="Times New Roman"/>
          <w:sz w:val="24"/>
        </w:rPr>
        <w:t>年度利润分配除权除息日为20</w:t>
      </w:r>
      <w:r>
        <w:rPr>
          <w:rFonts w:ascii="Times New Roman" w:hAnsi="Times New Roman"/>
          <w:sz w:val="24"/>
        </w:rPr>
        <w:t>21</w:t>
      </w:r>
      <w:r>
        <w:rPr>
          <w:rFonts w:hint="eastAsia" w:ascii="Times New Roman" w:hAnsi="Times New Roman"/>
          <w:sz w:val="24"/>
        </w:rPr>
        <w:t>年</w:t>
      </w:r>
      <w:r>
        <w:rPr>
          <w:rFonts w:ascii="Times New Roman" w:hAnsi="Times New Roman"/>
          <w:sz w:val="24"/>
        </w:rPr>
        <w:t>7</w:t>
      </w:r>
      <w:r>
        <w:rPr>
          <w:rFonts w:hint="eastAsia" w:ascii="Times New Roman" w:hAnsi="Times New Roman"/>
          <w:sz w:val="24"/>
        </w:rPr>
        <w:t>月</w:t>
      </w:r>
      <w:r>
        <w:rPr>
          <w:rFonts w:ascii="Times New Roman" w:hAnsi="Times New Roman"/>
          <w:sz w:val="24"/>
        </w:rPr>
        <w:t>30</w:t>
      </w:r>
      <w:r>
        <w:rPr>
          <w:rFonts w:hint="eastAsia" w:ascii="Times New Roman" w:hAnsi="Times New Roman"/>
          <w:sz w:val="24"/>
        </w:rPr>
        <w:t>日。本次非公开发行的发行价格相应进行调整，调整后的发行价格为</w:t>
      </w:r>
      <w:r>
        <w:rPr>
          <w:rFonts w:ascii="Times New Roman" w:hAnsi="Times New Roman"/>
          <w:sz w:val="24"/>
        </w:rPr>
        <w:t>6.74</w:t>
      </w:r>
      <w:r>
        <w:rPr>
          <w:rFonts w:hint="eastAsia" w:ascii="Times New Roman" w:hAnsi="Times New Roman"/>
          <w:sz w:val="24"/>
        </w:rPr>
        <w:t>元/股。</w:t>
      </w:r>
    </w:p>
    <w:p>
      <w:pPr>
        <w:spacing w:line="288" w:lineRule="auto"/>
        <w:ind w:firstLine="480" w:firstLineChars="200"/>
        <w:rPr>
          <w:rFonts w:ascii="Times New Roman" w:hAnsi="Times New Roman"/>
          <w:sz w:val="24"/>
        </w:rPr>
      </w:pPr>
    </w:p>
    <w:p>
      <w:pPr>
        <w:spacing w:line="288" w:lineRule="auto"/>
        <w:ind w:firstLine="482" w:firstLineChars="200"/>
        <w:outlineLvl w:val="0"/>
        <w:rPr>
          <w:rFonts w:ascii="Times New Roman" w:hAnsi="Times New Roman"/>
          <w:b/>
          <w:sz w:val="24"/>
        </w:rPr>
      </w:pPr>
      <w:r>
        <w:rPr>
          <w:rFonts w:ascii="Times New Roman" w:hAnsi="Times New Roman"/>
          <w:b/>
          <w:sz w:val="24"/>
        </w:rPr>
        <w:t>四</w:t>
      </w:r>
      <w:r>
        <w:rPr>
          <w:rFonts w:hint="eastAsia" w:ascii="Times New Roman" w:hAnsi="Times New Roman"/>
          <w:b/>
          <w:sz w:val="24"/>
        </w:rPr>
        <w:t>、</w:t>
      </w:r>
      <w:r>
        <w:rPr>
          <w:rFonts w:ascii="Times New Roman" w:hAnsi="Times New Roman"/>
          <w:b/>
          <w:sz w:val="24"/>
        </w:rPr>
        <w:t>附条件生效的非公开发行股份认购合同</w:t>
      </w:r>
      <w:r>
        <w:rPr>
          <w:rFonts w:hint="eastAsia" w:ascii="Times New Roman" w:hAnsi="Times New Roman"/>
          <w:b/>
          <w:sz w:val="24"/>
        </w:rPr>
        <w:t>的</w:t>
      </w:r>
      <w:r>
        <w:rPr>
          <w:rFonts w:ascii="Times New Roman" w:hAnsi="Times New Roman"/>
          <w:b/>
          <w:sz w:val="24"/>
        </w:rPr>
        <w:t>补充合同的主要内容</w:t>
      </w:r>
    </w:p>
    <w:p>
      <w:pPr>
        <w:spacing w:line="288" w:lineRule="auto"/>
        <w:ind w:firstLine="480" w:firstLineChars="200"/>
        <w:rPr>
          <w:rFonts w:ascii="Times New Roman" w:hAnsi="Times New Roman"/>
          <w:sz w:val="24"/>
        </w:rPr>
      </w:pPr>
    </w:p>
    <w:p>
      <w:pPr>
        <w:spacing w:line="288" w:lineRule="auto"/>
        <w:ind w:firstLine="480" w:firstLineChars="200"/>
        <w:outlineLvl w:val="1"/>
        <w:rPr>
          <w:rFonts w:ascii="Times New Roman" w:hAnsi="Times New Roman"/>
          <w:sz w:val="24"/>
        </w:rPr>
      </w:pPr>
      <w:r>
        <w:rPr>
          <w:rFonts w:hint="eastAsia" w:ascii="Times New Roman" w:hAnsi="Times New Roman"/>
          <w:sz w:val="24"/>
        </w:rPr>
        <w:t>1、</w:t>
      </w:r>
      <w:r>
        <w:rPr>
          <w:rFonts w:ascii="Times New Roman" w:hAnsi="Times New Roman"/>
          <w:sz w:val="24"/>
        </w:rPr>
        <w:t>合同主体</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ascii="Times New Roman" w:hAnsi="Times New Roman"/>
          <w:sz w:val="24"/>
        </w:rPr>
        <w:t>甲方</w:t>
      </w:r>
      <w:r>
        <w:rPr>
          <w:rFonts w:hint="eastAsia" w:ascii="Times New Roman" w:hAnsi="Times New Roman"/>
          <w:sz w:val="24"/>
        </w:rPr>
        <w:t>（股份发行方）：山东新华制药股份有限公司</w:t>
      </w:r>
    </w:p>
    <w:p>
      <w:pPr>
        <w:spacing w:line="288" w:lineRule="auto"/>
        <w:ind w:firstLine="480" w:firstLineChars="200"/>
        <w:rPr>
          <w:rFonts w:ascii="Times New Roman" w:hAnsi="Times New Roman"/>
          <w:sz w:val="24"/>
        </w:rPr>
      </w:pPr>
      <w:r>
        <w:rPr>
          <w:rFonts w:ascii="Times New Roman" w:hAnsi="Times New Roman"/>
          <w:sz w:val="24"/>
        </w:rPr>
        <w:t>乙方</w:t>
      </w:r>
      <w:r>
        <w:rPr>
          <w:rFonts w:hint="eastAsia" w:ascii="Times New Roman" w:hAnsi="Times New Roman"/>
          <w:sz w:val="24"/>
        </w:rPr>
        <w:t>（股份认购方）：华鲁投资发展有限公司</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、主要内容</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（1）甲方2020年度权益分派方案实施完毕后，乙方认购本次非公开发行的价格调整为6.74元/股（发行价格随甲方的股票在定价基准日至发行日期间除权、除息事项进行相应调整）。</w:t>
      </w:r>
    </w:p>
    <w:p>
      <w:pPr>
        <w:spacing w:line="288" w:lineRule="auto"/>
        <w:ind w:firstLine="480" w:firstLineChars="200"/>
        <w:rPr>
          <w:rFonts w:ascii="Times New Roman" w:hAnsi="Times New Roman"/>
          <w:sz w:val="24"/>
        </w:rPr>
      </w:pPr>
    </w:p>
    <w:p>
      <w:pPr>
        <w:spacing w:line="288" w:lineRule="auto"/>
        <w:ind w:firstLine="480" w:firstLineChars="200"/>
        <w:rPr>
          <w:rFonts w:hint="eastAsia" w:ascii="Times New Roman" w:hAnsi="Times New Roman"/>
          <w:sz w:val="24"/>
        </w:rPr>
      </w:pPr>
      <w:r>
        <w:rPr>
          <w:rFonts w:hint="eastAsia" w:ascii="Times New Roman" w:hAnsi="Times New Roman"/>
          <w:sz w:val="24"/>
        </w:rPr>
        <w:t>（2）甲方2020年度权益分派方案实施完毕后，乙方认购本次非公开发行的股份数量调整为37,091,988股（股份数量随甲方的股票在定价基准日至发行日期间除权、除息事项进行相应调整）。为认购甲方非公开发行的37,091,988股股份，乙方应向甲方支付人民币贰亿伍仟万元整（小写：25,000万元）。</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w:t>
      </w:r>
      <w:r>
        <w:rPr>
          <w:rFonts w:ascii="Times New Roman" w:hAnsi="Times New Roman"/>
          <w:sz w:val="24"/>
        </w:rPr>
        <w:t>3</w:t>
      </w:r>
      <w:r>
        <w:rPr>
          <w:rFonts w:hint="eastAsia" w:ascii="Times New Roman" w:hAnsi="Times New Roman"/>
          <w:sz w:val="24"/>
        </w:rPr>
        <w:t>）补充合同经双方法定代表人或授权代表签字并加盖公章之日起成立，并在以下条件均获得满足之首日生效：①甲方董事会审议通过本合同；②甲方本次非公开发行获得中国证监会的核准。</w:t>
      </w:r>
    </w:p>
    <w:p>
      <w:pPr>
        <w:spacing w:line="288" w:lineRule="auto"/>
        <w:ind w:firstLine="480" w:firstLineChars="200"/>
        <w:rPr>
          <w:rFonts w:ascii="Times New Roman" w:hAnsi="Times New Roman"/>
          <w:sz w:val="24"/>
        </w:rPr>
      </w:pPr>
    </w:p>
    <w:p>
      <w:pPr>
        <w:spacing w:line="288" w:lineRule="auto"/>
        <w:ind w:firstLine="482" w:firstLineChars="200"/>
        <w:outlineLvl w:val="0"/>
        <w:rPr>
          <w:rFonts w:ascii="Times New Roman" w:hAnsi="Times New Roman"/>
          <w:b/>
          <w:sz w:val="24"/>
        </w:rPr>
      </w:pPr>
      <w:r>
        <w:rPr>
          <w:rFonts w:ascii="Times New Roman" w:hAnsi="Times New Roman"/>
          <w:b/>
          <w:sz w:val="24"/>
        </w:rPr>
        <w:t>五</w:t>
      </w:r>
      <w:r>
        <w:rPr>
          <w:rFonts w:hint="eastAsia" w:ascii="Times New Roman" w:hAnsi="Times New Roman"/>
          <w:b/>
          <w:sz w:val="24"/>
        </w:rPr>
        <w:t>、关联交易目的及</w:t>
      </w:r>
      <w:r>
        <w:rPr>
          <w:rFonts w:ascii="Times New Roman" w:hAnsi="Times New Roman"/>
          <w:b/>
          <w:sz w:val="24"/>
        </w:rPr>
        <w:t>对公司的影响</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本次关联交易的实施能够为公司经营提供充足资金，有利于优化财务结构、增强公司持续融资能力以及公司长期健康发展和企业价值的提升，符合公司发展的战略规划。公司与华鲁投资签署认购合同的补充合同，体现了该关联方对公司经营发展的支持和对公司的信心。本次非公开发行尚需获得有权国有资产管理机构和中国证监会核准，能否核准尚存在不确定性，敬请广大投资者注意投资风险。</w:t>
      </w:r>
    </w:p>
    <w:p>
      <w:pPr>
        <w:spacing w:line="288" w:lineRule="auto"/>
        <w:ind w:firstLine="480" w:firstLineChars="200"/>
        <w:rPr>
          <w:rFonts w:ascii="Times New Roman" w:hAnsi="Times New Roman"/>
          <w:sz w:val="24"/>
        </w:rPr>
      </w:pPr>
    </w:p>
    <w:p>
      <w:pPr>
        <w:spacing w:line="288" w:lineRule="auto"/>
        <w:ind w:firstLine="482" w:firstLineChars="200"/>
        <w:outlineLvl w:val="0"/>
        <w:rPr>
          <w:rFonts w:ascii="Times New Roman" w:hAnsi="Times New Roman"/>
          <w:b/>
          <w:sz w:val="24"/>
        </w:rPr>
      </w:pPr>
      <w:r>
        <w:rPr>
          <w:rFonts w:hint="eastAsia" w:ascii="Times New Roman" w:hAnsi="Times New Roman"/>
          <w:b/>
          <w:sz w:val="24"/>
        </w:rPr>
        <w:t>六、独立董事事前认可和独立意见</w:t>
      </w:r>
    </w:p>
    <w:p>
      <w:pPr>
        <w:spacing w:line="288" w:lineRule="auto"/>
        <w:ind w:firstLine="480" w:firstLineChars="200"/>
        <w:rPr>
          <w:rFonts w:ascii="Times New Roman" w:hAnsi="Times New Roman"/>
          <w:sz w:val="24"/>
        </w:rPr>
      </w:pPr>
    </w:p>
    <w:p>
      <w:pPr>
        <w:spacing w:line="288" w:lineRule="auto"/>
        <w:ind w:firstLine="480" w:firstLineChars="200"/>
        <w:outlineLvl w:val="1"/>
        <w:rPr>
          <w:rFonts w:ascii="Times New Roman" w:hAnsi="Times New Roman"/>
          <w:sz w:val="24"/>
        </w:rPr>
      </w:pPr>
      <w:r>
        <w:rPr>
          <w:rFonts w:hint="eastAsia" w:ascii="Times New Roman" w:hAnsi="Times New Roman"/>
          <w:sz w:val="24"/>
        </w:rPr>
        <w:t>1、独立董事事前认可意见</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公司本次非公开发行方案的调整及涉及的关联交易事项均符合《中华人民共和国公司法》、《中华人民共和国证券法》、《上市公司证券发行管理办法》、《上市公司非公开发行股票实施细则》等有关法律、行政法规及中国证监会相关规定以及《公司章程》的规定，符合公司与全体股东的利益，不存在损害公司及其他非关联股东特别是中小股东利益的情形。</w:t>
      </w:r>
    </w:p>
    <w:p>
      <w:pPr>
        <w:spacing w:line="288" w:lineRule="auto"/>
        <w:ind w:firstLine="480" w:firstLineChars="200"/>
        <w:rPr>
          <w:rFonts w:ascii="Times New Roman" w:hAnsi="Times New Roman"/>
          <w:sz w:val="24"/>
        </w:rPr>
      </w:pPr>
    </w:p>
    <w:p>
      <w:pPr>
        <w:spacing w:line="288" w:lineRule="auto"/>
        <w:ind w:firstLine="480" w:firstLineChars="200"/>
        <w:outlineLvl w:val="1"/>
        <w:rPr>
          <w:rFonts w:ascii="Times New Roman" w:hAnsi="Times New Roman"/>
          <w:sz w:val="24"/>
        </w:rPr>
      </w:pPr>
      <w:r>
        <w:rPr>
          <w:rFonts w:hint="eastAsia" w:ascii="Times New Roman" w:hAnsi="Times New Roman"/>
          <w:sz w:val="24"/>
        </w:rPr>
        <w:t>2、独立董事独立意见</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本次非公开发行方案的调整及涉及的关联交易，在提交董事会审议前已经全体独立董事事前认可，董事会审议本次非公开发行涉及的关联交易事项时，关联董事均已回避表决，董事会表决程序合法，符合有关法律、行政法规和规范性文件及《公司章程》的有关规定。</w:t>
      </w:r>
    </w:p>
    <w:p>
      <w:pPr>
        <w:spacing w:line="288" w:lineRule="auto"/>
        <w:ind w:firstLine="480" w:firstLineChars="200"/>
        <w:rPr>
          <w:rFonts w:ascii="Times New Roman" w:hAnsi="Times New Roman"/>
          <w:sz w:val="24"/>
        </w:rPr>
      </w:pPr>
    </w:p>
    <w:p>
      <w:pPr>
        <w:spacing w:line="288" w:lineRule="auto"/>
        <w:ind w:firstLine="482" w:firstLineChars="200"/>
        <w:outlineLvl w:val="0"/>
        <w:rPr>
          <w:rFonts w:ascii="Times New Roman" w:hAnsi="Times New Roman"/>
          <w:b/>
          <w:sz w:val="24"/>
        </w:rPr>
      </w:pPr>
      <w:r>
        <w:rPr>
          <w:rFonts w:ascii="Times New Roman" w:hAnsi="Times New Roman"/>
          <w:b/>
          <w:sz w:val="24"/>
        </w:rPr>
        <w:t>七</w:t>
      </w:r>
      <w:r>
        <w:rPr>
          <w:rFonts w:hint="eastAsia" w:ascii="Times New Roman" w:hAnsi="Times New Roman"/>
          <w:b/>
          <w:sz w:val="24"/>
        </w:rPr>
        <w:t>、</w:t>
      </w:r>
      <w:r>
        <w:rPr>
          <w:rFonts w:ascii="Times New Roman" w:hAnsi="Times New Roman"/>
          <w:b/>
          <w:sz w:val="24"/>
        </w:rPr>
        <w:t>备查文件</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hint="eastAsia" w:ascii="Times New Roman" w:hAnsi="Times New Roman"/>
          <w:sz w:val="24"/>
        </w:rPr>
        <w:t>1、公司第</w:t>
      </w:r>
      <w:r>
        <w:rPr>
          <w:rFonts w:hint="eastAsia" w:ascii="Times New Roman" w:hAnsi="Times New Roman"/>
          <w:sz w:val="24"/>
          <w:lang w:eastAsia="zh-Hans"/>
        </w:rPr>
        <w:t>十</w:t>
      </w:r>
      <w:r>
        <w:rPr>
          <w:rFonts w:hint="eastAsia" w:ascii="Times New Roman" w:hAnsi="Times New Roman"/>
          <w:sz w:val="24"/>
        </w:rPr>
        <w:t>届董事会202</w:t>
      </w:r>
      <w:r>
        <w:rPr>
          <w:rFonts w:ascii="Times New Roman" w:hAnsi="Times New Roman"/>
          <w:sz w:val="24"/>
        </w:rPr>
        <w:t>1</w:t>
      </w:r>
      <w:r>
        <w:rPr>
          <w:rFonts w:hint="eastAsia" w:ascii="Times New Roman" w:hAnsi="Times New Roman"/>
          <w:sz w:val="24"/>
        </w:rPr>
        <w:t>年第三次临时会议决议</w:t>
      </w:r>
    </w:p>
    <w:p>
      <w:pPr>
        <w:spacing w:line="288"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w:t>
      </w:r>
      <w:r>
        <w:rPr>
          <w:rFonts w:ascii="Times New Roman" w:hAnsi="Times New Roman"/>
          <w:sz w:val="24"/>
        </w:rPr>
        <w:t>公司非公开发行</w:t>
      </w:r>
      <w:r>
        <w:rPr>
          <w:rFonts w:hint="eastAsia" w:ascii="Times New Roman" w:hAnsi="Times New Roman"/>
          <w:sz w:val="24"/>
        </w:rPr>
        <w:t>A股股票预案（修订稿）</w:t>
      </w:r>
    </w:p>
    <w:p>
      <w:pPr>
        <w:spacing w:line="288" w:lineRule="auto"/>
        <w:ind w:firstLine="480" w:firstLineChars="200"/>
        <w:rPr>
          <w:rFonts w:ascii="Times New Roman" w:hAnsi="Times New Roman"/>
          <w:sz w:val="24"/>
        </w:rPr>
      </w:pPr>
      <w:r>
        <w:rPr>
          <w:rFonts w:hint="eastAsia" w:ascii="Times New Roman" w:hAnsi="Times New Roman"/>
          <w:sz w:val="24"/>
        </w:rPr>
        <w:t>3、公司与华鲁投资之附条件生效的非公开发行股份认购合同之补充合同</w:t>
      </w:r>
    </w:p>
    <w:p>
      <w:pPr>
        <w:spacing w:line="288"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独立董事关于非公开发行股票的调整涉及关联交易的事前认可意见</w:t>
      </w:r>
    </w:p>
    <w:p>
      <w:pPr>
        <w:spacing w:line="288" w:lineRule="auto"/>
        <w:ind w:firstLine="480" w:firstLineChars="200"/>
        <w:rPr>
          <w:rFonts w:ascii="Times New Roman" w:hAnsi="Times New Roman"/>
          <w:sz w:val="24"/>
        </w:rPr>
      </w:pPr>
      <w:r>
        <w:rPr>
          <w:rFonts w:hint="eastAsia" w:ascii="Times New Roman" w:hAnsi="Times New Roman"/>
          <w:sz w:val="24"/>
        </w:rPr>
        <w:t>5、独立董事关</w:t>
      </w:r>
      <w:r>
        <w:rPr>
          <w:rFonts w:ascii="Times New Roman" w:hAnsi="Times New Roman"/>
          <w:sz w:val="24"/>
        </w:rPr>
        <w:t>于</w:t>
      </w:r>
      <w:r>
        <w:rPr>
          <w:rFonts w:hint="eastAsia" w:ascii="Times New Roman" w:hAnsi="Times New Roman"/>
          <w:sz w:val="24"/>
        </w:rPr>
        <w:t>第</w:t>
      </w:r>
      <w:r>
        <w:rPr>
          <w:rFonts w:hint="eastAsia" w:ascii="Times New Roman" w:hAnsi="Times New Roman"/>
          <w:sz w:val="24"/>
          <w:lang w:eastAsia="zh-Hans"/>
        </w:rPr>
        <w:t>十</w:t>
      </w:r>
      <w:r>
        <w:rPr>
          <w:rFonts w:hint="eastAsia" w:ascii="Times New Roman" w:hAnsi="Times New Roman"/>
          <w:sz w:val="24"/>
        </w:rPr>
        <w:t>届董事会202</w:t>
      </w:r>
      <w:r>
        <w:rPr>
          <w:rFonts w:ascii="Times New Roman" w:hAnsi="Times New Roman"/>
          <w:sz w:val="24"/>
        </w:rPr>
        <w:t>1</w:t>
      </w:r>
      <w:r>
        <w:rPr>
          <w:rFonts w:hint="eastAsia" w:ascii="Times New Roman" w:hAnsi="Times New Roman"/>
          <w:sz w:val="24"/>
        </w:rPr>
        <w:t>年第三次临时</w:t>
      </w:r>
      <w:r>
        <w:rPr>
          <w:rFonts w:ascii="Times New Roman" w:hAnsi="Times New Roman"/>
          <w:sz w:val="24"/>
        </w:rPr>
        <w:t>会议相关事项的独立意见</w:t>
      </w:r>
    </w:p>
    <w:p>
      <w:pPr>
        <w:spacing w:line="288" w:lineRule="auto"/>
        <w:ind w:firstLine="480" w:firstLineChars="200"/>
        <w:rPr>
          <w:rFonts w:ascii="Times New Roman" w:hAnsi="Times New Roman"/>
          <w:sz w:val="24"/>
        </w:rPr>
      </w:pPr>
    </w:p>
    <w:p>
      <w:pPr>
        <w:spacing w:line="288" w:lineRule="auto"/>
        <w:ind w:firstLine="480" w:firstLineChars="200"/>
        <w:rPr>
          <w:rFonts w:ascii="Times New Roman" w:hAnsi="Times New Roman"/>
          <w:sz w:val="24"/>
        </w:rPr>
      </w:pPr>
      <w:r>
        <w:rPr>
          <w:rFonts w:ascii="Times New Roman" w:hAnsi="Times New Roman"/>
          <w:sz w:val="24"/>
        </w:rPr>
        <w:t>特此公告</w:t>
      </w:r>
      <w:r>
        <w:rPr>
          <w:rFonts w:hint="eastAsia" w:ascii="Times New Roman" w:hAnsi="Times New Roman"/>
          <w:sz w:val="24"/>
        </w:rPr>
        <w:t>！</w:t>
      </w:r>
    </w:p>
    <w:p>
      <w:pPr>
        <w:spacing w:line="288" w:lineRule="auto"/>
        <w:ind w:firstLine="480" w:firstLineChars="200"/>
        <w:rPr>
          <w:rFonts w:ascii="Times New Roman" w:hAnsi="Times New Roman"/>
          <w:sz w:val="24"/>
        </w:rPr>
      </w:pPr>
    </w:p>
    <w:p>
      <w:pPr>
        <w:spacing w:line="288" w:lineRule="auto"/>
        <w:ind w:firstLine="480" w:firstLineChars="200"/>
        <w:jc w:val="right"/>
        <w:rPr>
          <w:rFonts w:ascii="Times New Roman" w:hAnsi="Times New Roman"/>
          <w:sz w:val="24"/>
        </w:rPr>
      </w:pPr>
      <w:r>
        <w:rPr>
          <w:rFonts w:ascii="Times New Roman" w:hAnsi="Times New Roman"/>
          <w:sz w:val="24"/>
        </w:rPr>
        <w:t>山东新华制药股份有限公司董事会</w:t>
      </w:r>
    </w:p>
    <w:p>
      <w:pPr>
        <w:spacing w:line="288" w:lineRule="auto"/>
        <w:ind w:firstLine="480" w:firstLineChars="200"/>
        <w:jc w:val="right"/>
        <w:rPr>
          <w:rFonts w:ascii="Times New Roman" w:hAnsi="Times New Roman"/>
          <w:sz w:val="24"/>
        </w:rPr>
      </w:pPr>
    </w:p>
    <w:p>
      <w:pPr>
        <w:spacing w:line="288" w:lineRule="auto"/>
        <w:ind w:firstLine="480" w:firstLineChars="200"/>
        <w:jc w:val="center"/>
        <w:rPr>
          <w:rFonts w:hint="eastAsia" w:ascii="Times New Roman" w:hAnsi="Times New Roman"/>
          <w:sz w:val="24"/>
        </w:rPr>
      </w:pPr>
      <w:r>
        <w:rPr>
          <w:rFonts w:hint="eastAsia" w:ascii="Times New Roman" w:hAnsi="Times New Roman"/>
          <w:sz w:val="24"/>
          <w:lang w:val="en-US" w:eastAsia="zh-CN"/>
        </w:rPr>
        <w:t xml:space="preserve">                                       </w:t>
      </w:r>
      <w:r>
        <w:rPr>
          <w:rFonts w:hint="eastAsia" w:ascii="Times New Roman" w:hAnsi="Times New Roman"/>
          <w:sz w:val="24"/>
        </w:rPr>
        <w:t>20</w:t>
      </w:r>
      <w:r>
        <w:rPr>
          <w:rFonts w:ascii="Times New Roman" w:hAnsi="Times New Roman"/>
          <w:sz w:val="24"/>
        </w:rPr>
        <w:t>21</w:t>
      </w:r>
      <w:r>
        <w:rPr>
          <w:rFonts w:hint="eastAsia" w:ascii="Times New Roman" w:hAnsi="Times New Roman"/>
          <w:sz w:val="24"/>
        </w:rPr>
        <w:t>年</w:t>
      </w:r>
      <w:r>
        <w:rPr>
          <w:rFonts w:ascii="Times New Roman" w:hAnsi="Times New Roman"/>
          <w:sz w:val="24"/>
        </w:rPr>
        <w:t>8</w:t>
      </w:r>
      <w:r>
        <w:rPr>
          <w:rFonts w:hint="eastAsia" w:ascii="Times New Roman" w:hAnsi="Times New Roman"/>
          <w:sz w:val="24"/>
        </w:rPr>
        <w:t>月</w:t>
      </w:r>
      <w:r>
        <w:rPr>
          <w:rFonts w:hint="eastAsia" w:ascii="Times New Roman" w:hAnsi="Times New Roman"/>
          <w:sz w:val="24"/>
          <w:lang w:val="en-US" w:eastAsia="zh-CN"/>
        </w:rPr>
        <w:t>13</w:t>
      </w:r>
      <w:r>
        <w:rPr>
          <w:rFonts w:hint="eastAsia" w:ascii="Times New Roman" w:hAnsi="Times New Roman"/>
          <w:sz w:val="24"/>
        </w:rPr>
        <w:t>日</w:t>
      </w:r>
    </w:p>
    <w:p>
      <w:pPr>
        <w:spacing w:line="288" w:lineRule="auto"/>
        <w:jc w:val="both"/>
        <w:rPr>
          <w:rFonts w:ascii="Times New Roman" w:hAnsi="Times New Roman" w:eastAsia="宋体" w:cs="Times New Roman"/>
          <w:sz w:val="24"/>
        </w:rPr>
      </w:pPr>
      <w:r>
        <w:rPr>
          <w:rFonts w:ascii="Times New Roman" w:hAnsi="Times New Roman" w:eastAsia="宋体" w:cs="Times New Roman"/>
          <w:sz w:val="24"/>
        </w:rPr>
        <w:t xml:space="preserve">证券代码：000756    </w:t>
      </w: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 xml:space="preserve"> </w:t>
      </w: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 xml:space="preserve">  </w:t>
      </w: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 xml:space="preserve"> 证券简称：新华制药     </w:t>
      </w: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 xml:space="preserve">   公告编号：2021-</w:t>
      </w:r>
      <w:r>
        <w:rPr>
          <w:rFonts w:hint="eastAsia" w:ascii="Times New Roman" w:hAnsi="Times New Roman" w:eastAsia="宋体" w:cs="Times New Roman"/>
          <w:sz w:val="24"/>
          <w:lang w:val="en-US" w:eastAsia="zh-CN"/>
        </w:rPr>
        <w:t>46</w:t>
      </w:r>
    </w:p>
    <w:p>
      <w:pPr>
        <w:spacing w:line="288" w:lineRule="auto"/>
        <w:jc w:val="center"/>
        <w:rPr>
          <w:rFonts w:ascii="Times New Roman" w:hAnsi="Times New Roman" w:eastAsia="宋体" w:cs="Times New Roman"/>
          <w:b/>
          <w:kern w:val="0"/>
          <w:sz w:val="28"/>
          <w:szCs w:val="24"/>
        </w:rPr>
      </w:pPr>
      <w:bookmarkStart w:id="390" w:name="_GoBack"/>
      <w:bookmarkEnd w:id="390"/>
    </w:p>
    <w:p>
      <w:pPr>
        <w:spacing w:line="288" w:lineRule="auto"/>
        <w:jc w:val="center"/>
        <w:rPr>
          <w:rFonts w:ascii="Times New Roman" w:hAnsi="Times New Roman" w:eastAsia="宋体" w:cs="Times New Roman"/>
          <w:b/>
          <w:kern w:val="0"/>
          <w:sz w:val="28"/>
          <w:szCs w:val="24"/>
        </w:rPr>
      </w:pPr>
      <w:r>
        <w:rPr>
          <w:rFonts w:hint="eastAsia" w:ascii="Times New Roman" w:hAnsi="Times New Roman" w:eastAsia="宋体" w:cs="Times New Roman"/>
          <w:b/>
          <w:kern w:val="0"/>
          <w:sz w:val="28"/>
          <w:szCs w:val="24"/>
        </w:rPr>
        <w:t>山东新华制药股份有限公司</w:t>
      </w:r>
    </w:p>
    <w:p>
      <w:pPr>
        <w:spacing w:line="288" w:lineRule="auto"/>
        <w:jc w:val="center"/>
        <w:rPr>
          <w:rFonts w:ascii="Times New Roman" w:hAnsi="Times New Roman" w:eastAsia="宋体" w:cs="Times New Roman"/>
          <w:b/>
          <w:kern w:val="0"/>
          <w:sz w:val="28"/>
          <w:szCs w:val="24"/>
        </w:rPr>
      </w:pPr>
      <w:r>
        <w:rPr>
          <w:rFonts w:hint="eastAsia" w:ascii="Times New Roman" w:hAnsi="Times New Roman" w:eastAsia="宋体" w:cs="Times New Roman"/>
          <w:b/>
          <w:kern w:val="0"/>
          <w:sz w:val="28"/>
          <w:szCs w:val="24"/>
        </w:rPr>
        <w:t>非公开发行A股股票摊薄即期回报填补措施</w:t>
      </w:r>
      <w:r>
        <w:rPr>
          <w:rFonts w:hint="eastAsia" w:ascii="楷体" w:hAnsi="楷体" w:eastAsia="楷体" w:cs="Times New Roman"/>
          <w:b/>
          <w:kern w:val="0"/>
          <w:sz w:val="28"/>
          <w:szCs w:val="24"/>
        </w:rPr>
        <w:t>（修订稿）</w:t>
      </w:r>
      <w:r>
        <w:rPr>
          <w:rFonts w:hint="eastAsia" w:ascii="Times New Roman" w:hAnsi="Times New Roman" w:eastAsia="宋体" w:cs="Times New Roman"/>
          <w:b/>
          <w:kern w:val="0"/>
          <w:sz w:val="28"/>
          <w:szCs w:val="24"/>
        </w:rPr>
        <w:t>的公告</w:t>
      </w:r>
    </w:p>
    <w:p>
      <w:pPr>
        <w:spacing w:line="288" w:lineRule="auto"/>
        <w:jc w:val="center"/>
        <w:rPr>
          <w:rFonts w:ascii="Times New Roman" w:hAnsi="Times New Roman" w:eastAsia="宋体" w:cs="Times New Roman"/>
          <w:b/>
          <w:kern w:val="0"/>
          <w:sz w:val="28"/>
          <w:szCs w:val="24"/>
        </w:rPr>
      </w:pPr>
    </w:p>
    <w:p>
      <w:pPr>
        <w:pStyle w:val="67"/>
        <w:ind w:firstLine="482"/>
      </w:pPr>
      <w:r>
        <w:rPr>
          <w:rFonts w:hint="eastAsia" w:ascii="楷体" w:hAnsi="楷体" w:eastAsia="楷体"/>
          <w:b/>
          <w:bCs/>
        </w:rPr>
        <w:t>山东新华制药股份有限公司（以下简称“公司”）于</w:t>
      </w:r>
      <w:r>
        <w:rPr>
          <w:rFonts w:ascii="楷体" w:hAnsi="楷体" w:eastAsia="楷体"/>
          <w:b/>
          <w:bCs/>
        </w:rPr>
        <w:t xml:space="preserve"> 2021</w:t>
      </w:r>
      <w:r>
        <w:rPr>
          <w:rFonts w:hint="eastAsia" w:ascii="楷体" w:hAnsi="楷体" w:eastAsia="楷体"/>
          <w:b/>
          <w:bCs/>
        </w:rPr>
        <w:t>年</w:t>
      </w:r>
      <w:r>
        <w:rPr>
          <w:rFonts w:ascii="楷体" w:hAnsi="楷体" w:eastAsia="楷体"/>
          <w:b/>
          <w:bCs/>
        </w:rPr>
        <w:t>4</w:t>
      </w:r>
      <w:r>
        <w:rPr>
          <w:rFonts w:hint="eastAsia" w:ascii="楷体" w:hAnsi="楷体" w:eastAsia="楷体"/>
          <w:b/>
          <w:bCs/>
        </w:rPr>
        <w:t>月</w:t>
      </w:r>
      <w:r>
        <w:rPr>
          <w:rFonts w:ascii="楷体" w:hAnsi="楷体" w:eastAsia="楷体"/>
          <w:b/>
          <w:bCs/>
        </w:rPr>
        <w:t>14</w:t>
      </w:r>
      <w:r>
        <w:rPr>
          <w:rFonts w:hint="eastAsia" w:ascii="楷体" w:hAnsi="楷体" w:eastAsia="楷体"/>
          <w:b/>
          <w:bCs/>
        </w:rPr>
        <w:t>日召开了第十届董事会</w:t>
      </w:r>
      <w:r>
        <w:rPr>
          <w:rFonts w:ascii="楷体" w:hAnsi="楷体" w:eastAsia="楷体"/>
          <w:b/>
          <w:bCs/>
        </w:rPr>
        <w:t>2021</w:t>
      </w:r>
      <w:r>
        <w:rPr>
          <w:rFonts w:hint="eastAsia" w:ascii="楷体" w:hAnsi="楷体" w:eastAsia="楷体"/>
          <w:b/>
          <w:bCs/>
        </w:rPr>
        <w:t>年第二次临时会议及第十届监事会</w:t>
      </w:r>
      <w:r>
        <w:rPr>
          <w:rFonts w:ascii="楷体" w:hAnsi="楷体" w:eastAsia="楷体"/>
          <w:b/>
          <w:bCs/>
        </w:rPr>
        <w:t>2021</w:t>
      </w:r>
      <w:r>
        <w:rPr>
          <w:rFonts w:hint="eastAsia" w:ascii="楷体" w:hAnsi="楷体" w:eastAsia="楷体"/>
          <w:b/>
          <w:bCs/>
        </w:rPr>
        <w:t>年第一次临时会议，审议通过了《关于公司非公开发行</w:t>
      </w:r>
      <w:r>
        <w:rPr>
          <w:rFonts w:ascii="楷体" w:hAnsi="楷体" w:eastAsia="楷体"/>
          <w:b/>
          <w:bCs/>
        </w:rPr>
        <w:t xml:space="preserve">A </w:t>
      </w:r>
      <w:r>
        <w:rPr>
          <w:rFonts w:hint="eastAsia" w:ascii="楷体" w:hAnsi="楷体" w:eastAsia="楷体"/>
          <w:b/>
          <w:bCs/>
        </w:rPr>
        <w:t>股股票预案的议案》等相关议案。</w:t>
      </w:r>
      <w:r>
        <w:rPr>
          <w:rFonts w:ascii="楷体" w:hAnsi="楷体" w:eastAsia="楷体"/>
          <w:b/>
        </w:rPr>
        <w:t>2021</w:t>
      </w:r>
      <w:r>
        <w:rPr>
          <w:rFonts w:hint="eastAsia" w:ascii="楷体" w:hAnsi="楷体" w:eastAsia="楷体"/>
          <w:b/>
        </w:rPr>
        <w:t>年</w:t>
      </w:r>
      <w:r>
        <w:rPr>
          <w:rFonts w:ascii="楷体" w:hAnsi="楷体" w:eastAsia="楷体"/>
          <w:b/>
        </w:rPr>
        <w:t>4</w:t>
      </w:r>
      <w:r>
        <w:rPr>
          <w:rFonts w:hint="eastAsia" w:ascii="楷体" w:hAnsi="楷体" w:eastAsia="楷体"/>
          <w:b/>
        </w:rPr>
        <w:t>月</w:t>
      </w:r>
      <w:r>
        <w:rPr>
          <w:rFonts w:ascii="楷体" w:hAnsi="楷体" w:eastAsia="楷体"/>
          <w:b/>
        </w:rPr>
        <w:t>23</w:t>
      </w:r>
      <w:r>
        <w:rPr>
          <w:rFonts w:hint="eastAsia" w:ascii="楷体" w:hAnsi="楷体" w:eastAsia="楷体"/>
          <w:b/>
        </w:rPr>
        <w:t>日，华鲁控股集团有限公司批复了公司本次非公开发行股票事项。</w:t>
      </w:r>
      <w:r>
        <w:rPr>
          <w:rFonts w:ascii="楷体" w:hAnsi="楷体" w:eastAsia="楷体"/>
          <w:b/>
        </w:rPr>
        <w:t>2021</w:t>
      </w:r>
      <w:r>
        <w:rPr>
          <w:rFonts w:hint="eastAsia" w:ascii="楷体" w:hAnsi="楷体" w:eastAsia="楷体"/>
          <w:b/>
        </w:rPr>
        <w:t>年</w:t>
      </w:r>
      <w:r>
        <w:rPr>
          <w:rFonts w:ascii="楷体" w:hAnsi="楷体" w:eastAsia="楷体"/>
          <w:b/>
        </w:rPr>
        <w:t>6</w:t>
      </w:r>
      <w:r>
        <w:rPr>
          <w:rFonts w:hint="eastAsia" w:ascii="楷体" w:hAnsi="楷体" w:eastAsia="楷体"/>
          <w:b/>
        </w:rPr>
        <w:t>月</w:t>
      </w:r>
      <w:r>
        <w:rPr>
          <w:rFonts w:ascii="楷体" w:hAnsi="楷体" w:eastAsia="楷体"/>
          <w:b/>
        </w:rPr>
        <w:t>22</w:t>
      </w:r>
      <w:r>
        <w:rPr>
          <w:rFonts w:hint="eastAsia" w:ascii="楷体" w:hAnsi="楷体" w:eastAsia="楷体"/>
          <w:b/>
        </w:rPr>
        <w:t>日，香港证监会执行人员有条件地授出清洗豁免，豁免华鲁投资及其一致行动人因认购公司非公开发行的</w:t>
      </w:r>
      <w:r>
        <w:rPr>
          <w:rFonts w:ascii="楷体" w:hAnsi="楷体" w:eastAsia="楷体"/>
          <w:b/>
        </w:rPr>
        <w:t>A</w:t>
      </w:r>
      <w:r>
        <w:rPr>
          <w:rFonts w:hint="eastAsia" w:ascii="楷体" w:hAnsi="楷体" w:eastAsia="楷体"/>
          <w:b/>
        </w:rPr>
        <w:t>股股份而须就公司股份作出全面要约的义务。</w:t>
      </w:r>
      <w:r>
        <w:rPr>
          <w:rFonts w:hint="eastAsia" w:ascii="楷体" w:hAnsi="楷体" w:eastAsia="楷体"/>
          <w:b/>
          <w:bCs/>
        </w:rPr>
        <w:t>公司于</w:t>
      </w:r>
      <w:r>
        <w:rPr>
          <w:rFonts w:ascii="楷体" w:hAnsi="楷体" w:eastAsia="楷体"/>
          <w:b/>
          <w:bCs/>
        </w:rPr>
        <w:t>2021</w:t>
      </w:r>
      <w:r>
        <w:rPr>
          <w:rFonts w:hint="eastAsia" w:ascii="楷体" w:hAnsi="楷体" w:eastAsia="楷体"/>
          <w:b/>
          <w:bCs/>
        </w:rPr>
        <w:t>年</w:t>
      </w:r>
      <w:r>
        <w:rPr>
          <w:rFonts w:ascii="楷体" w:hAnsi="楷体" w:eastAsia="楷体"/>
          <w:b/>
          <w:bCs/>
        </w:rPr>
        <w:t>6</w:t>
      </w:r>
      <w:r>
        <w:rPr>
          <w:rFonts w:hint="eastAsia" w:ascii="楷体" w:hAnsi="楷体" w:eastAsia="楷体"/>
          <w:b/>
          <w:bCs/>
        </w:rPr>
        <w:t>月</w:t>
      </w:r>
      <w:r>
        <w:rPr>
          <w:rFonts w:ascii="楷体" w:hAnsi="楷体" w:eastAsia="楷体"/>
          <w:b/>
          <w:bCs/>
        </w:rPr>
        <w:t>30</w:t>
      </w:r>
      <w:r>
        <w:rPr>
          <w:rFonts w:hint="eastAsia" w:ascii="楷体" w:hAnsi="楷体" w:eastAsia="楷体"/>
          <w:b/>
          <w:bCs/>
        </w:rPr>
        <w:t>日召开了</w:t>
      </w:r>
      <w:r>
        <w:rPr>
          <w:rFonts w:ascii="楷体" w:hAnsi="楷体" w:eastAsia="楷体"/>
          <w:b/>
          <w:bCs/>
        </w:rPr>
        <w:t>2020</w:t>
      </w:r>
      <w:r>
        <w:rPr>
          <w:rFonts w:hint="eastAsia" w:ascii="楷体" w:hAnsi="楷体" w:eastAsia="楷体"/>
          <w:b/>
          <w:bCs/>
        </w:rPr>
        <w:t>年度周年股东大会、</w:t>
      </w:r>
      <w:r>
        <w:rPr>
          <w:rFonts w:ascii="楷体" w:hAnsi="楷体" w:eastAsia="楷体"/>
          <w:b/>
          <w:bCs/>
        </w:rPr>
        <w:t>2021</w:t>
      </w:r>
      <w:r>
        <w:rPr>
          <w:rFonts w:hint="eastAsia" w:ascii="楷体" w:hAnsi="楷体" w:eastAsia="楷体"/>
          <w:b/>
          <w:bCs/>
        </w:rPr>
        <w:t>年第一次</w:t>
      </w:r>
      <w:r>
        <w:rPr>
          <w:rFonts w:ascii="楷体" w:hAnsi="楷体" w:eastAsia="楷体"/>
          <w:b/>
          <w:bCs/>
        </w:rPr>
        <w:t>A</w:t>
      </w:r>
      <w:r>
        <w:rPr>
          <w:rFonts w:hint="eastAsia" w:ascii="楷体" w:hAnsi="楷体" w:eastAsia="楷体"/>
          <w:b/>
          <w:bCs/>
        </w:rPr>
        <w:t>股及</w:t>
      </w:r>
      <w:r>
        <w:rPr>
          <w:rFonts w:ascii="楷体" w:hAnsi="楷体" w:eastAsia="楷体"/>
          <w:b/>
          <w:bCs/>
        </w:rPr>
        <w:t>H</w:t>
      </w:r>
      <w:r>
        <w:rPr>
          <w:rFonts w:hint="eastAsia" w:ascii="楷体" w:hAnsi="楷体" w:eastAsia="楷体"/>
          <w:b/>
          <w:bCs/>
        </w:rPr>
        <w:t>股类别股东大会，审议通过了</w:t>
      </w:r>
      <w:r>
        <w:rPr>
          <w:rFonts w:hint="eastAsia" w:ascii="楷体" w:hAnsi="楷体" w:eastAsia="楷体"/>
          <w:b/>
        </w:rPr>
        <w:t>本次非公开发行股票相关事项</w:t>
      </w:r>
      <w:r>
        <w:rPr>
          <w:rFonts w:hint="eastAsia" w:ascii="楷体" w:hAnsi="楷体" w:eastAsia="楷体"/>
          <w:b/>
          <w:bCs/>
        </w:rPr>
        <w:t>。</w:t>
      </w:r>
      <w:r>
        <w:rPr>
          <w:rFonts w:hint="eastAsia" w:ascii="楷体" w:hAnsi="楷体" w:eastAsia="楷体"/>
          <w:b/>
        </w:rPr>
        <w:t>本次非公开发行方案调整的相关议案已经公司</w:t>
      </w:r>
      <w:r>
        <w:rPr>
          <w:rFonts w:ascii="楷体" w:hAnsi="楷体" w:eastAsia="楷体"/>
          <w:b/>
        </w:rPr>
        <w:t>2021</w:t>
      </w:r>
      <w:r>
        <w:rPr>
          <w:rFonts w:hint="eastAsia" w:ascii="楷体" w:hAnsi="楷体" w:eastAsia="楷体"/>
          <w:b/>
        </w:rPr>
        <w:t>年</w:t>
      </w:r>
      <w:r>
        <w:rPr>
          <w:rFonts w:ascii="楷体" w:hAnsi="楷体" w:eastAsia="楷体"/>
          <w:b/>
        </w:rPr>
        <w:t>8</w:t>
      </w:r>
      <w:r>
        <w:rPr>
          <w:rFonts w:hint="eastAsia" w:ascii="楷体" w:hAnsi="楷体" w:eastAsia="楷体"/>
          <w:b/>
        </w:rPr>
        <w:t>月</w:t>
      </w:r>
      <w:r>
        <w:rPr>
          <w:rFonts w:hint="eastAsia" w:ascii="楷体" w:hAnsi="楷体" w:eastAsia="楷体"/>
          <w:b/>
          <w:lang w:val="en-US" w:eastAsia="zh-CN"/>
        </w:rPr>
        <w:t>13</w:t>
      </w:r>
      <w:r>
        <w:rPr>
          <w:rFonts w:hint="eastAsia" w:ascii="楷体" w:hAnsi="楷体" w:eastAsia="楷体"/>
          <w:b/>
        </w:rPr>
        <w:t>日召开的第十届董事会</w:t>
      </w:r>
      <w:r>
        <w:rPr>
          <w:rFonts w:ascii="楷体" w:hAnsi="楷体" w:eastAsia="楷体"/>
          <w:b/>
        </w:rPr>
        <w:t>2021年第三次临时</w:t>
      </w:r>
      <w:r>
        <w:rPr>
          <w:rFonts w:hint="eastAsia" w:ascii="楷体" w:hAnsi="楷体" w:eastAsia="楷体"/>
          <w:b/>
        </w:rPr>
        <w:t>会议审议通过</w:t>
      </w:r>
      <w:r>
        <w:rPr>
          <w:rFonts w:hint="eastAsia" w:ascii="楷体" w:hAnsi="楷体" w:eastAsia="楷体"/>
          <w:b/>
          <w:bCs/>
        </w:rPr>
        <w:t>。</w:t>
      </w:r>
      <w:r>
        <w:rPr>
          <w:rFonts w:hint="eastAsia"/>
        </w:rPr>
        <w:t>本次非公开发行完成后，公司净资产规模将较大幅增加，总股本亦相应增加。考虑到本次非公开发行募集资金到账时间无法确定，对20</w:t>
      </w:r>
      <w:r>
        <w:t>21</w:t>
      </w:r>
      <w:r>
        <w:rPr>
          <w:rFonts w:hint="eastAsia"/>
        </w:rPr>
        <w:t>年度财务费用减少并不明显，因此短期内公司的每股收益和净资产收益率可能出现一定幅度下降。本公告中公司对经营数据的假设分析不构成公司的盈利预测，敬请广大投资者理性投资，并注意投资风险。</w:t>
      </w:r>
    </w:p>
    <w:p>
      <w:pPr>
        <w:pStyle w:val="67"/>
        <w:ind w:firstLine="480"/>
      </w:pPr>
      <w:r>
        <w:rPr>
          <w:rFonts w:hint="eastAsia"/>
        </w:rPr>
        <w:t>结合上述情况，根据《国务院办公厅关于进一步加强资本市场中小投资者合法权益保护工作的意见》（国办发[2013]110号，以下简称“《保护意见》”）以及中国证监会发布的《关于首发及再融资、重大资产重组摊薄即期回报有关事项的指导意见》（证监会公告[2015]31号，以下简称“《指导意见》”）的有关规定，公司再次就本次非公开发行股票事宜对即期回报摊薄的影响进行了分析并提出了具体的填补回报措施，相关主体对公司填补回报措施能够得到切实履行也作出了承诺，具体如下：</w:t>
      </w:r>
    </w:p>
    <w:p>
      <w:pPr>
        <w:pStyle w:val="69"/>
        <w:spacing w:afterLines="0"/>
        <w:ind w:firstLine="560"/>
      </w:pPr>
      <w:r>
        <w:t>一、本次非公开发行摊薄即期收益的风险及对公司主要财务指标的影响分析</w:t>
      </w:r>
    </w:p>
    <w:p>
      <w:pPr>
        <w:pStyle w:val="67"/>
        <w:ind w:firstLine="480"/>
      </w:pPr>
      <w:r>
        <w:rPr>
          <w:rFonts w:hint="eastAsia"/>
        </w:rPr>
        <w:t>本次发行完成后，公司的净资产规模将有所上升。短期内，在募集资金的效用尚不能完全得到发挥的情况下，公司的每股收益、净资产收益率可能会受到一定影响；从中长期看，本次非公开发行募集资金带来的资本金规模增长将有效促进公司业务规模的扩张，进一步提升公司的业务规模和盈利能力。公司将积极采取各种措施提高净资产和资本金的使用效率，以获得良好的净资产收益率。</w:t>
      </w:r>
    </w:p>
    <w:p>
      <w:pPr>
        <w:pStyle w:val="71"/>
        <w:numPr>
          <w:ilvl w:val="0"/>
          <w:numId w:val="4"/>
        </w:numPr>
        <w:spacing w:afterLines="0"/>
        <w:ind w:firstLineChars="0"/>
      </w:pPr>
      <w:r>
        <w:t>主要假设</w:t>
      </w:r>
    </w:p>
    <w:p>
      <w:pPr>
        <w:pStyle w:val="67"/>
        <w:ind w:firstLine="480"/>
      </w:pPr>
      <w:r>
        <w:rPr>
          <w:rFonts w:hint="eastAsia"/>
        </w:rPr>
        <w:t>1、考虑本次非公开发行的审核和发行需要一定时间，假定本次非公开发行于20</w:t>
      </w:r>
      <w:r>
        <w:t>21</w:t>
      </w:r>
      <w:r>
        <w:rPr>
          <w:rFonts w:hint="eastAsia"/>
        </w:rPr>
        <w:t>年1</w:t>
      </w:r>
      <w:r>
        <w:t>0</w:t>
      </w:r>
      <w:r>
        <w:rPr>
          <w:rFonts w:hint="eastAsia"/>
        </w:rPr>
        <w:t>月实施完毕，该时间仅为估计，最终以中国证监会核准本次发行后的实际完成时间为准。</w:t>
      </w:r>
    </w:p>
    <w:p>
      <w:pPr>
        <w:pStyle w:val="67"/>
        <w:ind w:firstLine="480"/>
      </w:pPr>
      <w:r>
        <w:rPr>
          <w:rFonts w:hint="eastAsia"/>
        </w:rPr>
        <w:t>2、不考虑发行费用，并假设本次非公开发行最终发行数量为发行数量的上限</w:t>
      </w:r>
      <w:r>
        <w:rPr>
          <w:rFonts w:ascii="楷体" w:hAnsi="楷体" w:eastAsia="楷体"/>
          <w:b/>
          <w:bCs/>
        </w:rPr>
        <w:t>37,091,988</w:t>
      </w:r>
      <w:r>
        <w:rPr>
          <w:rFonts w:hint="eastAsia"/>
        </w:rPr>
        <w:t>股，最终发行股数以经中国证监会核准发行的股份数量为准，同时假设本次非公开发行募集资金总额为本次非公开发行的募集资金总额的上限2</w:t>
      </w:r>
      <w:r>
        <w:t>5,000</w:t>
      </w:r>
      <w:r>
        <w:rPr>
          <w:rFonts w:hint="eastAsia"/>
        </w:rPr>
        <w:t>万元。</w:t>
      </w:r>
    </w:p>
    <w:p>
      <w:pPr>
        <w:pStyle w:val="67"/>
        <w:ind w:firstLine="480"/>
      </w:pPr>
      <w:r>
        <w:rPr>
          <w:rFonts w:hint="eastAsia"/>
        </w:rPr>
        <w:t>3、公司20</w:t>
      </w:r>
      <w:r>
        <w:t>20</w:t>
      </w:r>
      <w:r>
        <w:rPr>
          <w:rFonts w:hint="eastAsia"/>
        </w:rPr>
        <w:t>年度实现归属母公司股东的净利润为人民币</w:t>
      </w:r>
      <w:r>
        <w:t>32</w:t>
      </w:r>
      <w:r>
        <w:rPr>
          <w:rFonts w:hint="eastAsia"/>
        </w:rPr>
        <w:t>,</w:t>
      </w:r>
      <w:r>
        <w:t>485</w:t>
      </w:r>
      <w:r>
        <w:rPr>
          <w:rFonts w:hint="eastAsia"/>
        </w:rPr>
        <w:t>.</w:t>
      </w:r>
      <w:r>
        <w:t>96</w:t>
      </w:r>
      <w:r>
        <w:rPr>
          <w:rFonts w:hint="eastAsia"/>
        </w:rPr>
        <w:t>万元，扣除非经常性损益后归属于母公司所有者净利润为</w:t>
      </w:r>
      <w:r>
        <w:t>29</w:t>
      </w:r>
      <w:r>
        <w:rPr>
          <w:rFonts w:hint="eastAsia"/>
        </w:rPr>
        <w:t>,0</w:t>
      </w:r>
      <w:r>
        <w:t>79</w:t>
      </w:r>
      <w:r>
        <w:rPr>
          <w:rFonts w:hint="eastAsia"/>
        </w:rPr>
        <w:t>.</w:t>
      </w:r>
      <w:r>
        <w:t>00</w:t>
      </w:r>
      <w:r>
        <w:rPr>
          <w:rFonts w:hint="eastAsia"/>
        </w:rPr>
        <w:t>万元，假设20</w:t>
      </w:r>
      <w:r>
        <w:t>21</w:t>
      </w:r>
      <w:r>
        <w:rPr>
          <w:rFonts w:hint="eastAsia"/>
        </w:rPr>
        <w:t>年度扣除非经常性损益后归属于母公司所有者净利润分为以下三种情况：</w:t>
      </w:r>
    </w:p>
    <w:p>
      <w:pPr>
        <w:pStyle w:val="67"/>
        <w:ind w:firstLine="480"/>
      </w:pPr>
      <w:r>
        <w:rPr>
          <w:rFonts w:hint="eastAsia"/>
        </w:rPr>
        <w:t>（1）较20</w:t>
      </w:r>
      <w:r>
        <w:t>20</w:t>
      </w:r>
      <w:r>
        <w:rPr>
          <w:rFonts w:hint="eastAsia"/>
        </w:rPr>
        <w:t>年增长</w:t>
      </w:r>
      <w:r>
        <w:t>1</w:t>
      </w:r>
      <w:r>
        <w:rPr>
          <w:rFonts w:hint="eastAsia"/>
        </w:rPr>
        <w:t>0%；</w:t>
      </w:r>
    </w:p>
    <w:p>
      <w:pPr>
        <w:pStyle w:val="67"/>
        <w:ind w:firstLine="480"/>
      </w:pPr>
      <w:r>
        <w:rPr>
          <w:rFonts w:hint="eastAsia"/>
        </w:rPr>
        <w:t>（2）与20</w:t>
      </w:r>
      <w:r>
        <w:t>20</w:t>
      </w:r>
      <w:r>
        <w:rPr>
          <w:rFonts w:hint="eastAsia"/>
        </w:rPr>
        <w:t>年持平；</w:t>
      </w:r>
    </w:p>
    <w:p>
      <w:pPr>
        <w:pStyle w:val="67"/>
        <w:ind w:firstLine="480"/>
      </w:pPr>
      <w:r>
        <w:rPr>
          <w:rFonts w:hint="eastAsia"/>
        </w:rPr>
        <w:t>（3）较20</w:t>
      </w:r>
      <w:r>
        <w:t>20</w:t>
      </w:r>
      <w:r>
        <w:rPr>
          <w:rFonts w:hint="eastAsia"/>
        </w:rPr>
        <w:t>年降低</w:t>
      </w:r>
      <w:r>
        <w:t>1</w:t>
      </w:r>
      <w:r>
        <w:rPr>
          <w:rFonts w:hint="eastAsia"/>
        </w:rPr>
        <w:t>0%；</w:t>
      </w:r>
    </w:p>
    <w:p>
      <w:pPr>
        <w:pStyle w:val="67"/>
        <w:ind w:firstLine="480"/>
      </w:pPr>
      <w:r>
        <w:rPr>
          <w:rFonts w:hint="eastAsia"/>
        </w:rPr>
        <w:t>4、假设不考虑本次发行募集资金到账后，对公司生产经营、财务状况（如财务费用、理财收益）等的影响。</w:t>
      </w:r>
    </w:p>
    <w:p>
      <w:pPr>
        <w:pStyle w:val="67"/>
        <w:ind w:firstLine="480"/>
      </w:pPr>
      <w:r>
        <w:rPr>
          <w:rFonts w:hint="eastAsia"/>
        </w:rPr>
        <w:t>5、假设宏观经济环境、公司所处行业情况没有发生重大不利变化。</w:t>
      </w:r>
    </w:p>
    <w:p>
      <w:pPr>
        <w:pStyle w:val="67"/>
        <w:ind w:firstLine="480"/>
      </w:pPr>
      <w:r>
        <w:rPr>
          <w:rFonts w:hint="eastAsia"/>
        </w:rPr>
        <w:t>6、在预测公司本次发行后净资产时，不考虑除本次发行募集资金、净利润之外的其他因素对公司净资产的影响。</w:t>
      </w:r>
    </w:p>
    <w:p>
      <w:pPr>
        <w:pStyle w:val="67"/>
        <w:ind w:firstLine="480"/>
      </w:pPr>
      <w:r>
        <w:rPr>
          <w:rFonts w:hint="eastAsia"/>
        </w:rPr>
        <w:t>7、在预测公司总股本时，以截至2</w:t>
      </w:r>
      <w:r>
        <w:t>020</w:t>
      </w:r>
      <w:r>
        <w:rPr>
          <w:rFonts w:hint="eastAsia"/>
        </w:rPr>
        <w:t>年1</w:t>
      </w:r>
      <w:r>
        <w:t>2</w:t>
      </w:r>
      <w:r>
        <w:rPr>
          <w:rFonts w:hint="eastAsia"/>
        </w:rPr>
        <w:t>月3</w:t>
      </w:r>
      <w:r>
        <w:t>1</w:t>
      </w:r>
      <w:r>
        <w:rPr>
          <w:rFonts w:hint="eastAsia"/>
        </w:rPr>
        <w:t>日总股本</w:t>
      </w:r>
      <w:r>
        <w:rPr>
          <w:kern w:val="0"/>
          <w:szCs w:val="21"/>
        </w:rPr>
        <w:t>621,</w:t>
      </w:r>
      <w:r>
        <w:rPr>
          <w:rFonts w:hint="eastAsia"/>
          <w:kern w:val="0"/>
          <w:szCs w:val="21"/>
        </w:rPr>
        <w:t>859</w:t>
      </w:r>
      <w:r>
        <w:rPr>
          <w:kern w:val="0"/>
          <w:szCs w:val="21"/>
        </w:rPr>
        <w:t>,447</w:t>
      </w:r>
      <w:r>
        <w:rPr>
          <w:rFonts w:hint="eastAsia"/>
          <w:kern w:val="0"/>
          <w:szCs w:val="21"/>
        </w:rPr>
        <w:t>股为基础，2</w:t>
      </w:r>
      <w:r>
        <w:rPr>
          <w:kern w:val="0"/>
          <w:szCs w:val="21"/>
        </w:rPr>
        <w:t>021</w:t>
      </w:r>
      <w:r>
        <w:rPr>
          <w:rFonts w:hint="eastAsia"/>
          <w:kern w:val="0"/>
          <w:szCs w:val="21"/>
        </w:rPr>
        <w:t>年1月因公司 2018 年股票期权激励计划第一个行权期行权完毕，新增A股股份550.8</w:t>
      </w:r>
      <w:r>
        <w:rPr>
          <w:kern w:val="0"/>
          <w:szCs w:val="21"/>
        </w:rPr>
        <w:t>0</w:t>
      </w:r>
      <w:r>
        <w:rPr>
          <w:rFonts w:hint="eastAsia"/>
          <w:kern w:val="0"/>
          <w:szCs w:val="21"/>
        </w:rPr>
        <w:t>万股，</w:t>
      </w:r>
      <w:r>
        <w:t>假设除上述事项和本次</w:t>
      </w:r>
      <w:r>
        <w:rPr>
          <w:rFonts w:hint="eastAsia"/>
        </w:rPr>
        <w:t>非公开发行外</w:t>
      </w:r>
      <w:r>
        <w:t>，不考虑其他未来导致股本变动的事项</w:t>
      </w:r>
      <w:r>
        <w:rPr>
          <w:rFonts w:hint="eastAsia"/>
        </w:rPr>
        <w:t>。</w:t>
      </w:r>
    </w:p>
    <w:p>
      <w:pPr>
        <w:pStyle w:val="67"/>
        <w:ind w:firstLine="480"/>
      </w:pPr>
      <w:r>
        <w:t>8</w:t>
      </w:r>
      <w:r>
        <w:rPr>
          <w:rFonts w:hint="eastAsia"/>
        </w:rPr>
        <w:t>、上述假设仅为测算本次非公开发行摊薄即期回报对公司主要财务指标的影响，不代表公司对20</w:t>
      </w:r>
      <w:r>
        <w:t>21</w:t>
      </w:r>
      <w:r>
        <w:rPr>
          <w:rFonts w:hint="eastAsia"/>
        </w:rPr>
        <w:t>年经营情况及趋势的判断，亦不构成盈利预测。投资者不应据此进行投资决策，投资者据此进行投资决策造成损失的，公司不承担赔偿责任。</w:t>
      </w:r>
    </w:p>
    <w:p>
      <w:pPr>
        <w:pStyle w:val="71"/>
        <w:spacing w:afterLines="0"/>
        <w:ind w:firstLine="482"/>
      </w:pPr>
      <w:r>
        <w:t>（二）对公司主要财务指标的影响</w:t>
      </w:r>
    </w:p>
    <w:p>
      <w:pPr>
        <w:pStyle w:val="67"/>
        <w:ind w:firstLine="480"/>
      </w:pPr>
      <w:r>
        <w:rPr>
          <w:rFonts w:hint="eastAsia"/>
        </w:rPr>
        <w:t>基于上述假设，公司测算了本次非公开发行对主要财务指标的影响，具体情况如下：</w:t>
      </w:r>
    </w:p>
    <w:tbl>
      <w:tblPr>
        <w:tblStyle w:val="31"/>
        <w:tblW w:w="926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122"/>
        <w:gridCol w:w="1813"/>
        <w:gridCol w:w="1728"/>
        <w:gridCol w:w="1"/>
        <w:gridCol w:w="159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4122" w:type="dxa"/>
            <w:vMerge w:val="restart"/>
            <w:shd w:val="clear" w:color="000000" w:fill="FFFFFF"/>
            <w:vAlign w:val="center"/>
          </w:tcPr>
          <w:p>
            <w:pPr>
              <w:widowControl/>
              <w:spacing w:line="240" w:lineRule="atLeast"/>
              <w:jc w:val="center"/>
              <w:rPr>
                <w:rFonts w:ascii="Times New Roman" w:hAnsi="Times New Roman" w:eastAsia="宋体" w:cs="Times New Roman"/>
                <w:b/>
                <w:color w:val="333333"/>
                <w:kern w:val="0"/>
                <w:szCs w:val="21"/>
              </w:rPr>
            </w:pPr>
            <w:r>
              <w:rPr>
                <w:rFonts w:ascii="Times New Roman" w:hAnsi="Times New Roman" w:eastAsia="宋体" w:cs="Times New Roman"/>
                <w:b/>
                <w:color w:val="333333"/>
                <w:kern w:val="0"/>
                <w:szCs w:val="21"/>
              </w:rPr>
              <w:t>项目</w:t>
            </w:r>
          </w:p>
        </w:tc>
        <w:tc>
          <w:tcPr>
            <w:tcW w:w="1813" w:type="dxa"/>
            <w:vMerge w:val="restart"/>
            <w:shd w:val="clear" w:color="000000" w:fill="FFFFFF"/>
            <w:vAlign w:val="center"/>
          </w:tcPr>
          <w:p>
            <w:pPr>
              <w:widowControl/>
              <w:spacing w:line="240" w:lineRule="atLeast"/>
              <w:jc w:val="center"/>
              <w:rPr>
                <w:rFonts w:ascii="Times New Roman" w:hAnsi="Times New Roman" w:eastAsia="宋体" w:cs="Times New Roman"/>
                <w:b/>
                <w:color w:val="333333"/>
                <w:kern w:val="0"/>
                <w:szCs w:val="21"/>
              </w:rPr>
            </w:pPr>
            <w:r>
              <w:rPr>
                <w:rFonts w:ascii="Times New Roman" w:hAnsi="Times New Roman" w:eastAsia="宋体" w:cs="Times New Roman"/>
                <w:b/>
                <w:color w:val="333333"/>
                <w:kern w:val="0"/>
                <w:szCs w:val="21"/>
              </w:rPr>
              <w:t>2020年度/2020年12月31日</w:t>
            </w:r>
          </w:p>
        </w:tc>
        <w:tc>
          <w:tcPr>
            <w:tcW w:w="3325" w:type="dxa"/>
            <w:gridSpan w:val="3"/>
            <w:shd w:val="clear" w:color="000000" w:fill="FFFFFF"/>
            <w:vAlign w:val="center"/>
          </w:tcPr>
          <w:p>
            <w:pPr>
              <w:widowControl/>
              <w:spacing w:line="240" w:lineRule="atLeast"/>
              <w:jc w:val="center"/>
              <w:rPr>
                <w:rFonts w:ascii="Times New Roman" w:hAnsi="Times New Roman" w:eastAsia="宋体" w:cs="Times New Roman"/>
                <w:b/>
                <w:color w:val="333333"/>
                <w:kern w:val="0"/>
                <w:szCs w:val="21"/>
              </w:rPr>
            </w:pPr>
            <w:r>
              <w:rPr>
                <w:rFonts w:ascii="Times New Roman" w:hAnsi="Times New Roman" w:eastAsia="宋体" w:cs="Times New Roman"/>
                <w:b/>
                <w:color w:val="333333"/>
                <w:kern w:val="0"/>
                <w:szCs w:val="21"/>
              </w:rPr>
              <w:t>2021年度/2021年12月31日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56" w:hRule="atLeast"/>
        </w:trPr>
        <w:tc>
          <w:tcPr>
            <w:tcW w:w="4122" w:type="dxa"/>
            <w:vMerge w:val="continue"/>
            <w:vAlign w:val="center"/>
          </w:tcPr>
          <w:p>
            <w:pPr>
              <w:widowControl/>
              <w:spacing w:line="240" w:lineRule="atLeast"/>
              <w:jc w:val="center"/>
              <w:rPr>
                <w:rFonts w:ascii="Times New Roman" w:hAnsi="Times New Roman" w:eastAsia="宋体" w:cs="Times New Roman"/>
                <w:b/>
                <w:color w:val="333333"/>
                <w:kern w:val="0"/>
                <w:szCs w:val="21"/>
              </w:rPr>
            </w:pPr>
          </w:p>
        </w:tc>
        <w:tc>
          <w:tcPr>
            <w:tcW w:w="1813" w:type="dxa"/>
            <w:vMerge w:val="continue"/>
            <w:vAlign w:val="center"/>
          </w:tcPr>
          <w:p>
            <w:pPr>
              <w:widowControl/>
              <w:spacing w:line="240" w:lineRule="atLeast"/>
              <w:jc w:val="center"/>
              <w:rPr>
                <w:rFonts w:ascii="Times New Roman" w:hAnsi="Times New Roman" w:eastAsia="宋体" w:cs="Times New Roman"/>
                <w:b/>
                <w:color w:val="333333"/>
                <w:kern w:val="0"/>
                <w:szCs w:val="21"/>
              </w:rPr>
            </w:pPr>
          </w:p>
        </w:tc>
        <w:tc>
          <w:tcPr>
            <w:tcW w:w="1729" w:type="dxa"/>
            <w:gridSpan w:val="2"/>
            <w:shd w:val="clear" w:color="000000" w:fill="FFFFFF"/>
            <w:vAlign w:val="center"/>
          </w:tcPr>
          <w:p>
            <w:pPr>
              <w:widowControl/>
              <w:spacing w:line="240" w:lineRule="atLeast"/>
              <w:jc w:val="center"/>
              <w:rPr>
                <w:rFonts w:ascii="Times New Roman" w:hAnsi="Times New Roman" w:eastAsia="宋体" w:cs="Times New Roman"/>
                <w:b/>
                <w:color w:val="333333"/>
                <w:kern w:val="0"/>
                <w:szCs w:val="21"/>
              </w:rPr>
            </w:pPr>
            <w:r>
              <w:rPr>
                <w:rFonts w:ascii="Times New Roman" w:hAnsi="Times New Roman" w:eastAsia="宋体" w:cs="Times New Roman"/>
                <w:b/>
                <w:color w:val="333333"/>
                <w:kern w:val="0"/>
                <w:szCs w:val="21"/>
              </w:rPr>
              <w:t>本次发行前</w:t>
            </w:r>
          </w:p>
        </w:tc>
        <w:tc>
          <w:tcPr>
            <w:tcW w:w="1596" w:type="dxa"/>
            <w:shd w:val="clear" w:color="000000" w:fill="FFFFFF"/>
            <w:vAlign w:val="center"/>
          </w:tcPr>
          <w:p>
            <w:pPr>
              <w:widowControl/>
              <w:spacing w:line="240" w:lineRule="atLeast"/>
              <w:jc w:val="center"/>
              <w:rPr>
                <w:rFonts w:ascii="Times New Roman" w:hAnsi="Times New Roman" w:eastAsia="宋体" w:cs="Times New Roman"/>
                <w:b/>
                <w:color w:val="333333"/>
                <w:kern w:val="0"/>
                <w:szCs w:val="21"/>
              </w:rPr>
            </w:pPr>
            <w:r>
              <w:rPr>
                <w:rFonts w:ascii="Times New Roman" w:hAnsi="Times New Roman" w:eastAsia="宋体" w:cs="Times New Roman"/>
                <w:b/>
                <w:color w:val="333333"/>
                <w:kern w:val="0"/>
                <w:szCs w:val="21"/>
              </w:rPr>
              <w:t>本次发行后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总股本（股）</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621,</w:t>
            </w:r>
            <w:r>
              <w:rPr>
                <w:rFonts w:hint="eastAsia" w:ascii="Times New Roman" w:hAnsi="Times New Roman" w:eastAsia="宋体" w:cs="Times New Roman"/>
                <w:kern w:val="0"/>
                <w:szCs w:val="21"/>
              </w:rPr>
              <w:t>859</w:t>
            </w:r>
            <w:r>
              <w:rPr>
                <w:rFonts w:ascii="Times New Roman" w:hAnsi="Times New Roman" w:eastAsia="宋体" w:cs="Times New Roman"/>
                <w:kern w:val="0"/>
                <w:szCs w:val="21"/>
              </w:rPr>
              <w:t>,447</w:t>
            </w:r>
          </w:p>
        </w:tc>
        <w:tc>
          <w:tcPr>
            <w:tcW w:w="1729" w:type="dxa"/>
            <w:gridSpan w:val="2"/>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627,367,447</w:t>
            </w:r>
          </w:p>
        </w:tc>
        <w:tc>
          <w:tcPr>
            <w:tcW w:w="1596" w:type="dxa"/>
            <w:shd w:val="clear" w:color="auto" w:fill="auto"/>
            <w:vAlign w:val="center"/>
          </w:tcPr>
          <w:p>
            <w:pPr>
              <w:widowControl/>
              <w:jc w:val="center"/>
              <w:rPr>
                <w:rFonts w:hint="eastAsia" w:ascii="楷体" w:hAnsi="楷体" w:eastAsia="楷体"/>
                <w:b/>
                <w:bCs/>
                <w:color w:val="000000"/>
                <w:kern w:val="0"/>
                <w:szCs w:val="21"/>
              </w:rPr>
            </w:pPr>
            <w:r>
              <w:rPr>
                <w:rFonts w:ascii="楷体" w:hAnsi="楷体" w:eastAsia="楷体"/>
                <w:b/>
                <w:bCs/>
                <w:color w:val="000000"/>
                <w:szCs w:val="21"/>
              </w:rPr>
              <w:t>664,459,435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9260" w:type="dxa"/>
            <w:gridSpan w:val="5"/>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假设情形（1）：2021年净利润不增长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当期归属于母公司净利润（万元）</w:t>
            </w:r>
          </w:p>
        </w:tc>
        <w:tc>
          <w:tcPr>
            <w:tcW w:w="1813"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32,485.96</w:t>
            </w:r>
          </w:p>
        </w:tc>
        <w:tc>
          <w:tcPr>
            <w:tcW w:w="1728"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32,485.96</w:t>
            </w:r>
          </w:p>
        </w:tc>
        <w:tc>
          <w:tcPr>
            <w:tcW w:w="1597" w:type="dxa"/>
            <w:gridSpan w:val="2"/>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32,485.96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归属于上市公司股东的扣除非经常性损益的净利润(万元）</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29,079.00</w:t>
            </w:r>
          </w:p>
        </w:tc>
        <w:tc>
          <w:tcPr>
            <w:tcW w:w="1728"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29,079.00</w:t>
            </w:r>
          </w:p>
        </w:tc>
        <w:tc>
          <w:tcPr>
            <w:tcW w:w="1597" w:type="dxa"/>
            <w:gridSpan w:val="2"/>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29,079.00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基本每股收益（元/股）</w:t>
            </w:r>
          </w:p>
        </w:tc>
        <w:tc>
          <w:tcPr>
            <w:tcW w:w="1813"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0.52</w:t>
            </w:r>
          </w:p>
        </w:tc>
        <w:tc>
          <w:tcPr>
            <w:tcW w:w="1728"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0.52</w:t>
            </w:r>
          </w:p>
        </w:tc>
        <w:tc>
          <w:tcPr>
            <w:tcW w:w="1597" w:type="dxa"/>
            <w:gridSpan w:val="2"/>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基本每股收益（扣非后）（元/股）</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0.47</w:t>
            </w:r>
          </w:p>
        </w:tc>
        <w:tc>
          <w:tcPr>
            <w:tcW w:w="1728"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0.46</w:t>
            </w:r>
          </w:p>
        </w:tc>
        <w:tc>
          <w:tcPr>
            <w:tcW w:w="1597" w:type="dxa"/>
            <w:gridSpan w:val="2"/>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稀释</w:t>
            </w:r>
            <w:r>
              <w:rPr>
                <w:rFonts w:ascii="Times New Roman" w:hAnsi="Times New Roman" w:eastAsia="宋体" w:cs="Times New Roman"/>
                <w:color w:val="333333"/>
                <w:kern w:val="0"/>
                <w:szCs w:val="21"/>
              </w:rPr>
              <w:t>每股收益（元/股）</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0.52</w:t>
            </w:r>
          </w:p>
        </w:tc>
        <w:tc>
          <w:tcPr>
            <w:tcW w:w="1728"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0.52</w:t>
            </w:r>
          </w:p>
        </w:tc>
        <w:tc>
          <w:tcPr>
            <w:tcW w:w="1597" w:type="dxa"/>
            <w:gridSpan w:val="2"/>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0.51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稀释</w:t>
            </w:r>
            <w:r>
              <w:rPr>
                <w:rFonts w:ascii="Times New Roman" w:hAnsi="Times New Roman" w:eastAsia="宋体" w:cs="Times New Roman"/>
                <w:color w:val="333333"/>
                <w:kern w:val="0"/>
                <w:szCs w:val="21"/>
              </w:rPr>
              <w:t>每股收益（扣非后）（元/股）</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0.47</w:t>
            </w:r>
          </w:p>
        </w:tc>
        <w:tc>
          <w:tcPr>
            <w:tcW w:w="1728"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0.46</w:t>
            </w:r>
          </w:p>
        </w:tc>
        <w:tc>
          <w:tcPr>
            <w:tcW w:w="1597" w:type="dxa"/>
            <w:gridSpan w:val="2"/>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9260" w:type="dxa"/>
            <w:gridSpan w:val="5"/>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假设情形（2）：2021年净利润增长10%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17"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当期归属于母公司净利润（万元）</w:t>
            </w:r>
          </w:p>
        </w:tc>
        <w:tc>
          <w:tcPr>
            <w:tcW w:w="1813"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32,485.96</w:t>
            </w:r>
          </w:p>
        </w:tc>
        <w:tc>
          <w:tcPr>
            <w:tcW w:w="1728"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35,734.55</w:t>
            </w:r>
          </w:p>
        </w:tc>
        <w:tc>
          <w:tcPr>
            <w:tcW w:w="1597" w:type="dxa"/>
            <w:gridSpan w:val="2"/>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35,734.55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归属于上市公司股东的扣除非经常性损益的净利润(万元）</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29,079.00</w:t>
            </w:r>
          </w:p>
        </w:tc>
        <w:tc>
          <w:tcPr>
            <w:tcW w:w="1728"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31,986.90</w:t>
            </w:r>
          </w:p>
        </w:tc>
        <w:tc>
          <w:tcPr>
            <w:tcW w:w="1597" w:type="dxa"/>
            <w:gridSpan w:val="2"/>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31,986.90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11"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基本每股收益（元/股）</w:t>
            </w:r>
          </w:p>
        </w:tc>
        <w:tc>
          <w:tcPr>
            <w:tcW w:w="1813"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0.52</w:t>
            </w:r>
          </w:p>
        </w:tc>
        <w:tc>
          <w:tcPr>
            <w:tcW w:w="1728"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0.57</w:t>
            </w:r>
          </w:p>
        </w:tc>
        <w:tc>
          <w:tcPr>
            <w:tcW w:w="1597" w:type="dxa"/>
            <w:gridSpan w:val="2"/>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基本每股收益（扣非后）（元/股）</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0.47</w:t>
            </w:r>
          </w:p>
        </w:tc>
        <w:tc>
          <w:tcPr>
            <w:tcW w:w="1728"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0.51</w:t>
            </w:r>
          </w:p>
        </w:tc>
        <w:tc>
          <w:tcPr>
            <w:tcW w:w="1597" w:type="dxa"/>
            <w:gridSpan w:val="2"/>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稀释</w:t>
            </w:r>
            <w:r>
              <w:rPr>
                <w:rFonts w:ascii="Times New Roman" w:hAnsi="Times New Roman" w:eastAsia="宋体" w:cs="Times New Roman"/>
                <w:color w:val="333333"/>
                <w:kern w:val="0"/>
                <w:szCs w:val="21"/>
              </w:rPr>
              <w:t>每股收益（元/股）</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0.52</w:t>
            </w:r>
          </w:p>
        </w:tc>
        <w:tc>
          <w:tcPr>
            <w:tcW w:w="1728"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0.57</w:t>
            </w:r>
          </w:p>
        </w:tc>
        <w:tc>
          <w:tcPr>
            <w:tcW w:w="1597" w:type="dxa"/>
            <w:gridSpan w:val="2"/>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稀释</w:t>
            </w:r>
            <w:r>
              <w:rPr>
                <w:rFonts w:ascii="Times New Roman" w:hAnsi="Times New Roman" w:eastAsia="宋体" w:cs="Times New Roman"/>
                <w:color w:val="333333"/>
                <w:kern w:val="0"/>
                <w:szCs w:val="21"/>
              </w:rPr>
              <w:t>每股收益（扣非后）（元/股）</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0.47</w:t>
            </w:r>
          </w:p>
        </w:tc>
        <w:tc>
          <w:tcPr>
            <w:tcW w:w="1728"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0.51</w:t>
            </w:r>
          </w:p>
        </w:tc>
        <w:tc>
          <w:tcPr>
            <w:tcW w:w="1597" w:type="dxa"/>
            <w:gridSpan w:val="2"/>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9260" w:type="dxa"/>
            <w:gridSpan w:val="5"/>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假设情形（3）：2021年净利润下降10%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当期归属于母公司净利润（万元）</w:t>
            </w:r>
          </w:p>
        </w:tc>
        <w:tc>
          <w:tcPr>
            <w:tcW w:w="1813"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32,485.96</w:t>
            </w:r>
          </w:p>
        </w:tc>
        <w:tc>
          <w:tcPr>
            <w:tcW w:w="1728"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29,237.36</w:t>
            </w:r>
          </w:p>
        </w:tc>
        <w:tc>
          <w:tcPr>
            <w:tcW w:w="1597" w:type="dxa"/>
            <w:gridSpan w:val="2"/>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29,237.36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归属于上市公司股东的扣除非经常性损益的净利润(万元）</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29,079.00</w:t>
            </w:r>
          </w:p>
        </w:tc>
        <w:tc>
          <w:tcPr>
            <w:tcW w:w="1728"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26,171.10</w:t>
            </w:r>
          </w:p>
        </w:tc>
        <w:tc>
          <w:tcPr>
            <w:tcW w:w="1597" w:type="dxa"/>
            <w:gridSpan w:val="2"/>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26,171.10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58"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基本每股收益（元/股）</w:t>
            </w:r>
          </w:p>
        </w:tc>
        <w:tc>
          <w:tcPr>
            <w:tcW w:w="1813"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0.52</w:t>
            </w:r>
          </w:p>
        </w:tc>
        <w:tc>
          <w:tcPr>
            <w:tcW w:w="1728"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0.47</w:t>
            </w:r>
          </w:p>
        </w:tc>
        <w:tc>
          <w:tcPr>
            <w:tcW w:w="1597" w:type="dxa"/>
            <w:gridSpan w:val="2"/>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基本每股收益（扣非后）（元/股）</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0.47</w:t>
            </w:r>
          </w:p>
        </w:tc>
        <w:tc>
          <w:tcPr>
            <w:tcW w:w="1728"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0.42</w:t>
            </w:r>
          </w:p>
        </w:tc>
        <w:tc>
          <w:tcPr>
            <w:tcW w:w="1597" w:type="dxa"/>
            <w:gridSpan w:val="2"/>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0.41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稀释</w:t>
            </w:r>
            <w:r>
              <w:rPr>
                <w:rFonts w:ascii="Times New Roman" w:hAnsi="Times New Roman" w:eastAsia="宋体" w:cs="Times New Roman"/>
                <w:color w:val="333333"/>
                <w:kern w:val="0"/>
                <w:szCs w:val="21"/>
              </w:rPr>
              <w:t>每股收益（元/股）</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0.52</w:t>
            </w:r>
          </w:p>
        </w:tc>
        <w:tc>
          <w:tcPr>
            <w:tcW w:w="1728"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0.47</w:t>
            </w:r>
          </w:p>
        </w:tc>
        <w:tc>
          <w:tcPr>
            <w:tcW w:w="1597" w:type="dxa"/>
            <w:gridSpan w:val="2"/>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4122"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rPr>
              <w:t>稀释</w:t>
            </w:r>
            <w:r>
              <w:rPr>
                <w:rFonts w:ascii="Times New Roman" w:hAnsi="Times New Roman" w:eastAsia="宋体" w:cs="Times New Roman"/>
                <w:color w:val="333333"/>
                <w:kern w:val="0"/>
                <w:szCs w:val="21"/>
              </w:rPr>
              <w:t>每股收益（扣非后）（元/股）</w:t>
            </w:r>
          </w:p>
        </w:tc>
        <w:tc>
          <w:tcPr>
            <w:tcW w:w="1813" w:type="dxa"/>
            <w:shd w:val="clear" w:color="auto" w:fill="auto"/>
            <w:vAlign w:val="center"/>
          </w:tcPr>
          <w:p>
            <w:pPr>
              <w:widowControl/>
              <w:spacing w:line="240" w:lineRule="atLeast"/>
              <w:jc w:val="center"/>
              <w:rPr>
                <w:rFonts w:ascii="Times New Roman" w:hAnsi="Times New Roman" w:eastAsia="宋体" w:cs="Times New Roman"/>
                <w:kern w:val="0"/>
                <w:szCs w:val="21"/>
              </w:rPr>
            </w:pPr>
            <w:r>
              <w:rPr>
                <w:rFonts w:ascii="Times New Roman" w:hAnsi="Times New Roman" w:eastAsia="DengXian" w:cs="Times New Roman"/>
                <w:color w:val="000000"/>
                <w:szCs w:val="21"/>
              </w:rPr>
              <w:t>0.47</w:t>
            </w:r>
          </w:p>
        </w:tc>
        <w:tc>
          <w:tcPr>
            <w:tcW w:w="1728" w:type="dxa"/>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0.42</w:t>
            </w:r>
          </w:p>
        </w:tc>
        <w:tc>
          <w:tcPr>
            <w:tcW w:w="1597" w:type="dxa"/>
            <w:gridSpan w:val="2"/>
            <w:shd w:val="clear" w:color="000000" w:fill="FFFFFF"/>
            <w:vAlign w:val="center"/>
          </w:tcPr>
          <w:p>
            <w:pPr>
              <w:widowControl/>
              <w:spacing w:line="240" w:lineRule="atLeast"/>
              <w:jc w:val="center"/>
              <w:rPr>
                <w:rFonts w:ascii="Times New Roman" w:hAnsi="Times New Roman" w:eastAsia="宋体" w:cs="Times New Roman"/>
                <w:color w:val="333333"/>
                <w:kern w:val="0"/>
                <w:szCs w:val="21"/>
              </w:rPr>
            </w:pPr>
            <w:r>
              <w:rPr>
                <w:rFonts w:ascii="Times New Roman" w:hAnsi="Times New Roman" w:eastAsia="DengXian" w:cs="Times New Roman"/>
                <w:color w:val="000000"/>
                <w:szCs w:val="21"/>
              </w:rPr>
              <w:t>0.41</w:t>
            </w:r>
          </w:p>
        </w:tc>
      </w:tr>
    </w:tbl>
    <w:p>
      <w:pPr>
        <w:pStyle w:val="67"/>
        <w:ind w:firstLine="480"/>
      </w:pPr>
      <w:r>
        <w:rPr>
          <w:rFonts w:hint="eastAsia"/>
        </w:rPr>
        <w:t>关于测算的说明如下：</w:t>
      </w:r>
    </w:p>
    <w:p>
      <w:pPr>
        <w:pStyle w:val="67"/>
        <w:ind w:firstLine="480"/>
      </w:pPr>
      <w:r>
        <w:t>1</w:t>
      </w:r>
      <w:r>
        <w:rPr>
          <w:rFonts w:hint="eastAsia"/>
        </w:rPr>
        <w:t>、公司对</w:t>
      </w:r>
      <w:r>
        <w:t>202</w:t>
      </w:r>
      <w:r>
        <w:rPr>
          <w:rFonts w:hint="eastAsia"/>
        </w:rPr>
        <w:t>1年度净利润的假设分析并不构成公司的盈利预测，投资者不应据此进行投资决策，投资者据此进行投资决策造成损失的，公司不承担赔偿责任。</w:t>
      </w:r>
    </w:p>
    <w:p>
      <w:pPr>
        <w:pStyle w:val="67"/>
        <w:ind w:firstLine="480"/>
      </w:pPr>
      <w:r>
        <w:t>2</w:t>
      </w:r>
      <w:r>
        <w:rPr>
          <w:rFonts w:hint="eastAsia"/>
        </w:rPr>
        <w:t>、本次非公开发行的股份数量和发行完成时间仅为预计，最终以经监管部门核准发行的股份数量和实际发行完成时间为准。</w:t>
      </w:r>
    </w:p>
    <w:p>
      <w:pPr>
        <w:pStyle w:val="67"/>
        <w:ind w:firstLine="480"/>
      </w:pPr>
      <w:r>
        <w:t>3</w:t>
      </w:r>
      <w:r>
        <w:rPr>
          <w:rFonts w:hint="eastAsia"/>
        </w:rPr>
        <w:t>、在预测公司发行后主要财务指标时，未考虑除拟募集资金总额、净利润之外的其他因素对主要财务指标的影响。</w:t>
      </w:r>
    </w:p>
    <w:p>
      <w:pPr>
        <w:pStyle w:val="67"/>
        <w:ind w:firstLine="480"/>
      </w:pPr>
      <w:r>
        <w:rPr>
          <w:rFonts w:hint="eastAsia"/>
        </w:rPr>
        <w:t>公司提醒投资者，上述分析不构成公司的盈利预测，本次发行尚需监管部门核准，能否获得核准、获得核准的时间及发行完成时间等均存在不确定性。特此提醒投资者关注本次发行对即期回报的影响。</w:t>
      </w:r>
    </w:p>
    <w:p>
      <w:pPr>
        <w:pStyle w:val="69"/>
        <w:spacing w:afterLines="0"/>
        <w:ind w:firstLine="478" w:firstLineChars="171"/>
      </w:pPr>
      <w:r>
        <w:rPr>
          <w:rFonts w:hint="eastAsia"/>
        </w:rPr>
        <w:t>二、本次非公开发行摊薄即期回报的特别风险提示</w:t>
      </w:r>
    </w:p>
    <w:p>
      <w:pPr>
        <w:pStyle w:val="67"/>
        <w:ind w:firstLine="480"/>
      </w:pPr>
      <w:r>
        <w:rPr>
          <w:rFonts w:hint="eastAsia"/>
        </w:rPr>
        <w:t>本次非公开发行募集资金到位后，公司的总股本及净资产将相应增加，但是，公司的净利润短期内增长幅度可能会低于股本及净资产的增长幅度，从而导致本次发行后每股收益及加权平均净资产收益率等财务指标可能会出现一定幅度的下降， 特别提醒投资者理性投资， 关注公司本次发行后即期回报被摊薄的风险。</w:t>
      </w:r>
    </w:p>
    <w:p>
      <w:pPr>
        <w:pStyle w:val="69"/>
        <w:spacing w:afterLines="0"/>
        <w:ind w:firstLine="478" w:firstLineChars="171"/>
      </w:pPr>
      <w:r>
        <w:rPr>
          <w:rFonts w:hint="eastAsia"/>
        </w:rPr>
        <w:t>三、本次非公开的必要性</w:t>
      </w:r>
      <w:r>
        <w:t>和</w:t>
      </w:r>
      <w:r>
        <w:rPr>
          <w:rFonts w:hint="eastAsia"/>
        </w:rPr>
        <w:t>合理性分析</w:t>
      </w:r>
    </w:p>
    <w:p>
      <w:pPr>
        <w:pStyle w:val="67"/>
        <w:ind w:firstLine="480"/>
      </w:pPr>
      <w:r>
        <w:rPr>
          <w:rFonts w:hint="eastAsia"/>
        </w:rPr>
        <w:t>1、优化公司资本结构，降低财务风险，提高抗风险能力</w:t>
      </w:r>
    </w:p>
    <w:p>
      <w:pPr>
        <w:pStyle w:val="67"/>
        <w:ind w:firstLine="480"/>
      </w:pPr>
      <w:r>
        <w:rPr>
          <w:rFonts w:hint="eastAsia"/>
        </w:rPr>
        <w:t>截至</w:t>
      </w:r>
      <w:r>
        <w:t>2021</w:t>
      </w:r>
      <w:r>
        <w:rPr>
          <w:rFonts w:hint="eastAsia"/>
        </w:rPr>
        <w:t>年</w:t>
      </w:r>
      <w:r>
        <w:t>3</w:t>
      </w:r>
      <w:r>
        <w:rPr>
          <w:rFonts w:hint="eastAsia"/>
        </w:rPr>
        <w:t>月</w:t>
      </w:r>
      <w:r>
        <w:t>31</w:t>
      </w:r>
      <w:r>
        <w:rPr>
          <w:rFonts w:hint="eastAsia"/>
        </w:rPr>
        <w:t>日，公司合并口径资产负债率为51.43</w:t>
      </w:r>
      <w:r>
        <w:t>%</w:t>
      </w:r>
      <w:r>
        <w:rPr>
          <w:rFonts w:hint="eastAsia"/>
        </w:rPr>
        <w:t>，与同行业可比上市公司相比，公司资产负债率长期处于较高态势，公司业务规模的扩张能力在一定程度上受制于公司整体的资金和负债状况。本次非公开发行募集资金完成后，将增加公司资本金，降低财务费用及资产负债率，补充流动资金，优化公司资本结构，进一步改善财务状况，降低</w:t>
      </w:r>
      <w:r>
        <w:t>财务</w:t>
      </w:r>
      <w:r>
        <w:rPr>
          <w:rFonts w:hint="eastAsia"/>
        </w:rPr>
        <w:t>风险，提升抗风险能力。</w:t>
      </w:r>
    </w:p>
    <w:p>
      <w:pPr>
        <w:pStyle w:val="67"/>
        <w:ind w:firstLine="480"/>
      </w:pPr>
      <w:r>
        <w:rPr>
          <w:rFonts w:hint="eastAsia"/>
        </w:rPr>
        <w:t>2、补充营运资金，为公司持续稳定发展奠定良好基础</w:t>
      </w:r>
    </w:p>
    <w:p>
      <w:pPr>
        <w:pStyle w:val="67"/>
        <w:ind w:firstLine="480"/>
      </w:pPr>
      <w:r>
        <w:rPr>
          <w:rFonts w:hint="eastAsia"/>
        </w:rPr>
        <w:t> 截至 202</w:t>
      </w:r>
      <w:r>
        <w:t>1</w:t>
      </w:r>
      <w:r>
        <w:rPr>
          <w:rFonts w:hint="eastAsia"/>
        </w:rPr>
        <w:t xml:space="preserve"> 年</w:t>
      </w:r>
      <w:r>
        <w:t>3</w:t>
      </w:r>
      <w:r>
        <w:rPr>
          <w:rFonts w:hint="eastAsia"/>
        </w:rPr>
        <w:t>月 31 日，公司货币资金总额91,361.74万元，其中银行存款为78,799.10万元。</w:t>
      </w:r>
    </w:p>
    <w:p>
      <w:pPr>
        <w:pStyle w:val="67"/>
        <w:ind w:firstLine="480"/>
      </w:pPr>
      <w:r>
        <w:rPr>
          <w:rFonts w:hint="eastAsia"/>
        </w:rPr>
        <w:t>公司在日常经营中需要保有一定量的货币资金用于原材料采购、产品研发、生产及支付员工工资等方面，随着公司业务规模的持续增长，公司对流动资金的需求也将相应增加。目前，公司主要通过银行贷款等债务融资方式解决流动资金需求，资产负债率较高，公司有必要通过股权融资方式募集资金补充流动资金，支持公司主营业务持续发展。</w:t>
      </w:r>
    </w:p>
    <w:p>
      <w:pPr>
        <w:pStyle w:val="67"/>
        <w:ind w:firstLine="480"/>
      </w:pPr>
      <w:r>
        <w:rPr>
          <w:rFonts w:hint="eastAsia"/>
        </w:rPr>
        <w:t>3、增强公司资金实力，为下一阶段战略布局提供保障</w:t>
      </w:r>
    </w:p>
    <w:p>
      <w:pPr>
        <w:pStyle w:val="67"/>
        <w:ind w:firstLine="480"/>
      </w:pPr>
      <w:r>
        <w:rPr>
          <w:rFonts w:hint="eastAsia"/>
        </w:rPr>
        <w:t>当前，公司正处于优化产业布局的关键阶段，补充流动资金对公司战略发展至关重要。公司在资金实力得以增强后，将持续推进大制剂、大研发、国际化战略，完善内部改革及基础管理，进一步增强公司核心竞争力。</w:t>
      </w:r>
    </w:p>
    <w:p>
      <w:pPr>
        <w:pStyle w:val="67"/>
        <w:ind w:firstLine="480"/>
      </w:pPr>
      <w:r>
        <w:rPr>
          <w:rFonts w:hint="eastAsia"/>
        </w:rPr>
        <w:t>4、控股股东子公司认购本次发行股份，彰显其对于公司未来业务发展的信心及支持</w:t>
      </w:r>
    </w:p>
    <w:p>
      <w:pPr>
        <w:pStyle w:val="67"/>
        <w:ind w:firstLine="480"/>
      </w:pPr>
      <w:r>
        <w:rPr>
          <w:rFonts w:hint="eastAsia"/>
        </w:rPr>
        <w:t>本公司控股股东计划通过子公司华鲁投资认购公司本次发行的股份，体现了控股股东对上市公司予以坚定支持的决心以及对公司未来发展的信心，有利于保障公司的稳定持续发展。随着本次发行募集资金的注入，公司的财务状况将有所改善，抗风险能力将增强，有利于公司业务规模的扩张以及后续经营的持续运作，也有利于维护公司中小股东的利益，实现公司股东利益的最大化。</w:t>
      </w:r>
    </w:p>
    <w:p>
      <w:pPr>
        <w:pStyle w:val="69"/>
        <w:spacing w:afterLines="0"/>
        <w:ind w:firstLine="560"/>
      </w:pPr>
      <w:r>
        <w:rPr>
          <w:rFonts w:hint="eastAsia"/>
        </w:rPr>
        <w:t>四</w:t>
      </w:r>
      <w:r>
        <w:t>、公司采取的填补回报的具体措施</w:t>
      </w:r>
    </w:p>
    <w:p>
      <w:pPr>
        <w:pStyle w:val="67"/>
        <w:ind w:firstLine="480"/>
      </w:pPr>
      <w:r>
        <w:rPr>
          <w:rFonts w:hint="eastAsia"/>
        </w:rPr>
        <w:t>为了保护投资者利益，公司将采取多种措施保证此次募集资金有效使用、有效防范即期回报被摊薄的风险、提高未来的回报能力，具体措施包括：</w:t>
      </w:r>
    </w:p>
    <w:p>
      <w:pPr>
        <w:pStyle w:val="71"/>
        <w:spacing w:afterLines="0"/>
        <w:ind w:firstLine="482"/>
      </w:pPr>
      <w:r>
        <w:t>（一）加强募集资金管理，切实保障投资者的利益</w:t>
      </w:r>
    </w:p>
    <w:p>
      <w:pPr>
        <w:pStyle w:val="67"/>
        <w:ind w:firstLine="480"/>
      </w:pPr>
      <w:r>
        <w:rPr>
          <w:rFonts w:hint="eastAsia"/>
        </w:rPr>
        <w:t>根据《公司法》、《证券法》、《上市公司证券发行管理办法》、《上市公司监管指引第</w:t>
      </w:r>
      <w:r>
        <w:t>2</w:t>
      </w:r>
      <w:r>
        <w:rPr>
          <w:rFonts w:hint="eastAsia"/>
        </w:rPr>
        <w:t>号</w:t>
      </w:r>
      <w:r>
        <w:t>——</w:t>
      </w:r>
      <w:r>
        <w:rPr>
          <w:rFonts w:hint="eastAsia"/>
        </w:rPr>
        <w:t>上市公司募集资金管理和使用的监管要求》、《深圳证券交易所股票上市规则》、《深圳证券交易所主板上市公司规范运作指引》等有关法律法规及《公司章程》的要求，公司制订了《募集资金使用管理办法》，对募集资金专户存储、使用、用途变更、管理与监督等进行了明确的规定。为保障公司规范、有效使用募集资金，本次发行募集资金到位后，公司董事会将持续监督募集资金的存储和使用，定期对募集资金进行内部审计，配合监管银行和保荐机构对募集资金使用的检查和监督，以保证募集资金合理规范使用，合理防范募集资金使用风险。</w:t>
      </w:r>
    </w:p>
    <w:p>
      <w:pPr>
        <w:pStyle w:val="71"/>
        <w:spacing w:afterLines="0"/>
        <w:ind w:firstLine="482"/>
      </w:pPr>
      <w:r>
        <w:t>（二）加强公司治理水平，以制度保障公司的发展</w:t>
      </w:r>
    </w:p>
    <w:p>
      <w:pPr>
        <w:pStyle w:val="67"/>
        <w:ind w:firstLine="480"/>
      </w:pPr>
      <w:r>
        <w:rPr>
          <w:rFonts w:hint="eastAsia"/>
        </w:rPr>
        <w:t>公司将严格遵循《公司法》、《证券法》、《上市公司治理准则》等法律法规和规范性文件的要求，不断完善公司治理，确保股东能够充分行使权利，确保董事会能够按照法律、法规和《公司章程》的规定行使职权，作出科学、迅速和谨慎的决策，确保独立董事能够认真履行职责，维护公司整体利益，尤其是中小股东的合法权益，确保监事会能够独立有效地行使对董事、高级管理人员及公司财务的监督权和检查权，为公司发展提供制度保障。</w:t>
      </w:r>
    </w:p>
    <w:p>
      <w:pPr>
        <w:pStyle w:val="71"/>
        <w:spacing w:afterLines="0"/>
        <w:ind w:firstLine="482"/>
      </w:pPr>
      <w:r>
        <w:t>（三）严格执行分红政策，保障公司股东利益回报</w:t>
      </w:r>
    </w:p>
    <w:p>
      <w:pPr>
        <w:pStyle w:val="67"/>
        <w:ind w:firstLine="480"/>
      </w:pPr>
      <w:r>
        <w:rPr>
          <w:rFonts w:hint="eastAsia"/>
        </w:rPr>
        <w:t>根据《关于进一步落实上市公司现金分红有关事项的通知》、《上市公司监管指引第</w:t>
      </w:r>
      <w:r>
        <w:t>3</w:t>
      </w:r>
      <w:r>
        <w:rPr>
          <w:rFonts w:hint="eastAsia"/>
        </w:rPr>
        <w:t>号</w:t>
      </w:r>
      <w:r>
        <w:t>——</w:t>
      </w:r>
      <w:r>
        <w:rPr>
          <w:rFonts w:hint="eastAsia"/>
        </w:rPr>
        <w:t>上市公司现金分红》以及《上市公司章程指引》的精神和规定，公司在充分考虑对股东的投资回报并兼顾公司的成长和发展的基础上，结合自身实际情况制定了《未来三年（</w:t>
      </w:r>
      <w:r>
        <w:t>2021</w:t>
      </w:r>
      <w:r>
        <w:rPr>
          <w:rFonts w:hint="eastAsia"/>
        </w:rPr>
        <w:t>—</w:t>
      </w:r>
      <w:r>
        <w:t>2023年</w:t>
      </w:r>
      <w:r>
        <w:rPr>
          <w:rFonts w:hint="eastAsia"/>
        </w:rPr>
        <w:t>）股东回报规划》，进一步明确和完善了公司利润分配的原则和方式，利润分配尤其是现金分红的具体条件、比例，股票股利的分配条件，完善了公司利润分配的决策程序和机制以及利润分配政策调整的决策程序。</w:t>
      </w:r>
    </w:p>
    <w:p>
      <w:pPr>
        <w:pStyle w:val="67"/>
        <w:ind w:firstLine="480"/>
      </w:pPr>
      <w:r>
        <w:rPr>
          <w:rFonts w:hint="eastAsia"/>
        </w:rPr>
        <w:t>未来，公司将继续严格执行公司分红政策，增强投资者回报的监督与管理机制，确保公司股东特别是中小股东的利益得到保护，努力提升股东回报水平。</w:t>
      </w:r>
    </w:p>
    <w:p>
      <w:pPr>
        <w:pStyle w:val="71"/>
        <w:spacing w:afterLines="0"/>
        <w:ind w:firstLine="482"/>
      </w:pPr>
      <w:r>
        <w:t>（四）</w:t>
      </w:r>
      <w:r>
        <w:rPr>
          <w:rFonts w:hint="eastAsia"/>
        </w:rPr>
        <w:t>加强技术研发，推动创新发展</w:t>
      </w:r>
    </w:p>
    <w:p>
      <w:pPr>
        <w:pStyle w:val="67"/>
        <w:ind w:firstLine="480"/>
      </w:pPr>
      <w:r>
        <w:rPr>
          <w:rFonts w:hint="eastAsia"/>
        </w:rPr>
        <w:t>全面实施“大研发战略”规划，进一步加大研发投入，进一步加快科研体制机制改革,进一步完善研发体系和研发平台建设，进一步充实完善研发管线中疼痛控制类、心脑血管类、抗肿瘤类等新药，加速制剂新技术应用，进一步提升高端给药系统，实现抗体药物、重大创新药物的突破。</w:t>
      </w:r>
    </w:p>
    <w:p>
      <w:pPr>
        <w:pStyle w:val="67"/>
        <w:ind w:firstLine="480"/>
      </w:pPr>
      <w:r>
        <w:rPr>
          <w:rFonts w:hint="eastAsia"/>
        </w:rPr>
        <w:t>高效整合现有资源，加快后续产品特别是重点品种一致性评价工作，争取获得阿莫西林胶囊等4个以上一致性评价批件。</w:t>
      </w:r>
    </w:p>
    <w:p>
      <w:pPr>
        <w:pStyle w:val="69"/>
        <w:spacing w:afterLines="0"/>
        <w:ind w:firstLine="560"/>
      </w:pPr>
      <w:r>
        <w:rPr>
          <w:rFonts w:hint="eastAsia"/>
        </w:rPr>
        <w:t>五</w:t>
      </w:r>
      <w:r>
        <w:t>、公司董事、高级管理人员对公司填补回报措施的承诺</w:t>
      </w:r>
    </w:p>
    <w:p>
      <w:pPr>
        <w:pStyle w:val="67"/>
        <w:ind w:firstLine="480"/>
      </w:pPr>
      <w:r>
        <w:rPr>
          <w:rFonts w:hint="eastAsia"/>
        </w:rPr>
        <w:t>为贯彻执行《国务院办公厅关于进一步加强资本市场中小投资者合法权益保护工作的意见》、《国务院关于进一步促进资本市场健康发展的若干意见》和中国证券监督管理委员会《关于首发及再融资、重大资产重组摊薄即期回报有关事项的指导意见》等文件的规定和精神，切实保护投资者特别是中小投资者的合法权益，公司全体董事、高级管理人员作出如下承诺：</w:t>
      </w:r>
    </w:p>
    <w:p>
      <w:pPr>
        <w:pStyle w:val="67"/>
        <w:ind w:firstLine="240" w:firstLineChars="100"/>
      </w:pPr>
      <w:r>
        <w:rPr>
          <w:rFonts w:hint="eastAsia"/>
        </w:rPr>
        <w:t>“</w:t>
      </w:r>
      <w:r>
        <w:t>1</w:t>
      </w:r>
      <w:r>
        <w:rPr>
          <w:rFonts w:hint="eastAsia"/>
        </w:rPr>
        <w:t>、本人承诺不无偿或以不公平条件向其他单位或者个人输送利益，也不采用其他方式损害公司利益；</w:t>
      </w:r>
    </w:p>
    <w:p>
      <w:pPr>
        <w:pStyle w:val="67"/>
        <w:ind w:firstLine="480"/>
      </w:pPr>
      <w:r>
        <w:t>2</w:t>
      </w:r>
      <w:r>
        <w:rPr>
          <w:rFonts w:hint="eastAsia"/>
        </w:rPr>
        <w:t>、本人承诺对本人的职务消费行为进行约束；</w:t>
      </w:r>
    </w:p>
    <w:p>
      <w:pPr>
        <w:pStyle w:val="67"/>
        <w:ind w:firstLine="480"/>
      </w:pPr>
      <w:r>
        <w:t>3</w:t>
      </w:r>
      <w:r>
        <w:rPr>
          <w:rFonts w:hint="eastAsia"/>
        </w:rPr>
        <w:t>、本人承诺不动用公司资产从事与履行职责无关的投资、消费活动；</w:t>
      </w:r>
    </w:p>
    <w:p>
      <w:pPr>
        <w:pStyle w:val="67"/>
        <w:ind w:firstLine="480"/>
      </w:pPr>
      <w:r>
        <w:t>4</w:t>
      </w:r>
      <w:r>
        <w:rPr>
          <w:rFonts w:hint="eastAsia"/>
        </w:rPr>
        <w:t>、本人承诺由董事会或薪酬委员会制定的薪酬制度与公司填补被摊薄即期回报措施的执行情况相挂钩；</w:t>
      </w:r>
    </w:p>
    <w:p>
      <w:pPr>
        <w:pStyle w:val="67"/>
        <w:ind w:firstLine="480"/>
      </w:pPr>
      <w:r>
        <w:rPr>
          <w:rFonts w:hint="eastAsia"/>
        </w:rPr>
        <w:t>5、未来公司如实施股权激励，本人承诺股权激励的行权条件与公司填补回报措施的执行情况相挂钩；</w:t>
      </w:r>
    </w:p>
    <w:p>
      <w:pPr>
        <w:pStyle w:val="67"/>
        <w:ind w:firstLine="480"/>
      </w:pPr>
      <w:r>
        <w:rPr>
          <w:rFonts w:hint="eastAsia"/>
        </w:rPr>
        <w:t>6、自本承诺出具日至公司本次非公开发行股票完成前，若国家及证券监管部门作出关于上市公司填补被摊薄即期回报措施的其他新的监管规定的，且本承诺不能满足国家及证券监管部门的该等规定时，本人承诺届时将按照国家及证券监管部门的最新规定出具承诺；</w:t>
      </w:r>
    </w:p>
    <w:p>
      <w:pPr>
        <w:pStyle w:val="67"/>
        <w:ind w:firstLine="480"/>
      </w:pPr>
      <w:r>
        <w:rPr>
          <w:rFonts w:hint="eastAsia"/>
        </w:rPr>
        <w:t>7、作为填补回报措施相关责任主体之一，本人若违反本承诺或拒不履行本承诺，本人同意国家或证券监管机构按照其制定或发布的有关规定、规则，对本人作出相关处罚或采取相关监管措施。”</w:t>
      </w:r>
    </w:p>
    <w:p>
      <w:pPr>
        <w:pStyle w:val="69"/>
        <w:spacing w:afterLines="0"/>
        <w:ind w:firstLine="560"/>
      </w:pPr>
      <w:r>
        <w:rPr>
          <w:rFonts w:hint="eastAsia"/>
        </w:rPr>
        <w:t>六</w:t>
      </w:r>
      <w:r>
        <w:t>、公司控股股东对公司填补回报措施的承诺</w:t>
      </w:r>
    </w:p>
    <w:p>
      <w:pPr>
        <w:pStyle w:val="67"/>
        <w:ind w:firstLine="480"/>
      </w:pPr>
      <w:r>
        <w:rPr>
          <w:rFonts w:hint="eastAsia"/>
        </w:rPr>
        <w:t>为贯彻执行《国务院办公厅关于进一步加强资本市场中小投资者合法权益保护工作的意见》、《国务院关于进一步促进资本市场健康发展的若干意见》和中国证券监督管理委员会《关于首发及再融资、重大资产重组摊薄即期回报有关事项的指导意见》等文件的规定和精神，切实保护投资者特别是中小投资者的合法权益，公司控股股东作出如下承诺：</w:t>
      </w:r>
    </w:p>
    <w:p>
      <w:pPr>
        <w:pStyle w:val="67"/>
        <w:ind w:firstLine="480"/>
      </w:pPr>
      <w:r>
        <w:rPr>
          <w:rFonts w:hint="eastAsia"/>
        </w:rPr>
        <w:t>“</w:t>
      </w:r>
      <w:r>
        <w:t>1</w:t>
      </w:r>
      <w:r>
        <w:rPr>
          <w:rFonts w:hint="eastAsia"/>
        </w:rPr>
        <w:t>、本公司承诺不越权干预公司的经营管理活动，不侵占公司利益；</w:t>
      </w:r>
    </w:p>
    <w:p>
      <w:pPr>
        <w:pStyle w:val="67"/>
        <w:ind w:firstLine="480"/>
      </w:pPr>
      <w:r>
        <w:t>2</w:t>
      </w:r>
      <w:r>
        <w:rPr>
          <w:rFonts w:hint="eastAsia"/>
        </w:rPr>
        <w:t>、自本承诺出具日至公司本次非公开发行股票完成前，若国家及证券监管部门作出关于上市公司填补被摊薄即期回报措施的其他新的监管规定的，且本承诺不能满足国家及证券监管部门的该等规定时，本公司承诺届时将按照国家及证券监管部门的最新规定出具承诺；</w:t>
      </w:r>
    </w:p>
    <w:p>
      <w:pPr>
        <w:pStyle w:val="67"/>
        <w:ind w:firstLine="480"/>
      </w:pPr>
      <w:r>
        <w:t>3</w:t>
      </w:r>
      <w:r>
        <w:rPr>
          <w:rFonts w:hint="eastAsia"/>
        </w:rPr>
        <w:t>、本公司承诺切实履行公司制定的有关填补被摊薄即期回报措施以及本承诺，若违反本承诺或拒不履行本承诺而给公司或者投资者造成损失的，本公司愿意依法承担相应的补偿责任。”</w:t>
      </w:r>
    </w:p>
    <w:p>
      <w:pPr>
        <w:pStyle w:val="67"/>
        <w:ind w:firstLine="480"/>
      </w:pPr>
      <w:r>
        <w:rPr>
          <w:rFonts w:hint="eastAsia"/>
        </w:rPr>
        <w:t>特此公告。</w:t>
      </w:r>
    </w:p>
    <w:p>
      <w:pPr>
        <w:pStyle w:val="67"/>
        <w:ind w:firstLine="480"/>
        <w:jc w:val="right"/>
      </w:pPr>
    </w:p>
    <w:p>
      <w:pPr>
        <w:pStyle w:val="67"/>
        <w:ind w:firstLine="480"/>
        <w:jc w:val="right"/>
      </w:pPr>
      <w:r>
        <w:rPr>
          <w:rFonts w:hint="eastAsia"/>
        </w:rPr>
        <w:t> 山东新华制药股份有限公司董事会</w:t>
      </w:r>
    </w:p>
    <w:p>
      <w:pPr>
        <w:pStyle w:val="67"/>
        <w:ind w:firstLine="480"/>
        <w:jc w:val="center"/>
      </w:pPr>
      <w:r>
        <w:rPr>
          <w:rFonts w:hint="eastAsia"/>
          <w:lang w:val="en-US" w:eastAsia="zh-CN"/>
        </w:rPr>
        <w:t xml:space="preserve">                                          </w:t>
      </w:r>
      <w:r>
        <w:rPr>
          <w:rFonts w:hint="eastAsia"/>
        </w:rPr>
        <w:t>2</w:t>
      </w:r>
      <w:r>
        <w:t>021</w:t>
      </w:r>
      <w:r>
        <w:rPr>
          <w:rFonts w:hint="eastAsia"/>
        </w:rPr>
        <w:t>年</w:t>
      </w:r>
      <w:r>
        <w:t>8</w:t>
      </w:r>
      <w:r>
        <w:rPr>
          <w:rFonts w:hint="eastAsia"/>
        </w:rPr>
        <w:t>月</w:t>
      </w:r>
      <w:r>
        <w:rPr>
          <w:rFonts w:hint="eastAsia"/>
          <w:lang w:val="en-US" w:eastAsia="zh-CN"/>
        </w:rPr>
        <w:t>13</w:t>
      </w:r>
      <w:r>
        <w:rPr>
          <w:rFonts w:hint="eastAsia"/>
        </w:rPr>
        <w:t>日</w:t>
      </w:r>
    </w:p>
    <w:p>
      <w:pPr>
        <w:pStyle w:val="2"/>
        <w:ind w:left="0" w:leftChars="0" w:firstLine="0" w:firstLineChars="0"/>
        <w:rPr>
          <w:rFonts w:hint="eastAsia" w:ascii="Times New Roman" w:hAnsi="Times New Roman" w:eastAsia="宋体" w:cs="Times New Roman"/>
          <w:sz w:val="24"/>
          <w:szCs w:val="24"/>
        </w:rPr>
      </w:pPr>
    </w:p>
    <w:sectPr>
      <w:headerReference r:id="rId11" w:type="first"/>
      <w:footerReference r:id="rId13" w:type="first"/>
      <w:headerReference r:id="rId10" w:type="default"/>
      <w:footerReference r:id="rId12" w:type="default"/>
      <w:pgSz w:w="11900" w:h="16840"/>
      <w:pgMar w:top="1213" w:right="1406" w:bottom="1213" w:left="1406"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DengXian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DengXian">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FF" w:csb1="00000000"/>
  </w:font>
  <w:font w:name="PMingLiU">
    <w:panose1 w:val="02020500000000000000"/>
    <w:charset w:val="88"/>
    <w:family w:val="roma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decorative"/>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spacing w:before="120"/>
      <w:ind w:firstLine="360"/>
      <w:rPr>
        <w:rStyle w:val="26"/>
      </w:rPr>
    </w:pPr>
    <w:r>
      <w:rPr>
        <w:rStyle w:val="26"/>
      </w:rPr>
      <w:fldChar w:fldCharType="begin"/>
    </w:r>
    <w:r>
      <w:rPr>
        <w:rStyle w:val="26"/>
      </w:rPr>
      <w:instrText xml:space="preserve">PAGE  </w:instrText>
    </w:r>
    <w:r>
      <w:rPr>
        <w:rStyle w:val="26"/>
      </w:rPr>
      <w:fldChar w:fldCharType="end"/>
    </w:r>
  </w:p>
  <w:p>
    <w:pPr>
      <w:pStyle w:val="16"/>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14</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NbXC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QQ1tcICAADY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52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87Cx/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s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CS8KcvEiXNCW92KlZfsWBtfU&#10;xQAVERQiZdj24sx2MwoGH2XTqTdaK92s6u4CDA9F7FwsFHVhfAup6drCe/DP5MgKUOk2MD48qftR&#10;5+bTw723Og7ky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fzsLH8ICAADY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52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1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12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C84"/>
    <w:multiLevelType w:val="multilevel"/>
    <w:tmpl w:val="03964C84"/>
    <w:lvl w:ilvl="0" w:tentative="0">
      <w:start w:val="1"/>
      <w:numFmt w:val="japaneseCounting"/>
      <w:lvlText w:val="（%1）"/>
      <w:lvlJc w:val="left"/>
      <w:pPr>
        <w:ind w:left="1225" w:hanging="743"/>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37450492"/>
    <w:multiLevelType w:val="multilevel"/>
    <w:tmpl w:val="37450492"/>
    <w:lvl w:ilvl="0" w:tentative="0">
      <w:start w:val="1"/>
      <w:numFmt w:val="japaneseCounting"/>
      <w:lvlText w:val="（%1）"/>
      <w:lvlJc w:val="left"/>
      <w:pPr>
        <w:ind w:left="1225" w:hanging="743"/>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38B23572"/>
    <w:multiLevelType w:val="multilevel"/>
    <w:tmpl w:val="38B23572"/>
    <w:lvl w:ilvl="0" w:tentative="0">
      <w:start w:val="1"/>
      <w:numFmt w:val="japaneseCounting"/>
      <w:lvlText w:val="第%1节"/>
      <w:lvlJc w:val="left"/>
      <w:pPr>
        <w:ind w:left="1268" w:hanging="126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8CB0AB7"/>
    <w:multiLevelType w:val="multilevel"/>
    <w:tmpl w:val="38CB0AB7"/>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B9"/>
    <w:rsid w:val="000004C2"/>
    <w:rsid w:val="000060FB"/>
    <w:rsid w:val="00006984"/>
    <w:rsid w:val="00007705"/>
    <w:rsid w:val="00007EE7"/>
    <w:rsid w:val="00020663"/>
    <w:rsid w:val="000220AB"/>
    <w:rsid w:val="00022601"/>
    <w:rsid w:val="00024EA5"/>
    <w:rsid w:val="00041A4E"/>
    <w:rsid w:val="000424A5"/>
    <w:rsid w:val="00051A92"/>
    <w:rsid w:val="000528C6"/>
    <w:rsid w:val="00064876"/>
    <w:rsid w:val="00074B84"/>
    <w:rsid w:val="00076844"/>
    <w:rsid w:val="000777DB"/>
    <w:rsid w:val="0008368A"/>
    <w:rsid w:val="0008456C"/>
    <w:rsid w:val="00093F6F"/>
    <w:rsid w:val="000A2AA5"/>
    <w:rsid w:val="000B0783"/>
    <w:rsid w:val="000B5081"/>
    <w:rsid w:val="000C02EE"/>
    <w:rsid w:val="000C0CCE"/>
    <w:rsid w:val="000C12BB"/>
    <w:rsid w:val="000C52E3"/>
    <w:rsid w:val="000C6E40"/>
    <w:rsid w:val="000E4BFE"/>
    <w:rsid w:val="000E7A39"/>
    <w:rsid w:val="000F1155"/>
    <w:rsid w:val="000F4706"/>
    <w:rsid w:val="000F5B2D"/>
    <w:rsid w:val="000F69B6"/>
    <w:rsid w:val="0011226C"/>
    <w:rsid w:val="0011240F"/>
    <w:rsid w:val="00112581"/>
    <w:rsid w:val="001138E2"/>
    <w:rsid w:val="00120537"/>
    <w:rsid w:val="0012643E"/>
    <w:rsid w:val="001268C6"/>
    <w:rsid w:val="001307CB"/>
    <w:rsid w:val="00132816"/>
    <w:rsid w:val="00135CEA"/>
    <w:rsid w:val="001504A3"/>
    <w:rsid w:val="00152DC2"/>
    <w:rsid w:val="00153403"/>
    <w:rsid w:val="001576AB"/>
    <w:rsid w:val="00161347"/>
    <w:rsid w:val="00161402"/>
    <w:rsid w:val="0016268C"/>
    <w:rsid w:val="001771EE"/>
    <w:rsid w:val="001848D9"/>
    <w:rsid w:val="0019153F"/>
    <w:rsid w:val="00191A06"/>
    <w:rsid w:val="00192427"/>
    <w:rsid w:val="001946BD"/>
    <w:rsid w:val="00195E37"/>
    <w:rsid w:val="00196B86"/>
    <w:rsid w:val="00197125"/>
    <w:rsid w:val="001A38C2"/>
    <w:rsid w:val="001A4CE2"/>
    <w:rsid w:val="001B1A46"/>
    <w:rsid w:val="001B36EC"/>
    <w:rsid w:val="001B46CE"/>
    <w:rsid w:val="001B47B9"/>
    <w:rsid w:val="001B493C"/>
    <w:rsid w:val="001B5851"/>
    <w:rsid w:val="001B5BE1"/>
    <w:rsid w:val="001B5C97"/>
    <w:rsid w:val="001B7FBF"/>
    <w:rsid w:val="001C1165"/>
    <w:rsid w:val="001C5177"/>
    <w:rsid w:val="001C5579"/>
    <w:rsid w:val="001C5CCA"/>
    <w:rsid w:val="001E7EE5"/>
    <w:rsid w:val="001F3A17"/>
    <w:rsid w:val="001F495A"/>
    <w:rsid w:val="001F7C6E"/>
    <w:rsid w:val="001F7FB1"/>
    <w:rsid w:val="002149D3"/>
    <w:rsid w:val="0021634A"/>
    <w:rsid w:val="002175AF"/>
    <w:rsid w:val="00221D55"/>
    <w:rsid w:val="00223EBC"/>
    <w:rsid w:val="00224A30"/>
    <w:rsid w:val="0023054C"/>
    <w:rsid w:val="00231897"/>
    <w:rsid w:val="002328BE"/>
    <w:rsid w:val="002348CA"/>
    <w:rsid w:val="00235AD0"/>
    <w:rsid w:val="002404F1"/>
    <w:rsid w:val="00244FED"/>
    <w:rsid w:val="0024502A"/>
    <w:rsid w:val="00246360"/>
    <w:rsid w:val="00263D33"/>
    <w:rsid w:val="00267821"/>
    <w:rsid w:val="00273259"/>
    <w:rsid w:val="00273370"/>
    <w:rsid w:val="002772BE"/>
    <w:rsid w:val="00284CAC"/>
    <w:rsid w:val="00290BC9"/>
    <w:rsid w:val="00293F8C"/>
    <w:rsid w:val="002A54E0"/>
    <w:rsid w:val="002A5916"/>
    <w:rsid w:val="002A65B8"/>
    <w:rsid w:val="002B10E1"/>
    <w:rsid w:val="002B1F20"/>
    <w:rsid w:val="002B265C"/>
    <w:rsid w:val="002B281B"/>
    <w:rsid w:val="002B3F07"/>
    <w:rsid w:val="002B4550"/>
    <w:rsid w:val="002B6DC5"/>
    <w:rsid w:val="002B790D"/>
    <w:rsid w:val="002D2324"/>
    <w:rsid w:val="002D2B17"/>
    <w:rsid w:val="002E3CD4"/>
    <w:rsid w:val="002F0153"/>
    <w:rsid w:val="002F1007"/>
    <w:rsid w:val="002F2C45"/>
    <w:rsid w:val="002F3A5E"/>
    <w:rsid w:val="002F77CF"/>
    <w:rsid w:val="00312E18"/>
    <w:rsid w:val="003134BD"/>
    <w:rsid w:val="00313982"/>
    <w:rsid w:val="00315901"/>
    <w:rsid w:val="00322D33"/>
    <w:rsid w:val="003315AF"/>
    <w:rsid w:val="003321B4"/>
    <w:rsid w:val="00334034"/>
    <w:rsid w:val="00336690"/>
    <w:rsid w:val="00336DF9"/>
    <w:rsid w:val="00336E62"/>
    <w:rsid w:val="00337CFB"/>
    <w:rsid w:val="003507CE"/>
    <w:rsid w:val="003578C2"/>
    <w:rsid w:val="003602CA"/>
    <w:rsid w:val="003666FD"/>
    <w:rsid w:val="00382C92"/>
    <w:rsid w:val="003851C7"/>
    <w:rsid w:val="00385CC5"/>
    <w:rsid w:val="00390D15"/>
    <w:rsid w:val="00393C15"/>
    <w:rsid w:val="00394ED7"/>
    <w:rsid w:val="00396F3C"/>
    <w:rsid w:val="00397F12"/>
    <w:rsid w:val="003A0062"/>
    <w:rsid w:val="003A59A6"/>
    <w:rsid w:val="003B3464"/>
    <w:rsid w:val="003B6A41"/>
    <w:rsid w:val="003C18CB"/>
    <w:rsid w:val="003C26A2"/>
    <w:rsid w:val="003C38DC"/>
    <w:rsid w:val="003C40A8"/>
    <w:rsid w:val="003C7445"/>
    <w:rsid w:val="003D0418"/>
    <w:rsid w:val="003D09E4"/>
    <w:rsid w:val="003E2E41"/>
    <w:rsid w:val="003E7E42"/>
    <w:rsid w:val="003F2264"/>
    <w:rsid w:val="003F3B43"/>
    <w:rsid w:val="00405800"/>
    <w:rsid w:val="004152D5"/>
    <w:rsid w:val="00423211"/>
    <w:rsid w:val="00431A4E"/>
    <w:rsid w:val="00437F42"/>
    <w:rsid w:val="00440F26"/>
    <w:rsid w:val="004427B5"/>
    <w:rsid w:val="00460FE5"/>
    <w:rsid w:val="00461529"/>
    <w:rsid w:val="00463CBF"/>
    <w:rsid w:val="004640CE"/>
    <w:rsid w:val="004667EE"/>
    <w:rsid w:val="00474C88"/>
    <w:rsid w:val="00475AE8"/>
    <w:rsid w:val="004776E9"/>
    <w:rsid w:val="004833A0"/>
    <w:rsid w:val="00492A25"/>
    <w:rsid w:val="00493A9B"/>
    <w:rsid w:val="00496C23"/>
    <w:rsid w:val="004A0088"/>
    <w:rsid w:val="004B294B"/>
    <w:rsid w:val="004C06FD"/>
    <w:rsid w:val="004C2506"/>
    <w:rsid w:val="004C2928"/>
    <w:rsid w:val="004C57D1"/>
    <w:rsid w:val="004C6125"/>
    <w:rsid w:val="004C6D42"/>
    <w:rsid w:val="004C7435"/>
    <w:rsid w:val="004D0557"/>
    <w:rsid w:val="004D2B7A"/>
    <w:rsid w:val="004E1D4A"/>
    <w:rsid w:val="004E2C56"/>
    <w:rsid w:val="004E38EE"/>
    <w:rsid w:val="004E5B70"/>
    <w:rsid w:val="004F69EC"/>
    <w:rsid w:val="00502D4F"/>
    <w:rsid w:val="00510535"/>
    <w:rsid w:val="0053027F"/>
    <w:rsid w:val="00537DC8"/>
    <w:rsid w:val="00545FAF"/>
    <w:rsid w:val="00553A26"/>
    <w:rsid w:val="00554752"/>
    <w:rsid w:val="00555E70"/>
    <w:rsid w:val="00556E9F"/>
    <w:rsid w:val="00557568"/>
    <w:rsid w:val="0056088F"/>
    <w:rsid w:val="00566EFE"/>
    <w:rsid w:val="00581AAF"/>
    <w:rsid w:val="00585119"/>
    <w:rsid w:val="005971E7"/>
    <w:rsid w:val="005A1A88"/>
    <w:rsid w:val="005A5615"/>
    <w:rsid w:val="005A6705"/>
    <w:rsid w:val="005A769F"/>
    <w:rsid w:val="005B0F2B"/>
    <w:rsid w:val="005B1B02"/>
    <w:rsid w:val="005B2225"/>
    <w:rsid w:val="005B343B"/>
    <w:rsid w:val="005B397C"/>
    <w:rsid w:val="005C30A2"/>
    <w:rsid w:val="005C6EA8"/>
    <w:rsid w:val="005C72E8"/>
    <w:rsid w:val="005C7F03"/>
    <w:rsid w:val="005D480B"/>
    <w:rsid w:val="005E3B33"/>
    <w:rsid w:val="005E61B3"/>
    <w:rsid w:val="005F38A1"/>
    <w:rsid w:val="005F3A01"/>
    <w:rsid w:val="0060192C"/>
    <w:rsid w:val="00603C50"/>
    <w:rsid w:val="00607BA2"/>
    <w:rsid w:val="00622EDC"/>
    <w:rsid w:val="0062759A"/>
    <w:rsid w:val="00630F23"/>
    <w:rsid w:val="00631A9F"/>
    <w:rsid w:val="00634D15"/>
    <w:rsid w:val="00635B69"/>
    <w:rsid w:val="00642666"/>
    <w:rsid w:val="00642740"/>
    <w:rsid w:val="00644899"/>
    <w:rsid w:val="00660861"/>
    <w:rsid w:val="00664C53"/>
    <w:rsid w:val="00671DBC"/>
    <w:rsid w:val="00676127"/>
    <w:rsid w:val="00681913"/>
    <w:rsid w:val="00682F28"/>
    <w:rsid w:val="00684F26"/>
    <w:rsid w:val="00685871"/>
    <w:rsid w:val="00685DFC"/>
    <w:rsid w:val="00690950"/>
    <w:rsid w:val="00693366"/>
    <w:rsid w:val="00693FD9"/>
    <w:rsid w:val="006A077C"/>
    <w:rsid w:val="006A10BD"/>
    <w:rsid w:val="006A28C1"/>
    <w:rsid w:val="006A68EB"/>
    <w:rsid w:val="006B1B9C"/>
    <w:rsid w:val="006C214A"/>
    <w:rsid w:val="006C53B4"/>
    <w:rsid w:val="006D0DFD"/>
    <w:rsid w:val="006D6C9F"/>
    <w:rsid w:val="006E0ADF"/>
    <w:rsid w:val="006E702C"/>
    <w:rsid w:val="006F24F7"/>
    <w:rsid w:val="006F67EA"/>
    <w:rsid w:val="007023B0"/>
    <w:rsid w:val="007133C5"/>
    <w:rsid w:val="007134A9"/>
    <w:rsid w:val="00721C9C"/>
    <w:rsid w:val="0073232A"/>
    <w:rsid w:val="00741AFB"/>
    <w:rsid w:val="00741F9E"/>
    <w:rsid w:val="007438B5"/>
    <w:rsid w:val="00752A44"/>
    <w:rsid w:val="0075372C"/>
    <w:rsid w:val="00754675"/>
    <w:rsid w:val="0075615C"/>
    <w:rsid w:val="00760160"/>
    <w:rsid w:val="00763C03"/>
    <w:rsid w:val="007644CF"/>
    <w:rsid w:val="0076537C"/>
    <w:rsid w:val="00767037"/>
    <w:rsid w:val="0077037D"/>
    <w:rsid w:val="007715C4"/>
    <w:rsid w:val="00771855"/>
    <w:rsid w:val="00772A3B"/>
    <w:rsid w:val="007731CC"/>
    <w:rsid w:val="00774622"/>
    <w:rsid w:val="00774D74"/>
    <w:rsid w:val="0077578B"/>
    <w:rsid w:val="00777FDA"/>
    <w:rsid w:val="00782BCE"/>
    <w:rsid w:val="0079204B"/>
    <w:rsid w:val="007930A4"/>
    <w:rsid w:val="00796B0B"/>
    <w:rsid w:val="007A7B52"/>
    <w:rsid w:val="007D0577"/>
    <w:rsid w:val="007D187C"/>
    <w:rsid w:val="007D3564"/>
    <w:rsid w:val="007D5F25"/>
    <w:rsid w:val="007E204A"/>
    <w:rsid w:val="007E228B"/>
    <w:rsid w:val="007E3221"/>
    <w:rsid w:val="007E3450"/>
    <w:rsid w:val="007F4969"/>
    <w:rsid w:val="007F7D15"/>
    <w:rsid w:val="00802A29"/>
    <w:rsid w:val="0080648E"/>
    <w:rsid w:val="00806E60"/>
    <w:rsid w:val="00811D10"/>
    <w:rsid w:val="008127DC"/>
    <w:rsid w:val="00813139"/>
    <w:rsid w:val="00815716"/>
    <w:rsid w:val="008161D8"/>
    <w:rsid w:val="00816867"/>
    <w:rsid w:val="00831783"/>
    <w:rsid w:val="00832C19"/>
    <w:rsid w:val="00832E55"/>
    <w:rsid w:val="00833B09"/>
    <w:rsid w:val="0084772E"/>
    <w:rsid w:val="008505F9"/>
    <w:rsid w:val="00851E03"/>
    <w:rsid w:val="008524CD"/>
    <w:rsid w:val="00862DFA"/>
    <w:rsid w:val="008672FD"/>
    <w:rsid w:val="008677C4"/>
    <w:rsid w:val="00873FCE"/>
    <w:rsid w:val="00881C1A"/>
    <w:rsid w:val="008B3202"/>
    <w:rsid w:val="008B4996"/>
    <w:rsid w:val="008B5F56"/>
    <w:rsid w:val="008B6BFE"/>
    <w:rsid w:val="008C075D"/>
    <w:rsid w:val="008C626E"/>
    <w:rsid w:val="008D7C99"/>
    <w:rsid w:val="008F1807"/>
    <w:rsid w:val="008F73C8"/>
    <w:rsid w:val="008F7AC4"/>
    <w:rsid w:val="008F7F70"/>
    <w:rsid w:val="00901DEC"/>
    <w:rsid w:val="0090628A"/>
    <w:rsid w:val="009065D1"/>
    <w:rsid w:val="00907877"/>
    <w:rsid w:val="00910BC4"/>
    <w:rsid w:val="009127B2"/>
    <w:rsid w:val="00914255"/>
    <w:rsid w:val="00923741"/>
    <w:rsid w:val="009241D3"/>
    <w:rsid w:val="00924461"/>
    <w:rsid w:val="00931560"/>
    <w:rsid w:val="009340A6"/>
    <w:rsid w:val="00947BB6"/>
    <w:rsid w:val="00956FF7"/>
    <w:rsid w:val="0096034E"/>
    <w:rsid w:val="00966252"/>
    <w:rsid w:val="009675CD"/>
    <w:rsid w:val="00971773"/>
    <w:rsid w:val="009738E6"/>
    <w:rsid w:val="009853E9"/>
    <w:rsid w:val="00986D01"/>
    <w:rsid w:val="0098750F"/>
    <w:rsid w:val="0099286F"/>
    <w:rsid w:val="00995CAD"/>
    <w:rsid w:val="009969A5"/>
    <w:rsid w:val="0099714D"/>
    <w:rsid w:val="009A3B62"/>
    <w:rsid w:val="009A6504"/>
    <w:rsid w:val="009B2B56"/>
    <w:rsid w:val="009B34E5"/>
    <w:rsid w:val="009B35FF"/>
    <w:rsid w:val="009C2CE9"/>
    <w:rsid w:val="009C74B3"/>
    <w:rsid w:val="009D1D2E"/>
    <w:rsid w:val="009D4D47"/>
    <w:rsid w:val="009D5A24"/>
    <w:rsid w:val="009E0A6B"/>
    <w:rsid w:val="00A01064"/>
    <w:rsid w:val="00A0270F"/>
    <w:rsid w:val="00A0595D"/>
    <w:rsid w:val="00A07AFF"/>
    <w:rsid w:val="00A17B35"/>
    <w:rsid w:val="00A21791"/>
    <w:rsid w:val="00A21848"/>
    <w:rsid w:val="00A21C50"/>
    <w:rsid w:val="00A24281"/>
    <w:rsid w:val="00A2460A"/>
    <w:rsid w:val="00A31311"/>
    <w:rsid w:val="00A359CD"/>
    <w:rsid w:val="00A3729E"/>
    <w:rsid w:val="00A37310"/>
    <w:rsid w:val="00A37967"/>
    <w:rsid w:val="00A439D8"/>
    <w:rsid w:val="00A4593E"/>
    <w:rsid w:val="00A468DD"/>
    <w:rsid w:val="00A50995"/>
    <w:rsid w:val="00A5496B"/>
    <w:rsid w:val="00A658F1"/>
    <w:rsid w:val="00A66E51"/>
    <w:rsid w:val="00A70D72"/>
    <w:rsid w:val="00A71762"/>
    <w:rsid w:val="00A7226D"/>
    <w:rsid w:val="00A76395"/>
    <w:rsid w:val="00A82FED"/>
    <w:rsid w:val="00A9019B"/>
    <w:rsid w:val="00A92512"/>
    <w:rsid w:val="00A940B2"/>
    <w:rsid w:val="00A94DFF"/>
    <w:rsid w:val="00A96E06"/>
    <w:rsid w:val="00AA0F25"/>
    <w:rsid w:val="00AA331F"/>
    <w:rsid w:val="00AA41CE"/>
    <w:rsid w:val="00AA4771"/>
    <w:rsid w:val="00AC25A2"/>
    <w:rsid w:val="00AC29B3"/>
    <w:rsid w:val="00AC2B2A"/>
    <w:rsid w:val="00AC3D0D"/>
    <w:rsid w:val="00AC5BB2"/>
    <w:rsid w:val="00AD2C0E"/>
    <w:rsid w:val="00AD6630"/>
    <w:rsid w:val="00AD71C6"/>
    <w:rsid w:val="00AE10ED"/>
    <w:rsid w:val="00AE1115"/>
    <w:rsid w:val="00AF5235"/>
    <w:rsid w:val="00B11577"/>
    <w:rsid w:val="00B22E4D"/>
    <w:rsid w:val="00B30039"/>
    <w:rsid w:val="00B312C8"/>
    <w:rsid w:val="00B32794"/>
    <w:rsid w:val="00B3626B"/>
    <w:rsid w:val="00B37D87"/>
    <w:rsid w:val="00B42E35"/>
    <w:rsid w:val="00B455FB"/>
    <w:rsid w:val="00B4676F"/>
    <w:rsid w:val="00B53936"/>
    <w:rsid w:val="00B577EC"/>
    <w:rsid w:val="00B62741"/>
    <w:rsid w:val="00B645A1"/>
    <w:rsid w:val="00B653B4"/>
    <w:rsid w:val="00B65D90"/>
    <w:rsid w:val="00B714D1"/>
    <w:rsid w:val="00B73141"/>
    <w:rsid w:val="00B82650"/>
    <w:rsid w:val="00B85953"/>
    <w:rsid w:val="00B87509"/>
    <w:rsid w:val="00B91C58"/>
    <w:rsid w:val="00BA1AC6"/>
    <w:rsid w:val="00BA3D73"/>
    <w:rsid w:val="00BB11F5"/>
    <w:rsid w:val="00BC1CFD"/>
    <w:rsid w:val="00BD0762"/>
    <w:rsid w:val="00BE1D85"/>
    <w:rsid w:val="00BE43C0"/>
    <w:rsid w:val="00BF2A33"/>
    <w:rsid w:val="00C140E2"/>
    <w:rsid w:val="00C153D2"/>
    <w:rsid w:val="00C34B8B"/>
    <w:rsid w:val="00C37F1C"/>
    <w:rsid w:val="00C4284C"/>
    <w:rsid w:val="00C43FF5"/>
    <w:rsid w:val="00C50460"/>
    <w:rsid w:val="00C5071B"/>
    <w:rsid w:val="00C5129D"/>
    <w:rsid w:val="00C548FE"/>
    <w:rsid w:val="00C618DD"/>
    <w:rsid w:val="00C629F3"/>
    <w:rsid w:val="00C63E3D"/>
    <w:rsid w:val="00C75741"/>
    <w:rsid w:val="00C95912"/>
    <w:rsid w:val="00C95E53"/>
    <w:rsid w:val="00C96C38"/>
    <w:rsid w:val="00CA0511"/>
    <w:rsid w:val="00CA237B"/>
    <w:rsid w:val="00CA6A1B"/>
    <w:rsid w:val="00CB1118"/>
    <w:rsid w:val="00CB1FC6"/>
    <w:rsid w:val="00CB78C3"/>
    <w:rsid w:val="00CC0367"/>
    <w:rsid w:val="00CD0369"/>
    <w:rsid w:val="00CD036F"/>
    <w:rsid w:val="00CD1823"/>
    <w:rsid w:val="00CD43C4"/>
    <w:rsid w:val="00CD5075"/>
    <w:rsid w:val="00CD58E3"/>
    <w:rsid w:val="00CE0FE1"/>
    <w:rsid w:val="00CF6CD0"/>
    <w:rsid w:val="00D01C5D"/>
    <w:rsid w:val="00D05618"/>
    <w:rsid w:val="00D0626A"/>
    <w:rsid w:val="00D06E6D"/>
    <w:rsid w:val="00D15930"/>
    <w:rsid w:val="00D16B6B"/>
    <w:rsid w:val="00D21704"/>
    <w:rsid w:val="00D26A70"/>
    <w:rsid w:val="00D30804"/>
    <w:rsid w:val="00D40933"/>
    <w:rsid w:val="00D55E6A"/>
    <w:rsid w:val="00D624FA"/>
    <w:rsid w:val="00D65C78"/>
    <w:rsid w:val="00D7449E"/>
    <w:rsid w:val="00D84AE9"/>
    <w:rsid w:val="00D97448"/>
    <w:rsid w:val="00D97AD3"/>
    <w:rsid w:val="00DA1314"/>
    <w:rsid w:val="00DA3F70"/>
    <w:rsid w:val="00DB1672"/>
    <w:rsid w:val="00DB4CF8"/>
    <w:rsid w:val="00DC5C90"/>
    <w:rsid w:val="00DC617F"/>
    <w:rsid w:val="00DD15D6"/>
    <w:rsid w:val="00DD3942"/>
    <w:rsid w:val="00DD40F8"/>
    <w:rsid w:val="00DD51B4"/>
    <w:rsid w:val="00DD6CAB"/>
    <w:rsid w:val="00DE77FA"/>
    <w:rsid w:val="00DF03B8"/>
    <w:rsid w:val="00DF2EDD"/>
    <w:rsid w:val="00DF6F8B"/>
    <w:rsid w:val="00E00947"/>
    <w:rsid w:val="00E02773"/>
    <w:rsid w:val="00E075FC"/>
    <w:rsid w:val="00E10BE7"/>
    <w:rsid w:val="00E149DB"/>
    <w:rsid w:val="00E21F46"/>
    <w:rsid w:val="00E21F76"/>
    <w:rsid w:val="00E24B66"/>
    <w:rsid w:val="00E33590"/>
    <w:rsid w:val="00E34241"/>
    <w:rsid w:val="00E52436"/>
    <w:rsid w:val="00E561AF"/>
    <w:rsid w:val="00E61E8A"/>
    <w:rsid w:val="00E6224E"/>
    <w:rsid w:val="00E63522"/>
    <w:rsid w:val="00E63C94"/>
    <w:rsid w:val="00E72801"/>
    <w:rsid w:val="00E768D7"/>
    <w:rsid w:val="00E76A7F"/>
    <w:rsid w:val="00E770A4"/>
    <w:rsid w:val="00E8084A"/>
    <w:rsid w:val="00E93788"/>
    <w:rsid w:val="00EA43DC"/>
    <w:rsid w:val="00EB32AB"/>
    <w:rsid w:val="00EC2204"/>
    <w:rsid w:val="00EC2397"/>
    <w:rsid w:val="00EC3B24"/>
    <w:rsid w:val="00ED5FCC"/>
    <w:rsid w:val="00EE551F"/>
    <w:rsid w:val="00EE74C5"/>
    <w:rsid w:val="00EF36AD"/>
    <w:rsid w:val="00EF4120"/>
    <w:rsid w:val="00F05D4F"/>
    <w:rsid w:val="00F11813"/>
    <w:rsid w:val="00F25943"/>
    <w:rsid w:val="00F41B43"/>
    <w:rsid w:val="00F50431"/>
    <w:rsid w:val="00F56D39"/>
    <w:rsid w:val="00F65E2B"/>
    <w:rsid w:val="00F704C5"/>
    <w:rsid w:val="00F74A79"/>
    <w:rsid w:val="00F77C30"/>
    <w:rsid w:val="00F80F21"/>
    <w:rsid w:val="00F8428B"/>
    <w:rsid w:val="00F87C84"/>
    <w:rsid w:val="00FA1427"/>
    <w:rsid w:val="00FA59DB"/>
    <w:rsid w:val="00FB2955"/>
    <w:rsid w:val="00FB619F"/>
    <w:rsid w:val="00FB7642"/>
    <w:rsid w:val="00FD07F7"/>
    <w:rsid w:val="00FD246A"/>
    <w:rsid w:val="00FD2898"/>
    <w:rsid w:val="00FD3D4C"/>
    <w:rsid w:val="00FD4B99"/>
    <w:rsid w:val="00FD6D11"/>
    <w:rsid w:val="00FD7A3E"/>
    <w:rsid w:val="00FF6CEB"/>
    <w:rsid w:val="0450275E"/>
    <w:rsid w:val="17562792"/>
    <w:rsid w:val="24233F16"/>
    <w:rsid w:val="BDDEE6BA"/>
    <w:rsid w:val="D90FA4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3"/>
    <w:qFormat/>
    <w:uiPriority w:val="9"/>
    <w:pPr>
      <w:keepNext/>
      <w:keepLines/>
      <w:spacing w:beforeLines="50" w:after="330" w:line="578" w:lineRule="auto"/>
      <w:ind w:firstLine="200" w:firstLineChars="200"/>
      <w:outlineLvl w:val="0"/>
    </w:pPr>
    <w:rPr>
      <w:rFonts w:ascii="Times New Roman" w:hAnsi="Times New Roman" w:eastAsia="宋体"/>
      <w:b/>
      <w:bCs/>
      <w:kern w:val="44"/>
      <w:sz w:val="44"/>
      <w:szCs w:val="44"/>
    </w:rPr>
  </w:style>
  <w:style w:type="paragraph" w:styleId="5">
    <w:name w:val="heading 2"/>
    <w:basedOn w:val="1"/>
    <w:next w:val="1"/>
    <w:link w:val="34"/>
    <w:qFormat/>
    <w:uiPriority w:val="0"/>
    <w:pPr>
      <w:keepNext/>
      <w:keepLines/>
      <w:spacing w:after="260" w:line="416" w:lineRule="auto"/>
      <w:outlineLvl w:val="1"/>
    </w:pPr>
    <w:rPr>
      <w:rFonts w:ascii="Arial" w:hAnsi="Arial" w:eastAsia="黑体" w:cs="Times New Roman"/>
      <w:b/>
      <w:bCs/>
      <w:kern w:val="0"/>
      <w:sz w:val="32"/>
      <w:szCs w:val="32"/>
    </w:rPr>
  </w:style>
  <w:style w:type="paragraph" w:styleId="6">
    <w:name w:val="heading 4"/>
    <w:basedOn w:val="1"/>
    <w:next w:val="1"/>
    <w:link w:val="35"/>
    <w:unhideWhenUsed/>
    <w:qFormat/>
    <w:uiPriority w:val="9"/>
    <w:pPr>
      <w:keepNext/>
      <w:keepLines/>
      <w:spacing w:before="280" w:after="290" w:line="376" w:lineRule="auto"/>
      <w:outlineLvl w:val="3"/>
    </w:pPr>
    <w:rPr>
      <w:rFonts w:ascii="DengXian Light" w:hAnsi="DengXian Light" w:eastAsia="DengXian Light" w:cs="Times New Roman"/>
      <w:b/>
      <w:bCs/>
      <w:kern w:val="0"/>
      <w:sz w:val="28"/>
      <w:szCs w:val="28"/>
    </w:rPr>
  </w:style>
  <w:style w:type="character" w:default="1" w:styleId="25">
    <w:name w:val="Default Paragraph Font"/>
    <w:unhideWhenUsed/>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56" w:afterLines="0" w:line="400" w:lineRule="exact"/>
      <w:ind w:firstLine="480" w:firstLineChars="200"/>
    </w:pPr>
    <w:rPr>
      <w:sz w:val="24"/>
    </w:rPr>
  </w:style>
  <w:style w:type="paragraph" w:styleId="7">
    <w:name w:val="annotation subject"/>
    <w:basedOn w:val="8"/>
    <w:next w:val="8"/>
    <w:link w:val="42"/>
    <w:unhideWhenUsed/>
    <w:qFormat/>
    <w:uiPriority w:val="99"/>
    <w:pPr>
      <w:spacing w:beforeLines="50" w:line="360" w:lineRule="auto"/>
      <w:ind w:firstLine="200" w:firstLineChars="200"/>
    </w:pPr>
    <w:rPr>
      <w:rFonts w:ascii="Times New Roman" w:hAnsi="Times New Roman" w:eastAsia="宋体"/>
      <w:b/>
      <w:bCs/>
      <w:sz w:val="24"/>
      <w:szCs w:val="24"/>
    </w:rPr>
  </w:style>
  <w:style w:type="paragraph" w:styleId="8">
    <w:name w:val="annotation text"/>
    <w:basedOn w:val="1"/>
    <w:link w:val="41"/>
    <w:unhideWhenUsed/>
    <w:qFormat/>
    <w:uiPriority w:val="99"/>
    <w:pPr>
      <w:jc w:val="left"/>
    </w:pPr>
  </w:style>
  <w:style w:type="paragraph" w:styleId="9">
    <w:name w:val="toc 7"/>
    <w:basedOn w:val="1"/>
    <w:next w:val="1"/>
    <w:unhideWhenUsed/>
    <w:qFormat/>
    <w:uiPriority w:val="39"/>
    <w:pPr>
      <w:ind w:left="2520" w:leftChars="1200"/>
    </w:pPr>
  </w:style>
  <w:style w:type="paragraph" w:styleId="10">
    <w:name w:val="Document Map"/>
    <w:basedOn w:val="1"/>
    <w:link w:val="44"/>
    <w:unhideWhenUsed/>
    <w:qFormat/>
    <w:uiPriority w:val="99"/>
    <w:pPr>
      <w:spacing w:beforeLines="50" w:line="360" w:lineRule="auto"/>
      <w:ind w:firstLine="200" w:firstLineChars="200"/>
    </w:pPr>
    <w:rPr>
      <w:rFonts w:ascii="宋体" w:hAnsi="Times New Roman" w:eastAsia="宋体"/>
      <w:sz w:val="24"/>
      <w:szCs w:val="24"/>
    </w:rPr>
  </w:style>
  <w:style w:type="paragraph" w:styleId="11">
    <w:name w:val="toc 5"/>
    <w:basedOn w:val="1"/>
    <w:next w:val="1"/>
    <w:unhideWhenUsed/>
    <w:qFormat/>
    <w:uiPriority w:val="39"/>
    <w:pPr>
      <w:ind w:left="1680" w:leftChars="800"/>
    </w:pPr>
  </w:style>
  <w:style w:type="paragraph" w:styleId="12">
    <w:name w:val="toc 3"/>
    <w:basedOn w:val="1"/>
    <w:next w:val="1"/>
    <w:unhideWhenUsed/>
    <w:qFormat/>
    <w:uiPriority w:val="39"/>
    <w:pPr>
      <w:spacing w:beforeLines="50" w:line="360" w:lineRule="auto"/>
      <w:ind w:left="840" w:leftChars="400" w:firstLine="200" w:firstLineChars="200"/>
    </w:pPr>
    <w:rPr>
      <w:rFonts w:ascii="Times New Roman" w:hAnsi="Times New Roman" w:eastAsia="宋体"/>
      <w:sz w:val="24"/>
      <w:szCs w:val="24"/>
    </w:rPr>
  </w:style>
  <w:style w:type="paragraph" w:styleId="13">
    <w:name w:val="Plain Text"/>
    <w:basedOn w:val="1"/>
    <w:link w:val="81"/>
    <w:qFormat/>
    <w:uiPriority w:val="0"/>
    <w:rPr>
      <w:rFonts w:ascii="宋体" w:hAnsi="Courier New"/>
      <w:szCs w:val="21"/>
    </w:rPr>
  </w:style>
  <w:style w:type="paragraph" w:styleId="14">
    <w:name w:val="toc 8"/>
    <w:basedOn w:val="1"/>
    <w:next w:val="1"/>
    <w:unhideWhenUsed/>
    <w:qFormat/>
    <w:uiPriority w:val="39"/>
    <w:pPr>
      <w:ind w:left="2940" w:leftChars="1400"/>
    </w:pPr>
  </w:style>
  <w:style w:type="paragraph" w:styleId="15">
    <w:name w:val="Balloon Text"/>
    <w:basedOn w:val="1"/>
    <w:link w:val="39"/>
    <w:qFormat/>
    <w:uiPriority w:val="99"/>
    <w:rPr>
      <w:sz w:val="18"/>
      <w:szCs w:val="18"/>
    </w:rPr>
  </w:style>
  <w:style w:type="paragraph" w:styleId="16">
    <w:name w:val="footer"/>
    <w:basedOn w:val="1"/>
    <w:link w:val="36"/>
    <w:qFormat/>
    <w:uiPriority w:val="99"/>
    <w:pPr>
      <w:tabs>
        <w:tab w:val="center" w:pos="4153"/>
        <w:tab w:val="right" w:pos="8306"/>
      </w:tabs>
      <w:snapToGrid w:val="0"/>
      <w:jc w:val="left"/>
    </w:pPr>
    <w:rPr>
      <w:sz w:val="18"/>
      <w:szCs w:val="18"/>
    </w:rPr>
  </w:style>
  <w:style w:type="paragraph" w:styleId="17">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8290"/>
      </w:tabs>
      <w:snapToGrid w:val="0"/>
      <w:spacing w:line="360" w:lineRule="auto"/>
      <w:ind w:left="120" w:leftChars="50"/>
    </w:pPr>
    <w:rPr>
      <w:rFonts w:ascii="Times New Roman" w:hAnsi="Times New Roman" w:eastAsia="宋体"/>
      <w:sz w:val="24"/>
      <w:szCs w:val="24"/>
    </w:rPr>
  </w:style>
  <w:style w:type="paragraph" w:styleId="19">
    <w:name w:val="toc 4"/>
    <w:basedOn w:val="1"/>
    <w:next w:val="1"/>
    <w:unhideWhenUsed/>
    <w:qFormat/>
    <w:uiPriority w:val="39"/>
    <w:pPr>
      <w:ind w:left="1260" w:leftChars="600"/>
    </w:pPr>
  </w:style>
  <w:style w:type="paragraph" w:styleId="20">
    <w:name w:val="footnote text"/>
    <w:basedOn w:val="1"/>
    <w:link w:val="89"/>
    <w:unhideWhenUsed/>
    <w:qFormat/>
    <w:uiPriority w:val="99"/>
    <w:pPr>
      <w:snapToGrid w:val="0"/>
      <w:jc w:val="left"/>
    </w:pPr>
    <w:rPr>
      <w:sz w:val="18"/>
      <w:szCs w:val="18"/>
    </w:rPr>
  </w:style>
  <w:style w:type="paragraph" w:styleId="21">
    <w:name w:val="toc 6"/>
    <w:basedOn w:val="1"/>
    <w:next w:val="1"/>
    <w:unhideWhenUsed/>
    <w:qFormat/>
    <w:uiPriority w:val="39"/>
    <w:pPr>
      <w:ind w:left="2100" w:leftChars="1000"/>
    </w:pPr>
  </w:style>
  <w:style w:type="paragraph" w:styleId="22">
    <w:name w:val="toc 2"/>
    <w:basedOn w:val="1"/>
    <w:next w:val="1"/>
    <w:unhideWhenUsed/>
    <w:qFormat/>
    <w:uiPriority w:val="39"/>
    <w:pPr>
      <w:tabs>
        <w:tab w:val="right" w:leader="dot" w:pos="8290"/>
      </w:tabs>
      <w:snapToGrid w:val="0"/>
      <w:spacing w:line="360" w:lineRule="auto"/>
      <w:ind w:left="120" w:leftChars="50" w:firstLine="240" w:firstLineChars="100"/>
    </w:pPr>
    <w:rPr>
      <w:rFonts w:ascii="Times New Roman" w:hAnsi="Times New Roman" w:eastAsia="宋体"/>
      <w:sz w:val="24"/>
      <w:szCs w:val="24"/>
    </w:rPr>
  </w:style>
  <w:style w:type="paragraph" w:styleId="23">
    <w:name w:val="toc 9"/>
    <w:basedOn w:val="1"/>
    <w:next w:val="1"/>
    <w:unhideWhenUsed/>
    <w:qFormat/>
    <w:uiPriority w:val="39"/>
    <w:pPr>
      <w:ind w:left="3360" w:leftChars="1600"/>
    </w:pPr>
  </w:style>
  <w:style w:type="paragraph" w:styleId="2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6">
    <w:name w:val="page number"/>
    <w:basedOn w:val="25"/>
    <w:unhideWhenUsed/>
    <w:qFormat/>
    <w:uiPriority w:val="99"/>
  </w:style>
  <w:style w:type="character" w:styleId="27">
    <w:name w:val="Emphasis"/>
    <w:basedOn w:val="25"/>
    <w:qFormat/>
    <w:uiPriority w:val="20"/>
    <w:rPr>
      <w:i/>
      <w:iCs/>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unhideWhenUsed/>
    <w:qFormat/>
    <w:uiPriority w:val="99"/>
    <w:rPr>
      <w:sz w:val="21"/>
      <w:szCs w:val="21"/>
    </w:rPr>
  </w:style>
  <w:style w:type="character" w:styleId="30">
    <w:name w:val="footnote reference"/>
    <w:basedOn w:val="25"/>
    <w:unhideWhenUsed/>
    <w:qFormat/>
    <w:uiPriority w:val="99"/>
    <w:rPr>
      <w:vertAlign w:val="superscript"/>
    </w:r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Heading 1 Char"/>
    <w:basedOn w:val="25"/>
    <w:link w:val="4"/>
    <w:qFormat/>
    <w:uiPriority w:val="9"/>
    <w:rPr>
      <w:rFonts w:ascii="Times New Roman" w:hAnsi="Times New Roman" w:eastAsia="宋体"/>
      <w:b/>
      <w:bCs/>
      <w:kern w:val="44"/>
      <w:sz w:val="44"/>
      <w:szCs w:val="44"/>
    </w:rPr>
  </w:style>
  <w:style w:type="character" w:customStyle="1" w:styleId="34">
    <w:name w:val="Heading 2 Char"/>
    <w:basedOn w:val="25"/>
    <w:link w:val="5"/>
    <w:qFormat/>
    <w:uiPriority w:val="0"/>
    <w:rPr>
      <w:rFonts w:ascii="Arial" w:hAnsi="Arial" w:eastAsia="黑体" w:cs="Times New Roman"/>
      <w:b/>
      <w:bCs/>
      <w:kern w:val="0"/>
      <w:sz w:val="32"/>
      <w:szCs w:val="32"/>
    </w:rPr>
  </w:style>
  <w:style w:type="character" w:customStyle="1" w:styleId="35">
    <w:name w:val="Heading 4 Char"/>
    <w:basedOn w:val="25"/>
    <w:link w:val="6"/>
    <w:qFormat/>
    <w:uiPriority w:val="9"/>
    <w:rPr>
      <w:rFonts w:ascii="DengXian Light" w:hAnsi="DengXian Light" w:eastAsia="DengXian Light" w:cs="Times New Roman"/>
      <w:b/>
      <w:bCs/>
      <w:kern w:val="0"/>
      <w:sz w:val="28"/>
      <w:szCs w:val="28"/>
    </w:rPr>
  </w:style>
  <w:style w:type="character" w:customStyle="1" w:styleId="36">
    <w:name w:val="Footer Char"/>
    <w:basedOn w:val="25"/>
    <w:link w:val="16"/>
    <w:qFormat/>
    <w:uiPriority w:val="99"/>
    <w:rPr>
      <w:sz w:val="18"/>
      <w:szCs w:val="18"/>
    </w:rPr>
  </w:style>
  <w:style w:type="character" w:customStyle="1" w:styleId="37">
    <w:name w:val="Header Char"/>
    <w:basedOn w:val="25"/>
    <w:link w:val="17"/>
    <w:qFormat/>
    <w:uiPriority w:val="99"/>
    <w:rPr>
      <w:sz w:val="18"/>
      <w:szCs w:val="18"/>
    </w:rPr>
  </w:style>
  <w:style w:type="paragraph" w:customStyle="1" w:styleId="38">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39">
    <w:name w:val="Balloon Text Char"/>
    <w:basedOn w:val="25"/>
    <w:link w:val="15"/>
    <w:qFormat/>
    <w:uiPriority w:val="99"/>
    <w:rPr>
      <w:sz w:val="18"/>
      <w:szCs w:val="18"/>
    </w:rPr>
  </w:style>
  <w:style w:type="paragraph" w:customStyle="1" w:styleId="40">
    <w:name w:val="标题 41"/>
    <w:basedOn w:val="1"/>
    <w:next w:val="1"/>
    <w:unhideWhenUsed/>
    <w:qFormat/>
    <w:uiPriority w:val="9"/>
    <w:pPr>
      <w:keepNext/>
      <w:keepLines/>
      <w:spacing w:beforeLines="50" w:after="290" w:line="376" w:lineRule="auto"/>
      <w:ind w:firstLine="200" w:firstLineChars="200"/>
      <w:outlineLvl w:val="3"/>
    </w:pPr>
    <w:rPr>
      <w:rFonts w:ascii="DengXian Light" w:hAnsi="DengXian Light" w:eastAsia="DengXian Light" w:cs="Times New Roman"/>
      <w:b/>
      <w:bCs/>
      <w:sz w:val="28"/>
      <w:szCs w:val="28"/>
    </w:rPr>
  </w:style>
  <w:style w:type="character" w:customStyle="1" w:styleId="41">
    <w:name w:val="Comment Text Char"/>
    <w:basedOn w:val="25"/>
    <w:link w:val="8"/>
    <w:qFormat/>
    <w:uiPriority w:val="99"/>
  </w:style>
  <w:style w:type="character" w:customStyle="1" w:styleId="42">
    <w:name w:val="Comment Subject Char"/>
    <w:basedOn w:val="41"/>
    <w:link w:val="7"/>
    <w:qFormat/>
    <w:uiPriority w:val="99"/>
    <w:rPr>
      <w:rFonts w:ascii="Times New Roman" w:hAnsi="Times New Roman" w:eastAsia="宋体"/>
      <w:b/>
      <w:bCs/>
      <w:sz w:val="24"/>
      <w:szCs w:val="24"/>
    </w:rPr>
  </w:style>
  <w:style w:type="paragraph" w:customStyle="1" w:styleId="43">
    <w:name w:val="目录 71"/>
    <w:basedOn w:val="1"/>
    <w:next w:val="1"/>
    <w:unhideWhenUsed/>
    <w:qFormat/>
    <w:uiPriority w:val="39"/>
    <w:pPr>
      <w:ind w:left="2520" w:leftChars="1200"/>
    </w:pPr>
  </w:style>
  <w:style w:type="character" w:customStyle="1" w:styleId="44">
    <w:name w:val="Document Map Char"/>
    <w:basedOn w:val="25"/>
    <w:link w:val="10"/>
    <w:qFormat/>
    <w:uiPriority w:val="99"/>
    <w:rPr>
      <w:rFonts w:ascii="宋体" w:hAnsi="Times New Roman" w:eastAsia="宋体"/>
      <w:sz w:val="24"/>
      <w:szCs w:val="24"/>
    </w:rPr>
  </w:style>
  <w:style w:type="paragraph" w:customStyle="1" w:styleId="45">
    <w:name w:val="目录 51"/>
    <w:basedOn w:val="1"/>
    <w:next w:val="1"/>
    <w:unhideWhenUsed/>
    <w:qFormat/>
    <w:uiPriority w:val="39"/>
    <w:pPr>
      <w:ind w:left="1680" w:leftChars="800"/>
    </w:pPr>
  </w:style>
  <w:style w:type="paragraph" w:customStyle="1" w:styleId="46">
    <w:name w:val="目录 81"/>
    <w:basedOn w:val="1"/>
    <w:next w:val="1"/>
    <w:unhideWhenUsed/>
    <w:qFormat/>
    <w:uiPriority w:val="39"/>
    <w:pPr>
      <w:ind w:left="2940" w:leftChars="1400"/>
    </w:pPr>
  </w:style>
  <w:style w:type="paragraph" w:customStyle="1" w:styleId="47">
    <w:name w:val="目录 41"/>
    <w:basedOn w:val="1"/>
    <w:next w:val="1"/>
    <w:unhideWhenUsed/>
    <w:qFormat/>
    <w:uiPriority w:val="39"/>
    <w:pPr>
      <w:ind w:left="1260" w:leftChars="600"/>
    </w:pPr>
  </w:style>
  <w:style w:type="paragraph" w:customStyle="1" w:styleId="48">
    <w:name w:val="目录 61"/>
    <w:basedOn w:val="1"/>
    <w:next w:val="1"/>
    <w:unhideWhenUsed/>
    <w:qFormat/>
    <w:uiPriority w:val="39"/>
    <w:pPr>
      <w:ind w:left="2100" w:leftChars="1000"/>
    </w:pPr>
  </w:style>
  <w:style w:type="paragraph" w:customStyle="1" w:styleId="49">
    <w:name w:val="目录 91"/>
    <w:basedOn w:val="1"/>
    <w:next w:val="1"/>
    <w:unhideWhenUsed/>
    <w:qFormat/>
    <w:uiPriority w:val="39"/>
    <w:pPr>
      <w:ind w:left="3360" w:leftChars="1600"/>
    </w:pPr>
  </w:style>
  <w:style w:type="character" w:customStyle="1" w:styleId="50">
    <w:name w:val="超链接1"/>
    <w:basedOn w:val="25"/>
    <w:unhideWhenUsed/>
    <w:qFormat/>
    <w:uiPriority w:val="99"/>
    <w:rPr>
      <w:color w:val="0563C1"/>
      <w:u w:val="single"/>
    </w:rPr>
  </w:style>
  <w:style w:type="paragraph" w:customStyle="1" w:styleId="51">
    <w:name w:val="一、标题"/>
    <w:next w:val="1"/>
    <w:qFormat/>
    <w:uiPriority w:val="0"/>
    <w:pPr>
      <w:spacing w:beforeLines="50" w:afterLines="50" w:line="360" w:lineRule="auto"/>
      <w:outlineLvl w:val="0"/>
    </w:pPr>
    <w:rPr>
      <w:rFonts w:ascii="Times New Roman" w:hAnsi="Times New Roman" w:eastAsia="宋体" w:cstheme="minorBidi"/>
      <w:b/>
      <w:kern w:val="2"/>
      <w:sz w:val="24"/>
      <w:szCs w:val="24"/>
      <w:lang w:val="en-US" w:eastAsia="zh-CN" w:bidi="ar-SA"/>
    </w:rPr>
  </w:style>
  <w:style w:type="paragraph" w:customStyle="1" w:styleId="52">
    <w:name w:val="（一）标题"/>
    <w:next w:val="1"/>
    <w:qFormat/>
    <w:uiPriority w:val="0"/>
    <w:pPr>
      <w:spacing w:beforeLines="50" w:line="360" w:lineRule="auto"/>
      <w:ind w:firstLine="200" w:firstLineChars="200"/>
      <w:jc w:val="both"/>
      <w:outlineLvl w:val="1"/>
    </w:pPr>
    <w:rPr>
      <w:rFonts w:ascii="Times New Roman" w:hAnsi="Times New Roman" w:eastAsia="宋体" w:cstheme="minorBidi"/>
      <w:b/>
      <w:kern w:val="2"/>
      <w:sz w:val="24"/>
      <w:szCs w:val="24"/>
      <w:lang w:val="en-US" w:eastAsia="zh-CN" w:bidi="ar-SA"/>
    </w:rPr>
  </w:style>
  <w:style w:type="paragraph" w:customStyle="1" w:styleId="53">
    <w:name w:val="1、标题"/>
    <w:next w:val="1"/>
    <w:qFormat/>
    <w:uiPriority w:val="0"/>
    <w:pPr>
      <w:spacing w:beforeLines="50" w:after="156" w:line="360" w:lineRule="auto"/>
      <w:ind w:firstLine="200" w:firstLineChars="200"/>
      <w:jc w:val="both"/>
      <w:outlineLvl w:val="2"/>
    </w:pPr>
    <w:rPr>
      <w:rFonts w:ascii="Times New Roman" w:hAnsi="Times New Roman" w:eastAsia="宋体" w:cstheme="minorBidi"/>
      <w:b/>
      <w:kern w:val="2"/>
      <w:sz w:val="24"/>
      <w:szCs w:val="24"/>
      <w:lang w:val="en-US" w:eastAsia="zh-CN" w:bidi="ar-SA"/>
    </w:rPr>
  </w:style>
  <w:style w:type="paragraph" w:customStyle="1" w:styleId="54">
    <w:name w:val="表格字体"/>
    <w:qFormat/>
    <w:uiPriority w:val="0"/>
    <w:pPr>
      <w:spacing w:line="300" w:lineRule="auto"/>
      <w:jc w:val="both"/>
    </w:pPr>
    <w:rPr>
      <w:rFonts w:ascii="Times New Roman" w:hAnsi="Times New Roman" w:eastAsia="宋体" w:cstheme="minorBidi"/>
      <w:kern w:val="2"/>
      <w:sz w:val="21"/>
      <w:szCs w:val="24"/>
      <w:lang w:val="en-US" w:eastAsia="zh-CN" w:bidi="ar-SA"/>
    </w:rPr>
  </w:style>
  <w:style w:type="paragraph" w:customStyle="1" w:styleId="55">
    <w:name w:val="节标题"/>
    <w:next w:val="1"/>
    <w:qFormat/>
    <w:uiPriority w:val="0"/>
    <w:pPr>
      <w:spacing w:beforeLines="100" w:afterLines="100" w:line="360" w:lineRule="auto"/>
      <w:jc w:val="center"/>
      <w:outlineLvl w:val="0"/>
    </w:pPr>
    <w:rPr>
      <w:rFonts w:ascii="Times New Roman" w:hAnsi="Times New Roman" w:eastAsia="黑体" w:cstheme="minorBidi"/>
      <w:b/>
      <w:kern w:val="2"/>
      <w:sz w:val="44"/>
      <w:szCs w:val="24"/>
      <w:lang w:val="en-US" w:eastAsia="zh-CN" w:bidi="ar-SA"/>
    </w:rPr>
  </w:style>
  <w:style w:type="paragraph" w:customStyle="1" w:styleId="56">
    <w:name w:val="1级标题"/>
    <w:next w:val="1"/>
    <w:qFormat/>
    <w:uiPriority w:val="0"/>
    <w:pPr>
      <w:spacing w:beforeLines="50" w:afterLines="50" w:line="400" w:lineRule="exact"/>
      <w:ind w:firstLine="200" w:firstLineChars="200"/>
      <w:jc w:val="center"/>
      <w:outlineLvl w:val="0"/>
    </w:pPr>
    <w:rPr>
      <w:rFonts w:ascii="Cambria" w:hAnsi="Cambria" w:eastAsia="宋体" w:cs="Times New Roman"/>
      <w:b/>
      <w:bCs/>
      <w:kern w:val="2"/>
      <w:sz w:val="32"/>
      <w:szCs w:val="32"/>
      <w:lang w:val="en-US" w:eastAsia="zh-CN" w:bidi="ar-SA"/>
    </w:rPr>
  </w:style>
  <w:style w:type="paragraph" w:customStyle="1" w:styleId="57">
    <w:name w:val="彩色列表 - 着色 11"/>
    <w:basedOn w:val="1"/>
    <w:qFormat/>
    <w:uiPriority w:val="34"/>
    <w:pPr>
      <w:ind w:firstLine="420" w:firstLineChars="200"/>
    </w:pPr>
    <w:rPr>
      <w:rFonts w:ascii="DengXian" w:hAnsi="DengXian" w:eastAsia="DengXian" w:cs="Times New Roman"/>
    </w:rPr>
  </w:style>
  <w:style w:type="paragraph" w:customStyle="1" w:styleId="58">
    <w:name w:val="TOC 标题1"/>
    <w:basedOn w:val="4"/>
    <w:next w:val="1"/>
    <w:unhideWhenUsed/>
    <w:qFormat/>
    <w:uiPriority w:val="39"/>
    <w:pPr>
      <w:widowControl/>
      <w:spacing w:beforeLines="0" w:after="0" w:line="259" w:lineRule="auto"/>
      <w:ind w:firstLine="0" w:firstLineChars="0"/>
      <w:jc w:val="left"/>
      <w:outlineLvl w:val="9"/>
    </w:pPr>
    <w:rPr>
      <w:rFonts w:ascii="DengXian Light" w:hAnsi="DengXian Light" w:eastAsia="DengXian Light" w:cs="Times New Roman"/>
      <w:b w:val="0"/>
      <w:bCs w:val="0"/>
      <w:color w:val="2E74B5"/>
      <w:kern w:val="0"/>
      <w:sz w:val="32"/>
      <w:szCs w:val="32"/>
    </w:rPr>
  </w:style>
  <w:style w:type="paragraph" w:customStyle="1" w:styleId="59">
    <w:name w:val="二级标题"/>
    <w:basedOn w:val="4"/>
    <w:qFormat/>
    <w:uiPriority w:val="0"/>
    <w:pPr>
      <w:adjustRightInd w:val="0"/>
      <w:snapToGrid w:val="0"/>
      <w:spacing w:beforeLines="0" w:line="360" w:lineRule="auto"/>
      <w:ind w:firstLine="0" w:firstLineChars="0"/>
      <w:jc w:val="left"/>
    </w:pPr>
    <w:rPr>
      <w:rFonts w:eastAsia="黑体" w:cs="Times New Roman"/>
      <w:b w:val="0"/>
      <w:bCs w:val="0"/>
      <w:sz w:val="28"/>
      <w:szCs w:val="20"/>
    </w:rPr>
  </w:style>
  <w:style w:type="paragraph" w:customStyle="1" w:styleId="60">
    <w:name w:val="三级标题"/>
    <w:basedOn w:val="1"/>
    <w:qFormat/>
    <w:uiPriority w:val="0"/>
    <w:pPr>
      <w:keepNext/>
      <w:spacing w:beforeLines="100" w:afterLines="100" w:line="360" w:lineRule="auto"/>
      <w:ind w:firstLine="100" w:firstLineChars="100"/>
      <w:outlineLvl w:val="0"/>
    </w:pPr>
    <w:rPr>
      <w:rFonts w:ascii="黑体" w:hAnsi="宋体" w:eastAsia="宋体" w:cs="Times New Roman"/>
      <w:b/>
      <w:sz w:val="24"/>
      <w:szCs w:val="20"/>
    </w:rPr>
  </w:style>
  <w:style w:type="character" w:customStyle="1" w:styleId="61">
    <w:name w:val="未处理的提及1"/>
    <w:basedOn w:val="25"/>
    <w:unhideWhenUsed/>
    <w:qFormat/>
    <w:uiPriority w:val="99"/>
    <w:rPr>
      <w:color w:val="605E5C"/>
      <w:shd w:val="clear" w:color="auto" w:fill="E1DFDD"/>
    </w:rPr>
  </w:style>
  <w:style w:type="paragraph" w:customStyle="1" w:styleId="62">
    <w:name w:val="修订1"/>
    <w:hidden/>
    <w:semiHidden/>
    <w:qFormat/>
    <w:uiPriority w:val="99"/>
    <w:rPr>
      <w:rFonts w:ascii="Times New Roman" w:hAnsi="Times New Roman" w:eastAsia="宋体" w:cstheme="minorBidi"/>
      <w:kern w:val="2"/>
      <w:sz w:val="24"/>
      <w:szCs w:val="24"/>
      <w:lang w:val="en-US" w:eastAsia="zh-CN" w:bidi="ar-SA"/>
    </w:rPr>
  </w:style>
  <w:style w:type="paragraph" w:customStyle="1" w:styleId="63">
    <w:name w:val="列出段落1"/>
    <w:basedOn w:val="1"/>
    <w:qFormat/>
    <w:uiPriority w:val="34"/>
    <w:pPr>
      <w:spacing w:beforeLines="50" w:line="360" w:lineRule="auto"/>
      <w:ind w:firstLine="420" w:firstLineChars="200"/>
    </w:pPr>
    <w:rPr>
      <w:rFonts w:ascii="Times New Roman" w:hAnsi="Times New Roman" w:eastAsia="宋体"/>
      <w:sz w:val="24"/>
      <w:szCs w:val="24"/>
    </w:rPr>
  </w:style>
  <w:style w:type="table" w:customStyle="1" w:styleId="64">
    <w:name w:val="网格型1"/>
    <w:basedOn w:val="31"/>
    <w:qFormat/>
    <w:uiPriority w:val="39"/>
    <w:rPr>
      <w:rFonts w:ascii="Calibri" w:hAnsi="Calibri" w:eastAsia="Times New Roman"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5">
    <w:name w:val="标题 4 Char1"/>
    <w:basedOn w:val="25"/>
    <w:semiHidden/>
    <w:qFormat/>
    <w:uiPriority w:val="0"/>
    <w:rPr>
      <w:rFonts w:asciiTheme="majorHAnsi" w:hAnsiTheme="majorHAnsi" w:eastAsiaTheme="majorEastAsia" w:cstheme="majorBidi"/>
      <w:b/>
      <w:bCs/>
      <w:kern w:val="2"/>
      <w:sz w:val="28"/>
      <w:szCs w:val="28"/>
    </w:rPr>
  </w:style>
  <w:style w:type="paragraph" w:customStyle="1" w:styleId="66">
    <w:name w:val="标题1"/>
    <w:basedOn w:val="1"/>
    <w:link w:val="68"/>
    <w:qFormat/>
    <w:uiPriority w:val="0"/>
    <w:pPr>
      <w:spacing w:afterLines="100" w:line="400" w:lineRule="exact"/>
      <w:jc w:val="center"/>
      <w:outlineLvl w:val="0"/>
    </w:pPr>
    <w:rPr>
      <w:rFonts w:ascii="Times New Roman" w:hAnsi="Times New Roman" w:eastAsia="黑体" w:cs="Times New Roman"/>
      <w:b/>
      <w:bCs/>
      <w:sz w:val="36"/>
      <w:szCs w:val="36"/>
    </w:rPr>
  </w:style>
  <w:style w:type="paragraph" w:customStyle="1" w:styleId="67">
    <w:name w:val="正文1"/>
    <w:basedOn w:val="1"/>
    <w:link w:val="70"/>
    <w:qFormat/>
    <w:uiPriority w:val="0"/>
    <w:pPr>
      <w:spacing w:line="360" w:lineRule="auto"/>
      <w:ind w:firstLine="200" w:firstLineChars="200"/>
    </w:pPr>
    <w:rPr>
      <w:rFonts w:ascii="Times New Roman" w:hAnsi="Times New Roman" w:eastAsia="宋体" w:cs="Times New Roman"/>
      <w:sz w:val="24"/>
      <w:szCs w:val="24"/>
    </w:rPr>
  </w:style>
  <w:style w:type="character" w:customStyle="1" w:styleId="68">
    <w:name w:val="标题1 Char"/>
    <w:basedOn w:val="25"/>
    <w:link w:val="66"/>
    <w:qFormat/>
    <w:uiPriority w:val="0"/>
    <w:rPr>
      <w:rFonts w:ascii="Times New Roman" w:hAnsi="Times New Roman" w:eastAsia="黑体" w:cs="Times New Roman"/>
      <w:b/>
      <w:bCs/>
      <w:sz w:val="36"/>
      <w:szCs w:val="36"/>
    </w:rPr>
  </w:style>
  <w:style w:type="paragraph" w:customStyle="1" w:styleId="69">
    <w:name w:val="标题2"/>
    <w:basedOn w:val="67"/>
    <w:link w:val="72"/>
    <w:qFormat/>
    <w:uiPriority w:val="0"/>
    <w:pPr>
      <w:spacing w:afterLines="100"/>
      <w:outlineLvl w:val="1"/>
    </w:pPr>
    <w:rPr>
      <w:rFonts w:eastAsia="黑体"/>
      <w:sz w:val="28"/>
    </w:rPr>
  </w:style>
  <w:style w:type="character" w:customStyle="1" w:styleId="70">
    <w:name w:val="正文1 Char"/>
    <w:basedOn w:val="25"/>
    <w:link w:val="67"/>
    <w:qFormat/>
    <w:uiPriority w:val="0"/>
    <w:rPr>
      <w:rFonts w:ascii="Times New Roman" w:hAnsi="Times New Roman" w:eastAsia="宋体" w:cs="Times New Roman"/>
      <w:sz w:val="24"/>
      <w:szCs w:val="24"/>
    </w:rPr>
  </w:style>
  <w:style w:type="paragraph" w:customStyle="1" w:styleId="71">
    <w:name w:val="标题3"/>
    <w:basedOn w:val="69"/>
    <w:link w:val="74"/>
    <w:qFormat/>
    <w:uiPriority w:val="0"/>
    <w:pPr>
      <w:spacing w:afterLines="50"/>
      <w:outlineLvl w:val="2"/>
    </w:pPr>
    <w:rPr>
      <w:rFonts w:eastAsia="宋体"/>
      <w:b/>
      <w:sz w:val="24"/>
    </w:rPr>
  </w:style>
  <w:style w:type="character" w:customStyle="1" w:styleId="72">
    <w:name w:val="标题2 Char"/>
    <w:basedOn w:val="70"/>
    <w:link w:val="69"/>
    <w:qFormat/>
    <w:uiPriority w:val="0"/>
    <w:rPr>
      <w:rFonts w:ascii="Times New Roman" w:hAnsi="Times New Roman" w:eastAsia="黑体" w:cs="Times New Roman"/>
      <w:sz w:val="28"/>
      <w:szCs w:val="24"/>
    </w:rPr>
  </w:style>
  <w:style w:type="paragraph" w:customStyle="1" w:styleId="73">
    <w:name w:val="标题4"/>
    <w:basedOn w:val="1"/>
    <w:link w:val="75"/>
    <w:qFormat/>
    <w:uiPriority w:val="0"/>
    <w:pPr>
      <w:spacing w:line="360" w:lineRule="auto"/>
      <w:ind w:firstLine="200" w:firstLineChars="200"/>
      <w:outlineLvl w:val="3"/>
    </w:pPr>
    <w:rPr>
      <w:rFonts w:ascii="Times New Roman" w:hAnsi="Times New Roman" w:eastAsia="宋体" w:cs="Times New Roman"/>
      <w:b/>
      <w:sz w:val="24"/>
      <w:szCs w:val="20"/>
    </w:rPr>
  </w:style>
  <w:style w:type="character" w:customStyle="1" w:styleId="74">
    <w:name w:val="标题3 Char"/>
    <w:basedOn w:val="72"/>
    <w:link w:val="71"/>
    <w:qFormat/>
    <w:uiPriority w:val="0"/>
    <w:rPr>
      <w:rFonts w:ascii="Times New Roman" w:hAnsi="Times New Roman" w:eastAsia="宋体" w:cs="Times New Roman"/>
      <w:b/>
      <w:sz w:val="24"/>
      <w:szCs w:val="24"/>
    </w:rPr>
  </w:style>
  <w:style w:type="character" w:customStyle="1" w:styleId="75">
    <w:name w:val="标题4 Char"/>
    <w:basedOn w:val="25"/>
    <w:link w:val="73"/>
    <w:qFormat/>
    <w:uiPriority w:val="0"/>
    <w:rPr>
      <w:rFonts w:ascii="Times New Roman" w:hAnsi="Times New Roman" w:eastAsia="宋体" w:cs="Times New Roman"/>
      <w:b/>
      <w:sz w:val="24"/>
      <w:szCs w:val="20"/>
    </w:rPr>
  </w:style>
  <w:style w:type="paragraph" w:customStyle="1" w:styleId="76">
    <w:name w:val="Revision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7">
    <w:name w:val="普通正文（正文首行缩进2字符、前后0、1.5倍行距、大纲级别正文文本）"/>
    <w:basedOn w:val="1"/>
    <w:link w:val="78"/>
    <w:qFormat/>
    <w:uiPriority w:val="0"/>
    <w:pPr>
      <w:spacing w:line="360" w:lineRule="auto"/>
      <w:ind w:firstLine="480" w:firstLineChars="200"/>
    </w:pPr>
    <w:rPr>
      <w:rFonts w:ascii="Times New Roman" w:cs="Times New Roman" w:hAnsiTheme="minorEastAsia"/>
      <w:sz w:val="24"/>
      <w:szCs w:val="20"/>
    </w:rPr>
  </w:style>
  <w:style w:type="character" w:customStyle="1" w:styleId="78">
    <w:name w:val="普通正文（正文首行缩进2字符、前后0、1.5倍行距、大纲级别正文文本） 字符"/>
    <w:basedOn w:val="25"/>
    <w:link w:val="77"/>
    <w:qFormat/>
    <w:uiPriority w:val="0"/>
    <w:rPr>
      <w:rFonts w:ascii="Times New Roman" w:cs="Times New Roman" w:hAnsiTheme="minorEastAsia"/>
      <w:sz w:val="24"/>
      <w:szCs w:val="20"/>
    </w:rPr>
  </w:style>
  <w:style w:type="table" w:customStyle="1" w:styleId="79">
    <w:name w:val="网格型2"/>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0">
    <w:name w:val="Char1"/>
    <w:basedOn w:val="1"/>
    <w:qFormat/>
    <w:uiPriority w:val="99"/>
    <w:pPr>
      <w:widowControl/>
      <w:spacing w:after="160" w:line="240" w:lineRule="exact"/>
      <w:jc w:val="left"/>
    </w:pPr>
    <w:rPr>
      <w:rFonts w:ascii="Times New Roman" w:hAnsi="Times New Roman" w:eastAsia="宋体" w:cs="Times New Roman"/>
      <w:kern w:val="0"/>
      <w:sz w:val="20"/>
      <w:szCs w:val="20"/>
    </w:rPr>
  </w:style>
  <w:style w:type="character" w:customStyle="1" w:styleId="81">
    <w:name w:val="Plain Text Char"/>
    <w:link w:val="13"/>
    <w:qFormat/>
    <w:uiPriority w:val="0"/>
    <w:rPr>
      <w:rFonts w:ascii="宋体" w:hAnsi="Courier New"/>
      <w:szCs w:val="21"/>
      <w:lang w:val="en-US" w:eastAsia="zh-CN"/>
    </w:rPr>
  </w:style>
  <w:style w:type="character" w:customStyle="1" w:styleId="82">
    <w:name w:val="纯文本 字符1"/>
    <w:basedOn w:val="25"/>
    <w:semiHidden/>
    <w:qFormat/>
    <w:uiPriority w:val="99"/>
    <w:rPr>
      <w:rFonts w:hAnsi="Courier New" w:cs="Courier New" w:asciiTheme="minorEastAsia"/>
    </w:rPr>
  </w:style>
  <w:style w:type="character" w:customStyle="1" w:styleId="83">
    <w:name w:val="未处理的提及2"/>
    <w:basedOn w:val="25"/>
    <w:unhideWhenUsed/>
    <w:qFormat/>
    <w:uiPriority w:val="99"/>
    <w:rPr>
      <w:color w:val="605E5C"/>
      <w:shd w:val="clear" w:color="auto" w:fill="E1DFDD"/>
    </w:rPr>
  </w:style>
  <w:style w:type="paragraph" w:customStyle="1" w:styleId="84">
    <w:name w:val="pagenumb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
    <w:name w:val="activ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
    <w:name w:val="TOC Heading1"/>
    <w:basedOn w:val="4"/>
    <w:next w:val="1"/>
    <w:unhideWhenUsed/>
    <w:qFormat/>
    <w:uiPriority w:val="39"/>
    <w:pPr>
      <w:widowControl/>
      <w:spacing w:before="240" w:beforeLines="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87">
    <w:name w:val="未处理的提及3"/>
    <w:basedOn w:val="25"/>
    <w:unhideWhenUsed/>
    <w:qFormat/>
    <w:uiPriority w:val="99"/>
    <w:rPr>
      <w:color w:val="605E5C"/>
      <w:shd w:val="clear" w:color="auto" w:fill="E1DFDD"/>
    </w:rPr>
  </w:style>
  <w:style w:type="paragraph" w:customStyle="1" w:styleId="88">
    <w:name w:val="_Style 83"/>
    <w:basedOn w:val="1"/>
    <w:next w:val="1"/>
    <w:unhideWhenUsed/>
    <w:qFormat/>
    <w:uiPriority w:val="39"/>
    <w:pPr>
      <w:widowControl/>
      <w:tabs>
        <w:tab w:val="right" w:leader="dot" w:pos="8538"/>
      </w:tabs>
      <w:spacing w:line="360" w:lineRule="auto"/>
      <w:ind w:left="420" w:leftChars="200"/>
      <w:jc w:val="left"/>
    </w:pPr>
    <w:rPr>
      <w:rFonts w:ascii="Calibri" w:hAnsi="Calibri" w:eastAsia="PMingLiU" w:cs="Arial"/>
      <w:kern w:val="0"/>
      <w:sz w:val="20"/>
      <w:szCs w:val="20"/>
    </w:rPr>
  </w:style>
  <w:style w:type="character" w:customStyle="1" w:styleId="89">
    <w:name w:val="Footnote Text Char"/>
    <w:basedOn w:val="25"/>
    <w:link w:val="20"/>
    <w:qFormat/>
    <w:uiPriority w:val="99"/>
    <w:rPr>
      <w:sz w:val="18"/>
      <w:szCs w:val="18"/>
    </w:rPr>
  </w:style>
  <w:style w:type="paragraph" w:customStyle="1" w:styleId="90">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91">
    <w:name w:val="TOC 标题2"/>
    <w:basedOn w:val="4"/>
    <w:next w:val="1"/>
    <w:unhideWhenUsed/>
    <w:qFormat/>
    <w:uiPriority w:val="39"/>
    <w:pPr>
      <w:widowControl/>
      <w:spacing w:before="240" w:beforeLines="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92">
    <w:name w:val="_Style 87"/>
    <w:basedOn w:val="1"/>
    <w:next w:val="93"/>
    <w:qFormat/>
    <w:uiPriority w:val="34"/>
    <w:pPr>
      <w:widowControl/>
      <w:spacing w:line="288" w:lineRule="auto"/>
      <w:ind w:firstLine="420" w:firstLineChars="200"/>
      <w:jc w:val="left"/>
    </w:pPr>
    <w:rPr>
      <w:rFonts w:ascii="Times New Roman" w:hAnsi="Times New Roman" w:eastAsia="宋体" w:cs="Arial"/>
      <w:sz w:val="24"/>
      <w:szCs w:val="24"/>
    </w:rPr>
  </w:style>
  <w:style w:type="paragraph" w:customStyle="1" w:styleId="9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jpeg"/><Relationship Id="rId17" Type="http://schemas.openxmlformats.org/officeDocument/2006/relationships/image" Target="media/image3.emf"/><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540E47-D1AB-4F40-BEAA-E1318D6EDB19}">
  <ds:schemaRefs/>
</ds:datastoreItem>
</file>

<file path=docProps/app.xml><?xml version="1.0" encoding="utf-8"?>
<Properties xmlns="http://schemas.openxmlformats.org/officeDocument/2006/extended-properties" xmlns:vt="http://schemas.openxmlformats.org/officeDocument/2006/docPropsVTypes">
  <Template>Normal</Template>
  <Company>WRGHO</Company>
  <Pages>49</Pages>
  <Words>25237</Words>
  <Characters>26884</Characters>
  <Lines>208</Lines>
  <Paragraphs>58</Paragraphs>
  <ScaleCrop>false</ScaleCrop>
  <LinksUpToDate>false</LinksUpToDate>
  <CharactersWithSpaces>27469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2021-04-14T07:01:00Z</dcterms:created>
  <dc:creator>xuyj</dc:creator>
  <cp:lastModifiedBy>田建华</cp:lastModifiedBy>
  <dcterms:modified xsi:type="dcterms:W3CDTF">2021-08-13T08:05:33Z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