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80" w:lineRule="exact"/>
        <w:rPr>
          <w:rFonts w:eastAsiaTheme="majorEastAsia"/>
          <w:i/>
          <w:sz w:val="22"/>
          <w:szCs w:val="22"/>
          <w:lang w:eastAsia="zh-TW"/>
        </w:rPr>
      </w:pPr>
      <w:r>
        <w:rPr>
          <w:rFonts w:eastAsiaTheme="majorEastAsia"/>
          <w:i/>
          <w:sz w:val="22"/>
          <w:szCs w:val="22"/>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pPr>
        <w:autoSpaceDE w:val="0"/>
        <w:autoSpaceDN w:val="0"/>
        <w:adjustRightInd w:val="0"/>
        <w:spacing w:line="280" w:lineRule="exact"/>
        <w:rPr>
          <w:rFonts w:eastAsiaTheme="majorEastAsia"/>
          <w:i/>
          <w:iCs/>
          <w:color w:val="231F20"/>
          <w:kern w:val="0"/>
          <w:sz w:val="22"/>
          <w:szCs w:val="22"/>
          <w:lang w:eastAsia="zh-TW"/>
        </w:rPr>
      </w:pPr>
    </w:p>
    <w:p>
      <w:pPr>
        <w:autoSpaceDE w:val="0"/>
        <w:autoSpaceDN w:val="0"/>
        <w:adjustRightInd w:val="0"/>
        <w:spacing w:line="280" w:lineRule="exact"/>
        <w:jc w:val="center"/>
        <w:rPr>
          <w:rFonts w:eastAsiaTheme="majorEastAsia"/>
          <w:b/>
          <w:bCs/>
          <w:color w:val="231F20"/>
          <w:kern w:val="0"/>
          <w:sz w:val="22"/>
          <w:szCs w:val="22"/>
          <w:lang w:eastAsia="zh-TW"/>
        </w:rPr>
      </w:pPr>
      <w:r>
        <w:rPr>
          <w:rFonts w:eastAsia="DFKai-SB"/>
          <w:sz w:val="22"/>
          <w:szCs w:val="22"/>
        </w:rPr>
        <w:drawing>
          <wp:anchor distT="0" distB="0" distL="114300" distR="114300" simplePos="0" relativeHeight="251659264" behindDoc="0" locked="0" layoutInCell="1" allowOverlap="1">
            <wp:simplePos x="0" y="0"/>
            <wp:positionH relativeFrom="margin">
              <wp:align>center</wp:align>
            </wp:positionH>
            <wp:positionV relativeFrom="paragraph">
              <wp:posOffset>8890</wp:posOffset>
            </wp:positionV>
            <wp:extent cx="676275" cy="731520"/>
            <wp:effectExtent l="0" t="0" r="9525" b="0"/>
            <wp:wrapNone/>
            <wp:docPr id="4"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SHANDON"/>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676275" cy="731520"/>
                    </a:xfrm>
                    <a:prstGeom prst="rect">
                      <a:avLst/>
                    </a:prstGeom>
                    <a:noFill/>
                    <a:ln>
                      <a:noFill/>
                    </a:ln>
                  </pic:spPr>
                </pic:pic>
              </a:graphicData>
            </a:graphic>
          </wp:anchor>
        </w:drawing>
      </w:r>
    </w:p>
    <w:p>
      <w:pPr>
        <w:autoSpaceDE w:val="0"/>
        <w:autoSpaceDN w:val="0"/>
        <w:adjustRightInd w:val="0"/>
        <w:spacing w:line="280" w:lineRule="exact"/>
        <w:jc w:val="center"/>
        <w:rPr>
          <w:rFonts w:eastAsiaTheme="majorEastAsia"/>
          <w:b/>
          <w:bCs/>
          <w:color w:val="231F20"/>
          <w:kern w:val="0"/>
          <w:sz w:val="22"/>
          <w:szCs w:val="22"/>
          <w:lang w:eastAsia="zh-TW"/>
        </w:rPr>
      </w:pPr>
    </w:p>
    <w:p>
      <w:pPr>
        <w:autoSpaceDE w:val="0"/>
        <w:autoSpaceDN w:val="0"/>
        <w:adjustRightInd w:val="0"/>
        <w:spacing w:line="280" w:lineRule="exact"/>
        <w:jc w:val="center"/>
        <w:rPr>
          <w:rFonts w:eastAsiaTheme="majorEastAsia"/>
          <w:b/>
          <w:bCs/>
          <w:color w:val="231F20"/>
          <w:kern w:val="0"/>
          <w:sz w:val="22"/>
          <w:szCs w:val="22"/>
          <w:lang w:eastAsia="zh-TW"/>
        </w:rPr>
      </w:pPr>
    </w:p>
    <w:p>
      <w:pPr>
        <w:autoSpaceDE w:val="0"/>
        <w:autoSpaceDN w:val="0"/>
        <w:adjustRightInd w:val="0"/>
        <w:spacing w:line="280" w:lineRule="exact"/>
        <w:jc w:val="center"/>
        <w:rPr>
          <w:rFonts w:ascii="DFKai-SB" w:hAnsi="DFKai-SB" w:eastAsia="DFKai-SB"/>
          <w:b/>
          <w:bCs/>
          <w:lang w:eastAsia="zh-TW"/>
        </w:rPr>
      </w:pPr>
    </w:p>
    <w:p>
      <w:pPr>
        <w:autoSpaceDE w:val="0"/>
        <w:autoSpaceDN w:val="0"/>
        <w:adjustRightInd w:val="0"/>
        <w:spacing w:line="280" w:lineRule="exact"/>
        <w:jc w:val="center"/>
        <w:rPr>
          <w:rFonts w:ascii="DFKai-SB" w:hAnsi="DFKai-SB" w:eastAsia="DFKai-SB"/>
          <w:b/>
          <w:bCs/>
          <w:lang w:eastAsia="zh-TW"/>
        </w:rPr>
      </w:pPr>
    </w:p>
    <w:p>
      <w:pPr>
        <w:autoSpaceDE w:val="0"/>
        <w:autoSpaceDN w:val="0"/>
        <w:adjustRightInd w:val="0"/>
        <w:spacing w:line="280" w:lineRule="exact"/>
        <w:jc w:val="center"/>
        <w:rPr>
          <w:rFonts w:ascii="DFKai-SB" w:hAnsi="DFKai-SB" w:eastAsia="DFKai-SB"/>
          <w:b/>
          <w:bCs/>
          <w:color w:val="231F20"/>
          <w:kern w:val="0"/>
          <w:sz w:val="24"/>
          <w:lang w:eastAsia="zh-TW"/>
        </w:rPr>
      </w:pPr>
      <w:r>
        <w:rPr>
          <w:rFonts w:ascii="DFKai-SB" w:hAnsi="DFKai-SB" w:eastAsia="DFKai-SB"/>
          <w:b/>
          <w:bCs/>
          <w:sz w:val="24"/>
          <w:lang w:eastAsia="zh-TW"/>
        </w:rPr>
        <w:t>山東新華製藥股份有限公司</w:t>
      </w:r>
    </w:p>
    <w:p>
      <w:pPr>
        <w:autoSpaceDE w:val="0"/>
        <w:autoSpaceDN w:val="0"/>
        <w:adjustRightInd w:val="0"/>
        <w:spacing w:line="280" w:lineRule="exact"/>
        <w:jc w:val="center"/>
        <w:rPr>
          <w:rFonts w:eastAsiaTheme="majorEastAsia"/>
          <w:b/>
          <w:bCs/>
          <w:color w:val="231F20"/>
          <w:kern w:val="0"/>
          <w:sz w:val="24"/>
          <w:lang w:eastAsia="zh-TW"/>
        </w:rPr>
      </w:pPr>
      <w:r>
        <w:rPr>
          <w:rFonts w:eastAsiaTheme="majorEastAsia"/>
          <w:b/>
          <w:bCs/>
          <w:color w:val="231F20"/>
          <w:kern w:val="0"/>
          <w:sz w:val="24"/>
          <w:lang w:eastAsia="zh-TW"/>
        </w:rPr>
        <w:t>Shandong Xinhua Pharmaceutical Company Limited</w:t>
      </w:r>
    </w:p>
    <w:p>
      <w:pPr>
        <w:autoSpaceDE w:val="0"/>
        <w:autoSpaceDN w:val="0"/>
        <w:adjustRightInd w:val="0"/>
        <w:spacing w:line="280" w:lineRule="exact"/>
        <w:jc w:val="center"/>
        <w:rPr>
          <w:rFonts w:eastAsiaTheme="majorEastAsia"/>
          <w:color w:val="231F20"/>
          <w:kern w:val="0"/>
          <w:sz w:val="22"/>
          <w:szCs w:val="22"/>
          <w:lang w:eastAsia="zh-TW"/>
        </w:rPr>
      </w:pPr>
      <w:r>
        <w:rPr>
          <w:rFonts w:eastAsiaTheme="majorEastAsia"/>
          <w:color w:val="231F20"/>
          <w:kern w:val="0"/>
          <w:sz w:val="22"/>
          <w:szCs w:val="22"/>
          <w:lang w:eastAsia="zh-TW"/>
        </w:rPr>
        <w:t>（于中華人民共和國註冊成立之股份有限公司）</w:t>
      </w:r>
    </w:p>
    <w:p>
      <w:pPr>
        <w:autoSpaceDE w:val="0"/>
        <w:autoSpaceDN w:val="0"/>
        <w:adjustRightInd w:val="0"/>
        <w:spacing w:line="280" w:lineRule="exact"/>
        <w:jc w:val="center"/>
        <w:rPr>
          <w:rFonts w:eastAsiaTheme="majorEastAsia"/>
          <w:color w:val="231F20"/>
          <w:kern w:val="0"/>
          <w:sz w:val="22"/>
          <w:szCs w:val="22"/>
          <w:lang w:eastAsia="zh-TW"/>
        </w:rPr>
      </w:pPr>
      <w:r>
        <w:rPr>
          <w:rFonts w:eastAsiaTheme="majorEastAsia"/>
          <w:color w:val="231F20"/>
          <w:kern w:val="0"/>
          <w:sz w:val="22"/>
          <w:szCs w:val="22"/>
          <w:lang w:eastAsia="zh-TW"/>
        </w:rPr>
        <w:t>（股份代碼：00719）</w:t>
      </w:r>
    </w:p>
    <w:p>
      <w:pPr>
        <w:autoSpaceDE w:val="0"/>
        <w:autoSpaceDN w:val="0"/>
        <w:adjustRightInd w:val="0"/>
        <w:spacing w:line="280" w:lineRule="exact"/>
        <w:jc w:val="center"/>
        <w:rPr>
          <w:rFonts w:eastAsiaTheme="majorEastAsia"/>
          <w:b/>
          <w:bCs/>
          <w:color w:val="231F20"/>
          <w:kern w:val="0"/>
          <w:sz w:val="22"/>
          <w:szCs w:val="22"/>
          <w:highlight w:val="green"/>
          <w:lang w:eastAsia="zh-TW"/>
        </w:rPr>
      </w:pPr>
    </w:p>
    <w:p>
      <w:pPr>
        <w:spacing w:line="280" w:lineRule="exact"/>
        <w:ind w:firstLine="482"/>
        <w:jc w:val="center"/>
        <w:rPr>
          <w:rFonts w:eastAsiaTheme="majorEastAsia"/>
          <w:b/>
          <w:bCs/>
          <w:lang w:eastAsia="zh-TW"/>
        </w:rPr>
      </w:pPr>
      <w:r>
        <w:rPr>
          <w:rFonts w:hint="eastAsia" w:eastAsiaTheme="majorEastAsia"/>
          <w:b/>
          <w:bCs/>
          <w:lang w:eastAsia="zh-TW"/>
        </w:rPr>
        <w:t>關於公司調整建議A股發行的發行價和發行數量</w:t>
      </w:r>
      <w:r>
        <w:rPr>
          <w:rFonts w:eastAsiaTheme="majorEastAsia"/>
          <w:b/>
          <w:bCs/>
          <w:lang w:eastAsia="zh-TW"/>
        </w:rPr>
        <w:t>的公告</w:t>
      </w:r>
    </w:p>
    <w:p>
      <w:pPr>
        <w:autoSpaceDE w:val="0"/>
        <w:autoSpaceDN w:val="0"/>
        <w:adjustRightInd w:val="0"/>
        <w:spacing w:line="280" w:lineRule="exact"/>
        <w:jc w:val="center"/>
        <w:rPr>
          <w:rFonts w:eastAsiaTheme="majorEastAsia"/>
          <w:b/>
          <w:bCs/>
          <w:kern w:val="0"/>
          <w:sz w:val="22"/>
          <w:szCs w:val="22"/>
          <w:highlight w:val="green"/>
          <w:lang w:eastAsia="zh-TW"/>
        </w:rPr>
      </w:pPr>
    </w:p>
    <w:p>
      <w:pPr>
        <w:spacing w:line="280" w:lineRule="exact"/>
        <w:ind w:firstLine="480"/>
        <w:rPr>
          <w:rFonts w:eastAsiaTheme="majorEastAsia"/>
          <w:lang w:eastAsia="zh-TW"/>
        </w:rPr>
      </w:pPr>
      <w:r>
        <w:rPr>
          <w:rFonts w:eastAsiaTheme="majorEastAsia"/>
          <w:lang w:eastAsia="zh-TW"/>
        </w:rPr>
        <w:t>茲提述山東新華製藥股份有限公司（以下簡稱“</w:t>
      </w:r>
      <w:r>
        <w:rPr>
          <w:rFonts w:eastAsiaTheme="majorEastAsia"/>
          <w:b/>
          <w:lang w:eastAsia="zh-TW"/>
        </w:rPr>
        <w:t>公司</w:t>
      </w:r>
      <w:r>
        <w:rPr>
          <w:rFonts w:eastAsiaTheme="majorEastAsia"/>
          <w:lang w:eastAsia="zh-TW"/>
        </w:rPr>
        <w:t>”</w:t>
      </w:r>
      <w:r>
        <w:rPr>
          <w:rFonts w:eastAsiaTheme="majorEastAsia"/>
          <w:lang w:val="zh-CN" w:eastAsia="zh-TW"/>
        </w:rPr>
        <w:t>或 “</w:t>
      </w:r>
      <w:r>
        <w:rPr>
          <w:rFonts w:eastAsiaTheme="majorEastAsia"/>
          <w:b/>
          <w:lang w:eastAsia="zh-TW"/>
        </w:rPr>
        <w:t>本公司</w:t>
      </w:r>
      <w:r>
        <w:rPr>
          <w:rFonts w:eastAsiaTheme="majorEastAsia"/>
          <w:lang w:eastAsia="zh-TW"/>
        </w:rPr>
        <w:t>”）日期為2021年4月14日</w:t>
      </w:r>
      <w:r>
        <w:rPr>
          <w:rFonts w:hint="eastAsia" w:eastAsiaTheme="majorEastAsia"/>
          <w:lang w:eastAsia="zh-TW"/>
        </w:rPr>
        <w:t>的</w:t>
      </w:r>
      <w:r>
        <w:rPr>
          <w:rFonts w:eastAsiaTheme="majorEastAsia"/>
          <w:lang w:eastAsia="zh-TW"/>
        </w:rPr>
        <w:t>公告</w:t>
      </w:r>
      <w:r>
        <w:rPr>
          <w:rFonts w:hint="eastAsia" w:eastAsiaTheme="majorEastAsia"/>
          <w:lang w:eastAsia="zh-TW"/>
        </w:rPr>
        <w:t>及海外監管公告，內容有關（其中包括）建議A 股發行、日期為2021年4月27日的公告，內容有關（其中包括）建議A股發行獲華魯控股批准、日期為2021年</w:t>
      </w:r>
      <w:r>
        <w:rPr>
          <w:rFonts w:eastAsiaTheme="majorEastAsia"/>
          <w:lang w:eastAsia="zh-TW"/>
        </w:rPr>
        <w:t>6</w:t>
      </w:r>
      <w:r>
        <w:rPr>
          <w:rFonts w:hint="eastAsia" w:eastAsiaTheme="majorEastAsia"/>
          <w:lang w:eastAsia="zh-TW"/>
        </w:rPr>
        <w:t>月3</w:t>
      </w:r>
      <w:r>
        <w:rPr>
          <w:rFonts w:eastAsiaTheme="majorEastAsia"/>
          <w:lang w:eastAsia="zh-TW"/>
        </w:rPr>
        <w:t>0</w:t>
      </w:r>
      <w:r>
        <w:rPr>
          <w:rFonts w:hint="eastAsia" w:eastAsiaTheme="majorEastAsia"/>
          <w:lang w:eastAsia="zh-TW"/>
        </w:rPr>
        <w:t>日的投票表決結果公告（</w:t>
      </w:r>
      <w:r>
        <w:rPr>
          <w:rFonts w:eastAsiaTheme="majorEastAsia"/>
          <w:lang w:eastAsia="zh-TW"/>
        </w:rPr>
        <w:t>“</w:t>
      </w:r>
      <w:r>
        <w:rPr>
          <w:rFonts w:hint="eastAsia" w:eastAsiaTheme="majorEastAsia"/>
          <w:b/>
          <w:lang w:eastAsia="zh-TW"/>
        </w:rPr>
        <w:t>投票表決結果公告</w:t>
      </w:r>
      <w:r>
        <w:rPr>
          <w:rFonts w:eastAsiaTheme="majorEastAsia"/>
          <w:lang w:eastAsia="zh-TW"/>
        </w:rPr>
        <w:t>”</w:t>
      </w:r>
      <w:r>
        <w:rPr>
          <w:rFonts w:hint="eastAsia" w:eastAsiaTheme="majorEastAsia"/>
          <w:lang w:eastAsia="zh-TW"/>
        </w:rPr>
        <w:t>），內容有關（其中包括）於2</w:t>
      </w:r>
      <w:r>
        <w:rPr>
          <w:rFonts w:eastAsiaTheme="majorEastAsia"/>
          <w:lang w:eastAsia="zh-TW"/>
        </w:rPr>
        <w:t>021</w:t>
      </w:r>
      <w:r>
        <w:rPr>
          <w:rFonts w:hint="eastAsia" w:eastAsiaTheme="majorEastAsia"/>
          <w:lang w:eastAsia="zh-TW"/>
        </w:rPr>
        <w:t>年6月3</w:t>
      </w:r>
      <w:r>
        <w:rPr>
          <w:rFonts w:eastAsiaTheme="majorEastAsia"/>
          <w:lang w:eastAsia="zh-TW"/>
        </w:rPr>
        <w:t>0</w:t>
      </w:r>
      <w:r>
        <w:rPr>
          <w:rFonts w:hint="eastAsia" w:eastAsiaTheme="majorEastAsia"/>
          <w:lang w:eastAsia="zh-TW"/>
        </w:rPr>
        <w:t>日舉行的股東週年大會、A股類別股東會議及H股類別股東會議已通過所有提呈的決議案，其中包括建議A股發行及支付2020年末期股息、日期為2021年7月1</w:t>
      </w:r>
      <w:r>
        <w:rPr>
          <w:rFonts w:eastAsiaTheme="majorEastAsia"/>
          <w:lang w:eastAsia="zh-TW"/>
        </w:rPr>
        <w:t>9</w:t>
      </w:r>
      <w:r>
        <w:rPr>
          <w:rFonts w:hint="eastAsia" w:eastAsiaTheme="majorEastAsia"/>
          <w:lang w:eastAsia="zh-TW"/>
        </w:rPr>
        <w:t>日的公告，內容有關（其中包括）本公司建議A股發行申請獲中國證監會受理、日期為2021年8月2日的公告，內容有關（其中包括）本公司建議 A 股發行申請收到《中國證監會行政許可項目審查一次反饋意見通知書》（以上公告統稱</w:t>
      </w:r>
      <w:r>
        <w:rPr>
          <w:rFonts w:eastAsiaTheme="majorEastAsia"/>
          <w:lang w:eastAsia="zh-TW"/>
        </w:rPr>
        <w:t>“</w:t>
      </w:r>
      <w:r>
        <w:rPr>
          <w:rFonts w:eastAsiaTheme="majorEastAsia"/>
          <w:b/>
          <w:lang w:eastAsia="zh-TW"/>
        </w:rPr>
        <w:t>該</w:t>
      </w:r>
      <w:r>
        <w:rPr>
          <w:rFonts w:hint="eastAsia" w:eastAsiaTheme="majorEastAsia"/>
          <w:b/>
          <w:lang w:eastAsia="zh-TW"/>
        </w:rPr>
        <w:t>公告</w:t>
      </w:r>
      <w:r>
        <w:rPr>
          <w:rFonts w:eastAsiaTheme="majorEastAsia"/>
          <w:lang w:eastAsia="zh-TW"/>
        </w:rPr>
        <w:t>”</w:t>
      </w:r>
      <w:r>
        <w:rPr>
          <w:rFonts w:hint="eastAsia" w:eastAsiaTheme="majorEastAsia"/>
          <w:lang w:eastAsia="zh-TW"/>
        </w:rPr>
        <w:t>）及日期為2</w:t>
      </w:r>
      <w:r>
        <w:rPr>
          <w:rFonts w:eastAsiaTheme="majorEastAsia"/>
          <w:lang w:eastAsia="zh-TW"/>
        </w:rPr>
        <w:t>021</w:t>
      </w:r>
      <w:r>
        <w:rPr>
          <w:rFonts w:hint="eastAsia" w:eastAsiaTheme="majorEastAsia"/>
          <w:lang w:eastAsia="zh-TW"/>
        </w:rPr>
        <w:t>年5月3</w:t>
      </w:r>
      <w:r>
        <w:rPr>
          <w:rFonts w:eastAsiaTheme="majorEastAsia"/>
          <w:lang w:eastAsia="zh-TW"/>
        </w:rPr>
        <w:t>1</w:t>
      </w:r>
      <w:r>
        <w:rPr>
          <w:rFonts w:hint="eastAsia" w:eastAsiaTheme="majorEastAsia"/>
          <w:lang w:eastAsia="zh-TW"/>
        </w:rPr>
        <w:t>日的通函（</w:t>
      </w:r>
      <w:r>
        <w:rPr>
          <w:rFonts w:eastAsiaTheme="majorEastAsia"/>
          <w:lang w:eastAsia="zh-TW"/>
        </w:rPr>
        <w:t>“</w:t>
      </w:r>
      <w:r>
        <w:rPr>
          <w:rFonts w:eastAsiaTheme="majorEastAsia"/>
          <w:b/>
          <w:lang w:eastAsia="zh-TW"/>
        </w:rPr>
        <w:t>該</w:t>
      </w:r>
      <w:r>
        <w:rPr>
          <w:rFonts w:hint="eastAsia" w:eastAsiaTheme="majorEastAsia"/>
          <w:b/>
          <w:lang w:eastAsia="zh-TW"/>
        </w:rPr>
        <w:t>通函</w:t>
      </w:r>
      <w:r>
        <w:rPr>
          <w:rFonts w:eastAsiaTheme="majorEastAsia"/>
          <w:lang w:eastAsia="zh-TW"/>
        </w:rPr>
        <w:t>”</w:t>
      </w:r>
      <w:r>
        <w:rPr>
          <w:rFonts w:hint="eastAsia" w:eastAsiaTheme="majorEastAsia"/>
          <w:lang w:eastAsia="zh-TW"/>
        </w:rPr>
        <w:t>），內容有關（其中包括）建議A 股發行之詳情</w:t>
      </w:r>
      <w:r>
        <w:rPr>
          <w:rFonts w:eastAsiaTheme="majorEastAsia"/>
          <w:lang w:eastAsia="zh-TW"/>
        </w:rPr>
        <w:t>。</w:t>
      </w:r>
    </w:p>
    <w:p>
      <w:pPr>
        <w:spacing w:line="280" w:lineRule="exact"/>
        <w:ind w:firstLine="480"/>
        <w:rPr>
          <w:rFonts w:eastAsiaTheme="majorEastAsia"/>
          <w:lang w:eastAsia="zh-TW"/>
        </w:rPr>
      </w:pPr>
    </w:p>
    <w:p>
      <w:pPr>
        <w:spacing w:line="280" w:lineRule="exact"/>
        <w:ind w:firstLine="480"/>
        <w:rPr>
          <w:rFonts w:eastAsiaTheme="majorEastAsia"/>
          <w:lang w:eastAsia="zh-TW"/>
        </w:rPr>
      </w:pPr>
      <w:r>
        <w:rPr>
          <w:rFonts w:eastAsiaTheme="majorEastAsia"/>
          <w:lang w:eastAsia="zh-TW"/>
        </w:rPr>
        <w:t>除本公告另有所指外，本公告所用詞匯與該公告</w:t>
      </w:r>
      <w:r>
        <w:rPr>
          <w:rFonts w:hint="eastAsia" w:eastAsiaTheme="majorEastAsia"/>
          <w:lang w:eastAsia="zh-TW"/>
        </w:rPr>
        <w:t>及該通函</w:t>
      </w:r>
      <w:r>
        <w:rPr>
          <w:rFonts w:eastAsiaTheme="majorEastAsia"/>
          <w:lang w:eastAsia="zh-TW"/>
        </w:rPr>
        <w:t>所界定者具有相同涵義。</w:t>
      </w:r>
    </w:p>
    <w:p>
      <w:pPr>
        <w:spacing w:line="280" w:lineRule="exact"/>
        <w:ind w:firstLine="480"/>
        <w:rPr>
          <w:rFonts w:eastAsiaTheme="majorEastAsia"/>
          <w:lang w:eastAsia="zh-TW"/>
        </w:rPr>
      </w:pPr>
    </w:p>
    <w:p>
      <w:pPr>
        <w:pStyle w:val="13"/>
        <w:numPr>
          <w:ilvl w:val="0"/>
          <w:numId w:val="1"/>
        </w:numPr>
        <w:spacing w:line="280" w:lineRule="exact"/>
        <w:ind w:hanging="780"/>
        <w:rPr>
          <w:rFonts w:eastAsiaTheme="majorEastAsia"/>
          <w:b/>
          <w:lang w:eastAsia="zh-TW"/>
        </w:rPr>
      </w:pPr>
      <w:r>
        <w:rPr>
          <w:rFonts w:hint="eastAsia" w:eastAsiaTheme="majorEastAsia"/>
          <w:b/>
          <w:lang w:eastAsia="zh-TW"/>
        </w:rPr>
        <w:t>建議A股發行</w:t>
      </w:r>
    </w:p>
    <w:p>
      <w:pPr>
        <w:spacing w:line="280" w:lineRule="exact"/>
        <w:rPr>
          <w:rFonts w:eastAsiaTheme="majorEastAsia"/>
          <w:lang w:eastAsia="zh-TW"/>
        </w:rPr>
      </w:pPr>
    </w:p>
    <w:p>
      <w:pPr>
        <w:spacing w:line="280" w:lineRule="exact"/>
        <w:rPr>
          <w:rFonts w:eastAsiaTheme="majorEastAsia"/>
          <w:lang w:eastAsia="zh-TW"/>
        </w:rPr>
      </w:pPr>
      <w:r>
        <w:rPr>
          <w:rFonts w:hint="eastAsia" w:eastAsiaTheme="majorEastAsia"/>
          <w:lang w:eastAsia="zh-TW"/>
        </w:rPr>
        <w:t>本次建議A股發行的相關議案已於2</w:t>
      </w:r>
      <w:r>
        <w:rPr>
          <w:rFonts w:eastAsiaTheme="majorEastAsia"/>
          <w:lang w:eastAsia="zh-TW"/>
        </w:rPr>
        <w:t>021</w:t>
      </w:r>
      <w:r>
        <w:rPr>
          <w:rFonts w:hint="eastAsia" w:eastAsiaTheme="majorEastAsia"/>
          <w:lang w:eastAsia="zh-TW"/>
        </w:rPr>
        <w:t>年4月1</w:t>
      </w:r>
      <w:r>
        <w:rPr>
          <w:rFonts w:eastAsiaTheme="majorEastAsia"/>
          <w:lang w:eastAsia="zh-TW"/>
        </w:rPr>
        <w:t>4</w:t>
      </w:r>
      <w:r>
        <w:rPr>
          <w:rFonts w:hint="eastAsia" w:eastAsiaTheme="majorEastAsia"/>
          <w:lang w:eastAsia="zh-TW"/>
        </w:rPr>
        <w:t>日獲董事會審議並批准，</w:t>
      </w:r>
      <w:r>
        <w:rPr>
          <w:rFonts w:hint="eastAsia" w:eastAsiaTheme="minorEastAsia"/>
          <w:lang w:eastAsia="zh-TW"/>
        </w:rPr>
        <w:t>並分別已於2</w:t>
      </w:r>
      <w:r>
        <w:rPr>
          <w:rFonts w:eastAsiaTheme="minorEastAsia"/>
          <w:lang w:eastAsia="zh-TW"/>
        </w:rPr>
        <w:t>021</w:t>
      </w:r>
      <w:r>
        <w:rPr>
          <w:rFonts w:hint="eastAsia" w:eastAsiaTheme="minorEastAsia"/>
          <w:lang w:eastAsia="zh-TW"/>
        </w:rPr>
        <w:t>年6月3</w:t>
      </w:r>
      <w:r>
        <w:rPr>
          <w:rFonts w:eastAsiaTheme="minorEastAsia"/>
          <w:lang w:eastAsia="zh-TW"/>
        </w:rPr>
        <w:t>0</w:t>
      </w:r>
      <w:r>
        <w:rPr>
          <w:rFonts w:hint="eastAsia" w:eastAsiaTheme="minorEastAsia"/>
          <w:lang w:eastAsia="zh-TW"/>
        </w:rPr>
        <w:t>日舉行的</w:t>
      </w:r>
      <w:r>
        <w:rPr>
          <w:rFonts w:hint="eastAsia" w:eastAsiaTheme="majorEastAsia"/>
          <w:lang w:eastAsia="zh-TW"/>
        </w:rPr>
        <w:t>週年股東大會、A股類別股東會議及H股類別股東會議審議通過</w:t>
      </w:r>
      <w:r>
        <w:rPr>
          <w:rFonts w:eastAsiaTheme="majorEastAsia"/>
          <w:lang w:eastAsia="zh-TW"/>
        </w:rPr>
        <w:t>。</w:t>
      </w:r>
    </w:p>
    <w:p>
      <w:pPr>
        <w:spacing w:line="280" w:lineRule="exact"/>
        <w:rPr>
          <w:rFonts w:eastAsiaTheme="majorEastAsia"/>
          <w:lang w:eastAsia="zh-TW"/>
        </w:rPr>
      </w:pPr>
    </w:p>
    <w:p>
      <w:pPr>
        <w:widowControl/>
        <w:spacing w:line="280" w:lineRule="exact"/>
        <w:jc w:val="left"/>
        <w:rPr>
          <w:rFonts w:eastAsiaTheme="majorEastAsia"/>
          <w:lang w:eastAsia="zh-TW"/>
        </w:rPr>
      </w:pPr>
      <w:r>
        <w:rPr>
          <w:rFonts w:hint="eastAsia" w:eastAsiaTheme="majorEastAsia"/>
          <w:lang w:eastAsia="zh-TW"/>
        </w:rPr>
        <w:t>誠如該通函中所披露，本次建議A股發行的A股發行價（</w:t>
      </w:r>
      <w:r>
        <w:rPr>
          <w:rFonts w:eastAsiaTheme="majorEastAsia"/>
          <w:lang w:eastAsia="zh-TW"/>
        </w:rPr>
        <w:t>“</w:t>
      </w:r>
      <w:r>
        <w:rPr>
          <w:rFonts w:hint="eastAsia" w:eastAsiaTheme="majorEastAsia"/>
          <w:b/>
          <w:lang w:eastAsia="zh-TW"/>
        </w:rPr>
        <w:t>發行價</w:t>
      </w:r>
      <w:r>
        <w:rPr>
          <w:rFonts w:eastAsiaTheme="majorEastAsia"/>
          <w:lang w:eastAsia="zh-TW"/>
        </w:rPr>
        <w:t>”</w:t>
      </w:r>
      <w:r>
        <w:rPr>
          <w:rFonts w:hint="eastAsia" w:eastAsiaTheme="majorEastAsia"/>
          <w:lang w:eastAsia="zh-TW"/>
        </w:rPr>
        <w:t>）為華魯投資應付的認購價，即A股每股人民幣6</w:t>
      </w:r>
      <w:r>
        <w:rPr>
          <w:rFonts w:eastAsiaTheme="majorEastAsia"/>
          <w:lang w:eastAsia="zh-TW"/>
        </w:rPr>
        <w:t>.89</w:t>
      </w:r>
      <w:r>
        <w:rPr>
          <w:rFonts w:hint="eastAsia" w:eastAsiaTheme="majorEastAsia"/>
          <w:lang w:eastAsia="zh-TW"/>
        </w:rPr>
        <w:t>元：代表(i)不低於定價基準日前20個交易日（其按定價基準日前20個交易日A股交易總額除以該等20個交易日的A股交易總量計算）A股交易均價的80%；及 (ii)不低於定價基準日前本公司最近一年未經審計的歸屬於母公司普通股股東的每股淨資產金額的孰高值</w:t>
      </w:r>
      <w:r>
        <w:rPr>
          <w:rFonts w:hint="eastAsia" w:ascii="PMingLiU" w:hAnsi="PMingLiU" w:eastAsia="PMingLiU" w:cs="PMingLiU"/>
          <w:lang w:eastAsia="zh-TW"/>
        </w:rPr>
        <w:t>。</w:t>
      </w:r>
    </w:p>
    <w:p>
      <w:pPr>
        <w:widowControl/>
        <w:spacing w:line="280" w:lineRule="exact"/>
        <w:jc w:val="left"/>
        <w:rPr>
          <w:rFonts w:eastAsiaTheme="majorEastAsia"/>
          <w:lang w:eastAsia="zh-TW"/>
        </w:rPr>
      </w:pPr>
    </w:p>
    <w:p>
      <w:pPr>
        <w:widowControl/>
        <w:spacing w:line="280" w:lineRule="exact"/>
        <w:jc w:val="left"/>
        <w:rPr>
          <w:rFonts w:cs="PMingLiU" w:asciiTheme="majorEastAsia" w:hAnsiTheme="majorEastAsia" w:eastAsiaTheme="majorEastAsia"/>
          <w:lang w:eastAsia="zh-TW"/>
        </w:rPr>
      </w:pPr>
      <w:r>
        <w:rPr>
          <w:rFonts w:hint="eastAsia" w:asciiTheme="majorEastAsia" w:hAnsiTheme="majorEastAsia" w:eastAsiaTheme="majorEastAsia"/>
          <w:lang w:eastAsia="zh-TW"/>
        </w:rPr>
        <w:t>此外</w:t>
      </w:r>
      <w:r>
        <w:rPr>
          <w:rFonts w:hint="eastAsia" w:eastAsiaTheme="majorEastAsia"/>
          <w:lang w:eastAsia="zh-TW"/>
        </w:rPr>
        <w:t>，於該通函中所披露，若</w:t>
      </w:r>
      <w:r>
        <w:rPr>
          <w:rFonts w:hint="eastAsia" w:asciiTheme="majorEastAsia" w:hAnsiTheme="majorEastAsia" w:eastAsiaTheme="majorEastAsia"/>
          <w:lang w:eastAsia="zh-TW"/>
        </w:rPr>
        <w:t>公司</w:t>
      </w:r>
      <w:r>
        <w:rPr>
          <w:rFonts w:eastAsiaTheme="majorEastAsia"/>
          <w:lang w:eastAsia="zh-TW"/>
        </w:rPr>
        <w:t>A</w:t>
      </w:r>
      <w:r>
        <w:rPr>
          <w:rFonts w:hint="eastAsia" w:asciiTheme="majorEastAsia" w:hAnsiTheme="majorEastAsia" w:eastAsiaTheme="majorEastAsia"/>
          <w:lang w:eastAsia="zh-TW"/>
        </w:rPr>
        <w:t>股股票</w:t>
      </w:r>
      <w:r>
        <w:rPr>
          <w:rFonts w:asciiTheme="majorEastAsia" w:hAnsiTheme="majorEastAsia" w:eastAsiaTheme="majorEastAsia"/>
          <w:lang w:eastAsia="zh-TW"/>
        </w:rPr>
        <w:t>在定價基準日至發行日期間</w:t>
      </w:r>
      <w:r>
        <w:rPr>
          <w:rFonts w:hint="eastAsia" w:asciiTheme="majorEastAsia" w:hAnsiTheme="majorEastAsia" w:eastAsiaTheme="majorEastAsia"/>
          <w:lang w:eastAsia="zh-TW"/>
        </w:rPr>
        <w:t>發生派息等除權除息事項，例如</w:t>
      </w:r>
      <w:r>
        <w:rPr>
          <w:rFonts w:hint="eastAsia" w:eastAsiaTheme="majorEastAsia"/>
          <w:lang w:eastAsia="zh-TW"/>
        </w:rPr>
        <w:t>（</w:t>
      </w:r>
      <w:r>
        <w:rPr>
          <w:rFonts w:asciiTheme="majorEastAsia" w:hAnsiTheme="majorEastAsia" w:eastAsiaTheme="majorEastAsia"/>
          <w:lang w:eastAsia="zh-TW"/>
        </w:rPr>
        <w:t>但不限於</w:t>
      </w:r>
      <w:r>
        <w:rPr>
          <w:rFonts w:hint="eastAsia" w:eastAsiaTheme="majorEastAsia"/>
          <w:lang w:eastAsia="zh-TW"/>
        </w:rPr>
        <w:t>）</w:t>
      </w:r>
      <w:r>
        <w:rPr>
          <w:rFonts w:hint="eastAsia" w:asciiTheme="majorEastAsia" w:hAnsiTheme="majorEastAsia" w:eastAsiaTheme="majorEastAsia"/>
          <w:lang w:eastAsia="zh-TW"/>
        </w:rPr>
        <w:t>派發</w:t>
      </w:r>
      <w:r>
        <w:rPr>
          <w:rFonts w:asciiTheme="majorEastAsia" w:hAnsiTheme="majorEastAsia" w:eastAsiaTheme="majorEastAsia"/>
          <w:lang w:eastAsia="zh-TW"/>
        </w:rPr>
        <w:t>現金分紅</w:t>
      </w:r>
      <w:r>
        <w:rPr>
          <w:rFonts w:hint="eastAsia" w:asciiTheme="majorEastAsia" w:hAnsiTheme="majorEastAsia" w:eastAsiaTheme="majorEastAsia"/>
          <w:lang w:eastAsia="zh-TW"/>
        </w:rPr>
        <w:t>，</w:t>
      </w:r>
      <w:r>
        <w:rPr>
          <w:rFonts w:asciiTheme="majorEastAsia" w:hAnsiTheme="majorEastAsia" w:eastAsiaTheme="majorEastAsia"/>
          <w:lang w:eastAsia="zh-TW"/>
        </w:rPr>
        <w:t>發行價將基於下列公式作調整</w:t>
      </w:r>
      <w:r>
        <w:rPr>
          <w:rFonts w:hint="eastAsia" w:eastAsiaTheme="majorEastAsia"/>
          <w:lang w:eastAsia="zh-TW"/>
        </w:rPr>
        <w:t>（</w:t>
      </w:r>
      <w:r>
        <w:rPr>
          <w:rFonts w:eastAsiaTheme="majorEastAsia"/>
          <w:lang w:eastAsia="zh-TW"/>
        </w:rPr>
        <w:t>“</w:t>
      </w:r>
      <w:r>
        <w:rPr>
          <w:rFonts w:hint="eastAsia" w:eastAsiaTheme="majorEastAsia"/>
          <w:b/>
          <w:bCs/>
          <w:lang w:eastAsia="zh-TW"/>
        </w:rPr>
        <w:t>發行</w:t>
      </w:r>
      <w:r>
        <w:rPr>
          <w:rFonts w:hint="eastAsia" w:eastAsiaTheme="majorEastAsia"/>
          <w:b/>
          <w:lang w:eastAsia="zh-TW"/>
        </w:rPr>
        <w:t>價</w:t>
      </w:r>
      <w:r>
        <w:rPr>
          <w:rFonts w:hint="eastAsia" w:eastAsiaTheme="majorEastAsia"/>
          <w:b/>
          <w:bCs/>
          <w:lang w:eastAsia="zh-TW"/>
        </w:rPr>
        <w:t>調整</w:t>
      </w:r>
      <w:r>
        <w:rPr>
          <w:rFonts w:eastAsiaTheme="majorEastAsia"/>
          <w:lang w:eastAsia="zh-TW"/>
        </w:rPr>
        <w:t>”</w:t>
      </w:r>
      <w:r>
        <w:rPr>
          <w:rFonts w:hint="eastAsia" w:eastAsiaTheme="majorEastAsia"/>
          <w:lang w:eastAsia="zh-TW"/>
        </w:rPr>
        <w:t xml:space="preserve"> ）</w:t>
      </w:r>
      <w:r>
        <w:rPr>
          <w:rFonts w:hint="eastAsia" w:cs="PMingLiU" w:asciiTheme="majorEastAsia" w:hAnsiTheme="majorEastAsia" w:eastAsiaTheme="majorEastAsia"/>
          <w:lang w:eastAsia="zh-TW"/>
        </w:rPr>
        <w:t>。</w:t>
      </w:r>
    </w:p>
    <w:p>
      <w:pPr>
        <w:widowControl/>
        <w:spacing w:line="280" w:lineRule="exact"/>
        <w:jc w:val="left"/>
        <w:rPr>
          <w:rFonts w:ascii="PMingLiU" w:hAnsi="PMingLiU" w:eastAsia="PMingLiU" w:cs="PMingLiU"/>
          <w:lang w:eastAsia="zh-TW"/>
        </w:rPr>
      </w:pPr>
    </w:p>
    <w:p>
      <w:pPr>
        <w:widowControl/>
        <w:spacing w:line="280" w:lineRule="exact"/>
        <w:rPr>
          <w:rFonts w:eastAsiaTheme="majorEastAsia"/>
          <w:lang w:eastAsia="zh-TW"/>
        </w:rPr>
      </w:pPr>
      <w:r>
        <w:rPr>
          <w:rFonts w:hint="eastAsia" w:eastAsiaTheme="majorEastAsia"/>
          <w:lang w:eastAsia="zh-TW"/>
        </w:rPr>
        <w:t>派發現金分紅：</w:t>
      </w:r>
    </w:p>
    <w:p>
      <w:pPr>
        <w:widowControl/>
        <w:spacing w:line="280" w:lineRule="exact"/>
        <w:jc w:val="center"/>
        <w:rPr>
          <w:rFonts w:eastAsiaTheme="majorEastAsia"/>
          <w:lang w:eastAsia="zh-TW"/>
        </w:rPr>
      </w:pPr>
      <w:r>
        <w:rPr>
          <w:rFonts w:eastAsiaTheme="majorEastAsia"/>
          <w:lang w:eastAsia="zh-TW"/>
        </w:rPr>
        <w:t>P1 = P0 – D</w:t>
      </w:r>
    </w:p>
    <w:p>
      <w:pPr>
        <w:widowControl/>
        <w:spacing w:line="280" w:lineRule="exact"/>
        <w:rPr>
          <w:rFonts w:eastAsiaTheme="majorEastAsia"/>
          <w:lang w:eastAsia="zh-TW"/>
        </w:rPr>
      </w:pPr>
    </w:p>
    <w:p>
      <w:pPr>
        <w:widowControl/>
        <w:spacing w:line="280" w:lineRule="exact"/>
        <w:rPr>
          <w:rFonts w:eastAsiaTheme="majorEastAsia"/>
          <w:lang w:eastAsia="zh-TW"/>
        </w:rPr>
      </w:pPr>
      <w:r>
        <w:rPr>
          <w:rFonts w:hint="eastAsia" w:eastAsiaTheme="majorEastAsia"/>
          <w:lang w:eastAsia="zh-TW"/>
        </w:rPr>
        <w:t>其中：</w:t>
      </w:r>
    </w:p>
    <w:p>
      <w:pPr>
        <w:autoSpaceDE w:val="0"/>
        <w:autoSpaceDN w:val="0"/>
        <w:adjustRightInd w:val="0"/>
        <w:spacing w:line="280" w:lineRule="exact"/>
        <w:jc w:val="left"/>
        <w:rPr>
          <w:rFonts w:eastAsia="PMingLiU"/>
          <w:kern w:val="0"/>
          <w:sz w:val="22"/>
          <w:szCs w:val="22"/>
          <w:lang w:eastAsia="zh-TW"/>
        </w:rPr>
      </w:pPr>
    </w:p>
    <w:p>
      <w:pPr>
        <w:widowControl/>
        <w:spacing w:line="280" w:lineRule="exact"/>
        <w:ind w:left="1440" w:hanging="720"/>
        <w:rPr>
          <w:rFonts w:eastAsia="PMingLiU"/>
          <w:kern w:val="0"/>
          <w:sz w:val="22"/>
          <w:szCs w:val="22"/>
          <w:lang w:eastAsia="zh-TW"/>
        </w:rPr>
      </w:pPr>
      <w:r>
        <w:rPr>
          <w:rFonts w:eastAsia="PMingLiU"/>
          <w:kern w:val="0"/>
          <w:sz w:val="22"/>
          <w:szCs w:val="22"/>
          <w:lang w:eastAsia="zh-TW"/>
        </w:rPr>
        <w:t xml:space="preserve">P1 </w:t>
      </w:r>
      <w:r>
        <w:rPr>
          <w:rFonts w:eastAsia="PMingLiU"/>
          <w:kern w:val="0"/>
          <w:sz w:val="22"/>
          <w:szCs w:val="22"/>
          <w:lang w:eastAsia="zh-TW"/>
        </w:rPr>
        <w:tab/>
      </w:r>
      <w:r>
        <w:rPr>
          <w:rFonts w:hint="eastAsia" w:eastAsiaTheme="majorEastAsia"/>
          <w:lang w:eastAsia="zh-TW"/>
        </w:rPr>
        <w:t>表示</w:t>
      </w:r>
      <w:r>
        <w:rPr>
          <w:rFonts w:eastAsia="PMingLiU"/>
          <w:kern w:val="0"/>
          <w:sz w:val="22"/>
          <w:szCs w:val="22"/>
          <w:lang w:eastAsia="zh-TW"/>
        </w:rPr>
        <w:t xml:space="preserve">   </w:t>
      </w:r>
      <w:r>
        <w:rPr>
          <w:rFonts w:hint="eastAsia" w:asciiTheme="majorEastAsia" w:hAnsiTheme="majorEastAsia" w:eastAsiaTheme="majorEastAsia"/>
          <w:kern w:val="0"/>
          <w:szCs w:val="21"/>
          <w:lang w:eastAsia="zh-TW"/>
        </w:rPr>
        <w:t>發行價</w:t>
      </w:r>
      <w:r>
        <w:rPr>
          <w:rFonts w:hint="eastAsia" w:eastAsiaTheme="majorEastAsia"/>
          <w:lang w:eastAsia="zh-TW"/>
        </w:rPr>
        <w:t>調整後的新發行價</w:t>
      </w:r>
    </w:p>
    <w:p>
      <w:pPr>
        <w:autoSpaceDE w:val="0"/>
        <w:autoSpaceDN w:val="0"/>
        <w:adjustRightInd w:val="0"/>
        <w:spacing w:line="280" w:lineRule="exact"/>
        <w:ind w:left="1440" w:hanging="720"/>
        <w:rPr>
          <w:rFonts w:eastAsia="PMingLiU"/>
          <w:kern w:val="0"/>
          <w:sz w:val="22"/>
          <w:szCs w:val="22"/>
          <w:lang w:eastAsia="zh-TW"/>
        </w:rPr>
      </w:pPr>
      <w:r>
        <w:rPr>
          <w:rFonts w:eastAsia="PMingLiU"/>
          <w:kern w:val="0"/>
          <w:sz w:val="22"/>
          <w:szCs w:val="22"/>
          <w:lang w:eastAsia="zh-TW"/>
        </w:rPr>
        <w:t xml:space="preserve">P0 </w:t>
      </w:r>
      <w:r>
        <w:rPr>
          <w:rFonts w:eastAsia="PMingLiU"/>
          <w:kern w:val="0"/>
          <w:sz w:val="22"/>
          <w:szCs w:val="22"/>
          <w:lang w:eastAsia="zh-TW"/>
        </w:rPr>
        <w:tab/>
      </w:r>
      <w:r>
        <w:rPr>
          <w:rFonts w:hint="eastAsia" w:eastAsiaTheme="majorEastAsia"/>
          <w:lang w:eastAsia="zh-TW"/>
        </w:rPr>
        <w:t>表示</w:t>
      </w:r>
      <w:r>
        <w:rPr>
          <w:rFonts w:eastAsia="PMingLiU"/>
          <w:kern w:val="0"/>
          <w:sz w:val="22"/>
          <w:szCs w:val="22"/>
          <w:lang w:eastAsia="zh-TW"/>
        </w:rPr>
        <w:t xml:space="preserve">   </w:t>
      </w:r>
      <w:r>
        <w:rPr>
          <w:rFonts w:hint="eastAsia" w:asciiTheme="majorEastAsia" w:hAnsiTheme="majorEastAsia" w:eastAsiaTheme="majorEastAsia"/>
          <w:kern w:val="0"/>
          <w:szCs w:val="21"/>
          <w:lang w:eastAsia="zh-TW"/>
        </w:rPr>
        <w:t>發行價</w:t>
      </w:r>
      <w:r>
        <w:rPr>
          <w:rFonts w:hint="eastAsia" w:eastAsiaTheme="majorEastAsia"/>
          <w:lang w:eastAsia="zh-TW"/>
        </w:rPr>
        <w:t>調整前的發行價</w:t>
      </w:r>
    </w:p>
    <w:p>
      <w:pPr>
        <w:autoSpaceDE w:val="0"/>
        <w:autoSpaceDN w:val="0"/>
        <w:adjustRightInd w:val="0"/>
        <w:spacing w:line="280" w:lineRule="exact"/>
        <w:ind w:left="1440" w:hanging="720"/>
        <w:rPr>
          <w:rFonts w:eastAsia="PMingLiU"/>
          <w:kern w:val="0"/>
          <w:sz w:val="22"/>
          <w:szCs w:val="22"/>
          <w:lang w:eastAsia="zh-TW"/>
        </w:rPr>
      </w:pPr>
      <w:r>
        <w:rPr>
          <w:rFonts w:eastAsia="PMingLiU"/>
          <w:kern w:val="0"/>
          <w:sz w:val="22"/>
          <w:szCs w:val="22"/>
          <w:lang w:eastAsia="zh-TW"/>
        </w:rPr>
        <w:t xml:space="preserve">D </w:t>
      </w:r>
      <w:r>
        <w:rPr>
          <w:rFonts w:eastAsia="PMingLiU"/>
          <w:kern w:val="0"/>
          <w:sz w:val="22"/>
          <w:szCs w:val="22"/>
          <w:lang w:eastAsia="zh-TW"/>
        </w:rPr>
        <w:tab/>
      </w:r>
      <w:r>
        <w:rPr>
          <w:rFonts w:hint="eastAsia" w:eastAsiaTheme="majorEastAsia"/>
          <w:lang w:eastAsia="zh-TW"/>
        </w:rPr>
        <w:t>表示</w:t>
      </w:r>
      <w:r>
        <w:rPr>
          <w:rFonts w:eastAsia="PMingLiU"/>
          <w:kern w:val="0"/>
          <w:sz w:val="22"/>
          <w:szCs w:val="22"/>
          <w:lang w:eastAsia="zh-TW"/>
        </w:rPr>
        <w:t xml:space="preserve">   </w:t>
      </w:r>
      <w:r>
        <w:rPr>
          <w:rFonts w:hint="eastAsia" w:eastAsiaTheme="majorEastAsia"/>
          <w:lang w:eastAsia="zh-TW"/>
        </w:rPr>
        <w:t>每股擬派發的現金紅利數額</w:t>
      </w:r>
    </w:p>
    <w:p>
      <w:pPr>
        <w:widowControl/>
        <w:spacing w:line="280" w:lineRule="exact"/>
        <w:jc w:val="left"/>
        <w:rPr>
          <w:rFonts w:eastAsiaTheme="majorEastAsia"/>
          <w:lang w:eastAsia="zh-TW"/>
        </w:rPr>
      </w:pPr>
    </w:p>
    <w:p>
      <w:pPr>
        <w:widowControl/>
        <w:spacing w:line="280" w:lineRule="exact"/>
        <w:jc w:val="left"/>
        <w:rPr>
          <w:rFonts w:cs="MS Mincho" w:asciiTheme="majorEastAsia" w:hAnsiTheme="majorEastAsia" w:eastAsiaTheme="majorEastAsia"/>
          <w:kern w:val="0"/>
          <w:szCs w:val="21"/>
          <w:lang w:val="en-GB" w:eastAsia="zh-TW"/>
        </w:rPr>
      </w:pPr>
      <w:r>
        <w:rPr>
          <w:rFonts w:hint="eastAsia" w:eastAsiaTheme="majorEastAsia"/>
          <w:lang w:eastAsia="zh-TW"/>
        </w:rPr>
        <w:t>此外，於</w:t>
      </w:r>
      <w:r>
        <w:rPr>
          <w:rFonts w:hint="eastAsia" w:cs="MS Mincho" w:asciiTheme="majorEastAsia" w:hAnsiTheme="majorEastAsia" w:eastAsiaTheme="majorEastAsia"/>
          <w:kern w:val="0"/>
          <w:szCs w:val="21"/>
          <w:lang w:val="en-GB" w:eastAsia="zh-TW"/>
        </w:rPr>
        <w:t>該通函中所披露</w:t>
      </w:r>
      <w:r>
        <w:rPr>
          <w:rFonts w:hint="eastAsia" w:eastAsiaTheme="majorEastAsia"/>
          <w:lang w:eastAsia="zh-TW"/>
        </w:rPr>
        <w:t>，</w:t>
      </w:r>
      <w:r>
        <w:rPr>
          <w:rFonts w:hint="eastAsia" w:asciiTheme="majorEastAsia" w:hAnsiTheme="majorEastAsia" w:eastAsiaTheme="majorEastAsia"/>
          <w:szCs w:val="21"/>
          <w:lang w:eastAsia="zh-TW"/>
        </w:rPr>
        <w:t>本次建議A股發行的發行股票數量不超過36,284,470股（含本數），或不超過本次建議A股發行前公司總股本的</w:t>
      </w:r>
      <w:r>
        <w:rPr>
          <w:rFonts w:eastAsiaTheme="majorEastAsia"/>
          <w:szCs w:val="21"/>
          <w:lang w:eastAsia="zh-TW"/>
        </w:rPr>
        <w:t>30%</w:t>
      </w:r>
      <w:r>
        <w:rPr>
          <w:rFonts w:hint="eastAsia" w:eastAsiaTheme="majorEastAsia"/>
          <w:lang w:eastAsia="zh-TW"/>
        </w:rPr>
        <w:t>（</w:t>
      </w:r>
      <w:r>
        <w:rPr>
          <w:rFonts w:eastAsiaTheme="majorEastAsia"/>
          <w:lang w:eastAsia="zh-TW"/>
        </w:rPr>
        <w:t>“</w:t>
      </w:r>
      <w:r>
        <w:rPr>
          <w:rFonts w:hint="eastAsia" w:eastAsiaTheme="majorEastAsia"/>
          <w:b/>
          <w:lang w:eastAsia="zh-TW"/>
        </w:rPr>
        <w:t>該</w:t>
      </w:r>
      <w:r>
        <w:rPr>
          <w:rFonts w:hint="eastAsia" w:eastAsiaTheme="majorEastAsia"/>
          <w:b/>
          <w:bCs/>
          <w:lang w:eastAsia="zh-TW"/>
        </w:rPr>
        <w:t>限制</w:t>
      </w:r>
      <w:r>
        <w:rPr>
          <w:rFonts w:eastAsiaTheme="majorEastAsia"/>
          <w:lang w:eastAsia="zh-TW"/>
        </w:rPr>
        <w:t>”</w:t>
      </w:r>
      <w:r>
        <w:rPr>
          <w:rFonts w:hint="eastAsia" w:eastAsiaTheme="majorEastAsia"/>
          <w:lang w:eastAsia="zh-TW"/>
        </w:rPr>
        <w:t>）</w:t>
      </w:r>
      <w:r>
        <w:rPr>
          <w:rFonts w:hint="eastAsia" w:asciiTheme="majorEastAsia" w:hAnsiTheme="majorEastAsia" w:eastAsiaTheme="majorEastAsia"/>
          <w:szCs w:val="21"/>
          <w:lang w:eastAsia="zh-TW"/>
        </w:rPr>
        <w:t>。然而</w:t>
      </w:r>
      <w:r>
        <w:rPr>
          <w:rFonts w:hint="eastAsia" w:eastAsiaTheme="majorEastAsia"/>
          <w:lang w:eastAsia="zh-TW"/>
        </w:rPr>
        <w:t>，</w:t>
      </w:r>
      <w:r>
        <w:rPr>
          <w:rFonts w:hint="eastAsia" w:cs="MS Mincho" w:asciiTheme="majorEastAsia" w:hAnsiTheme="majorEastAsia" w:eastAsiaTheme="majorEastAsia"/>
          <w:kern w:val="0"/>
          <w:szCs w:val="21"/>
          <w:lang w:val="en-GB" w:eastAsia="zh-TW"/>
        </w:rPr>
        <w:t>倘在定價基準日至發行日期之間有任何除權除息事項</w:t>
      </w:r>
      <w:r>
        <w:rPr>
          <w:rFonts w:hint="eastAsia" w:eastAsiaTheme="majorEastAsia"/>
          <w:lang w:eastAsia="zh-TW"/>
        </w:rPr>
        <w:t>（如</w:t>
      </w:r>
      <w:r>
        <w:rPr>
          <w:rFonts w:hint="eastAsia" w:cs="MS Mincho" w:asciiTheme="majorEastAsia" w:hAnsiTheme="majorEastAsia" w:eastAsiaTheme="majorEastAsia"/>
          <w:kern w:val="0"/>
          <w:szCs w:val="21"/>
          <w:lang w:val="en-GB" w:eastAsia="zh-TW"/>
        </w:rPr>
        <w:t>派息、送股、資本公積金轉增股本</w:t>
      </w:r>
      <w:r>
        <w:rPr>
          <w:rFonts w:cs="MS Mincho" w:asciiTheme="majorEastAsia" w:hAnsiTheme="majorEastAsia" w:eastAsiaTheme="majorEastAsia"/>
          <w:kern w:val="0"/>
          <w:szCs w:val="21"/>
          <w:lang w:val="en-GB" w:eastAsia="zh-TW"/>
        </w:rPr>
        <w:t>）</w:t>
      </w:r>
      <w:r>
        <w:rPr>
          <w:rFonts w:hint="eastAsia" w:cs="MS Mincho" w:asciiTheme="majorEastAsia" w:hAnsiTheme="majorEastAsia" w:eastAsiaTheme="majorEastAsia"/>
          <w:kern w:val="0"/>
          <w:szCs w:val="21"/>
          <w:lang w:val="en-GB" w:eastAsia="zh-TW"/>
        </w:rPr>
        <w:t>、配股或因其他公司行動導致公司已發行股本發生變動或本次發行價發生調整，</w:t>
      </w:r>
      <w:r>
        <w:rPr>
          <w:rFonts w:hint="eastAsia" w:eastAsiaTheme="majorEastAsia"/>
          <w:lang w:eastAsia="zh-TW"/>
        </w:rPr>
        <w:t>華魯投資建議認購A股</w:t>
      </w:r>
      <w:r>
        <w:rPr>
          <w:rFonts w:cs="MS Mincho" w:asciiTheme="majorEastAsia" w:hAnsiTheme="majorEastAsia" w:eastAsiaTheme="majorEastAsia"/>
          <w:kern w:val="0"/>
          <w:szCs w:val="21"/>
          <w:lang w:val="en-GB" w:eastAsia="zh-TW"/>
        </w:rPr>
        <w:t>數量</w:t>
      </w:r>
      <w:r>
        <w:rPr>
          <w:rFonts w:hint="eastAsia" w:cs="MS Mincho" w:asciiTheme="majorEastAsia" w:hAnsiTheme="majorEastAsia" w:eastAsiaTheme="majorEastAsia"/>
          <w:kern w:val="0"/>
          <w:szCs w:val="21"/>
          <w:lang w:val="en-GB" w:eastAsia="zh-TW"/>
        </w:rPr>
        <w:t>的上限在本次</w:t>
      </w:r>
      <w:r>
        <w:rPr>
          <w:rFonts w:hint="eastAsia" w:eastAsiaTheme="majorEastAsia"/>
          <w:lang w:eastAsia="zh-TW"/>
        </w:rPr>
        <w:t>建議A股發行中</w:t>
      </w:r>
      <w:r>
        <w:rPr>
          <w:rFonts w:hint="eastAsia" w:cs="MS Mincho" w:asciiTheme="majorEastAsia" w:hAnsiTheme="majorEastAsia" w:eastAsiaTheme="majorEastAsia"/>
          <w:kern w:val="0"/>
          <w:szCs w:val="21"/>
          <w:lang w:val="en-GB" w:eastAsia="zh-TW"/>
        </w:rPr>
        <w:t>則不受該限制</w:t>
      </w:r>
      <w:r>
        <w:rPr>
          <w:rFonts w:hint="eastAsia" w:eastAsiaTheme="majorEastAsia"/>
          <w:lang w:eastAsia="zh-TW"/>
        </w:rPr>
        <w:t>，</w:t>
      </w:r>
      <w:r>
        <w:rPr>
          <w:rStyle w:val="8"/>
          <w:rFonts w:hint="eastAsia" w:cs="Microsoft JhengHei" w:asciiTheme="majorEastAsia" w:hAnsiTheme="majorEastAsia" w:eastAsiaTheme="majorEastAsia"/>
          <w:i w:val="0"/>
          <w:iCs w:val="0"/>
          <w:color w:val="000000" w:themeColor="text1"/>
          <w:szCs w:val="21"/>
          <w:shd w:val="clear" w:color="auto" w:fill="FFFFFF"/>
          <w:lang w:eastAsia="zh-TW"/>
          <w14:textFill>
            <w14:solidFill>
              <w14:schemeClr w14:val="tx1"/>
            </w14:solidFill>
          </w14:textFill>
        </w:rPr>
        <w:t>並</w:t>
      </w:r>
      <w:r>
        <w:rPr>
          <w:rFonts w:cs="MS Mincho" w:asciiTheme="majorEastAsia" w:hAnsiTheme="majorEastAsia" w:eastAsiaTheme="majorEastAsia"/>
          <w:kern w:val="0"/>
          <w:szCs w:val="21"/>
          <w:lang w:val="en-GB" w:eastAsia="zh-TW"/>
        </w:rPr>
        <w:t>將</w:t>
      </w:r>
      <w:r>
        <w:rPr>
          <w:rFonts w:hint="eastAsia" w:cs="MS Mincho" w:asciiTheme="majorEastAsia" w:hAnsiTheme="majorEastAsia" w:eastAsiaTheme="majorEastAsia"/>
          <w:kern w:val="0"/>
          <w:szCs w:val="21"/>
          <w:lang w:val="en-GB" w:eastAsia="zh-TW"/>
        </w:rPr>
        <w:t>按照</w:t>
      </w:r>
      <w:r>
        <w:rPr>
          <w:rFonts w:hint="eastAsia" w:asciiTheme="majorEastAsia" w:hAnsiTheme="majorEastAsia" w:eastAsiaTheme="majorEastAsia"/>
          <w:kern w:val="0"/>
          <w:szCs w:val="21"/>
          <w:lang w:eastAsia="zh-TW"/>
        </w:rPr>
        <w:t>發行價</w:t>
      </w:r>
      <w:r>
        <w:rPr>
          <w:rFonts w:hint="eastAsia" w:eastAsiaTheme="majorEastAsia"/>
          <w:lang w:eastAsia="zh-TW"/>
        </w:rPr>
        <w:t>調整後的發行價</w:t>
      </w:r>
      <w:r>
        <w:rPr>
          <w:rFonts w:hint="eastAsia" w:cs="MS Mincho" w:asciiTheme="majorEastAsia" w:hAnsiTheme="majorEastAsia" w:eastAsiaTheme="majorEastAsia"/>
          <w:kern w:val="0"/>
          <w:szCs w:val="21"/>
          <w:lang w:val="en-GB" w:eastAsia="zh-TW"/>
        </w:rPr>
        <w:t>作</w:t>
      </w:r>
      <w:r>
        <w:rPr>
          <w:rFonts w:cs="MS Mincho" w:asciiTheme="majorEastAsia" w:hAnsiTheme="majorEastAsia" w:eastAsiaTheme="majorEastAsia"/>
          <w:kern w:val="0"/>
          <w:szCs w:val="21"/>
          <w:lang w:val="en-GB" w:eastAsia="zh-TW"/>
        </w:rPr>
        <w:t>相應調整</w:t>
      </w:r>
      <w:r>
        <w:rPr>
          <w:rFonts w:hint="eastAsia" w:eastAsiaTheme="majorEastAsia"/>
          <w:lang w:eastAsia="zh-TW"/>
        </w:rPr>
        <w:t>（</w:t>
      </w:r>
      <w:r>
        <w:rPr>
          <w:rFonts w:eastAsiaTheme="majorEastAsia"/>
          <w:lang w:eastAsia="zh-TW"/>
        </w:rPr>
        <w:t>“</w:t>
      </w:r>
      <w:r>
        <w:rPr>
          <w:rFonts w:hint="eastAsia" w:eastAsiaTheme="majorEastAsia"/>
          <w:b/>
          <w:bCs/>
          <w:lang w:eastAsia="zh-TW"/>
        </w:rPr>
        <w:t>發行數量調整</w:t>
      </w:r>
      <w:r>
        <w:rPr>
          <w:rFonts w:eastAsiaTheme="majorEastAsia"/>
          <w:lang w:eastAsia="zh-TW"/>
        </w:rPr>
        <w:t>”</w:t>
      </w:r>
      <w:r>
        <w:rPr>
          <w:rFonts w:hint="eastAsia" w:eastAsiaTheme="majorEastAsia"/>
          <w:lang w:eastAsia="zh-TW"/>
        </w:rPr>
        <w:t>，連同</w:t>
      </w:r>
      <w:r>
        <w:rPr>
          <w:rFonts w:hint="eastAsia" w:eastAsiaTheme="majorEastAsia"/>
          <w:bCs/>
          <w:lang w:eastAsia="zh-TW"/>
        </w:rPr>
        <w:t>發行</w:t>
      </w:r>
      <w:r>
        <w:rPr>
          <w:rFonts w:hint="eastAsia" w:eastAsiaTheme="majorEastAsia"/>
          <w:lang w:eastAsia="zh-TW"/>
        </w:rPr>
        <w:t>價</w:t>
      </w:r>
      <w:r>
        <w:rPr>
          <w:rFonts w:hint="eastAsia" w:eastAsiaTheme="majorEastAsia"/>
          <w:bCs/>
          <w:lang w:eastAsia="zh-TW"/>
        </w:rPr>
        <w:t>調整</w:t>
      </w:r>
      <w:r>
        <w:rPr>
          <w:rFonts w:hint="eastAsia" w:eastAsiaTheme="majorEastAsia"/>
          <w:lang w:eastAsia="zh-TW"/>
        </w:rPr>
        <w:t>，</w:t>
      </w:r>
      <w:r>
        <w:rPr>
          <w:rFonts w:eastAsiaTheme="majorEastAsia"/>
          <w:lang w:eastAsia="zh-TW"/>
        </w:rPr>
        <w:t>“</w:t>
      </w:r>
      <w:r>
        <w:rPr>
          <w:rFonts w:hint="eastAsia" w:eastAsiaTheme="majorEastAsia"/>
          <w:b/>
          <w:lang w:eastAsia="zh-TW"/>
        </w:rPr>
        <w:t>該等</w:t>
      </w:r>
      <w:r>
        <w:rPr>
          <w:rFonts w:hint="eastAsia" w:eastAsiaTheme="majorEastAsia"/>
          <w:b/>
          <w:bCs/>
          <w:lang w:eastAsia="zh-TW"/>
        </w:rPr>
        <w:t>調整</w:t>
      </w:r>
      <w:r>
        <w:rPr>
          <w:rFonts w:eastAsiaTheme="majorEastAsia"/>
          <w:lang w:eastAsia="zh-TW"/>
        </w:rPr>
        <w:t>”</w:t>
      </w:r>
      <w:r>
        <w:rPr>
          <w:rFonts w:hint="eastAsia" w:eastAsiaTheme="majorEastAsia"/>
          <w:lang w:eastAsia="zh-TW"/>
        </w:rPr>
        <w:t>）</w:t>
      </w:r>
      <w:r>
        <w:rPr>
          <w:rFonts w:cs="MS Mincho" w:asciiTheme="majorEastAsia" w:hAnsiTheme="majorEastAsia" w:eastAsiaTheme="majorEastAsia"/>
          <w:kern w:val="0"/>
          <w:szCs w:val="21"/>
          <w:lang w:val="en-GB" w:eastAsia="zh-TW"/>
        </w:rPr>
        <w:t>。</w:t>
      </w:r>
    </w:p>
    <w:p>
      <w:pPr>
        <w:widowControl/>
        <w:spacing w:line="280" w:lineRule="exact"/>
        <w:jc w:val="left"/>
        <w:rPr>
          <w:rFonts w:cs="MS Mincho" w:asciiTheme="majorEastAsia" w:hAnsiTheme="majorEastAsia" w:eastAsiaTheme="majorEastAsia"/>
          <w:kern w:val="0"/>
          <w:szCs w:val="21"/>
          <w:lang w:val="en-GB" w:eastAsia="zh-TW"/>
        </w:rPr>
      </w:pPr>
    </w:p>
    <w:p>
      <w:pPr>
        <w:spacing w:line="280" w:lineRule="exact"/>
        <w:jc w:val="left"/>
        <w:rPr>
          <w:rFonts w:asciiTheme="majorEastAsia" w:hAnsiTheme="majorEastAsia" w:eastAsiaTheme="majorEastAsia"/>
          <w:b/>
          <w:szCs w:val="21"/>
          <w:lang w:eastAsia="zh-TW"/>
        </w:rPr>
      </w:pPr>
      <w:r>
        <w:rPr>
          <w:rFonts w:hint="eastAsia" w:eastAsiaTheme="majorEastAsia"/>
          <w:lang w:eastAsia="zh-TW"/>
        </w:rPr>
        <w:t>本公司對本次建議A股發行進行該等調整前，</w:t>
      </w:r>
      <w:r>
        <w:rPr>
          <w:rFonts w:eastAsiaTheme="majorEastAsia"/>
          <w:szCs w:val="21"/>
          <w:lang w:eastAsia="zh-TW"/>
        </w:rPr>
        <w:t>A</w:t>
      </w:r>
      <w:r>
        <w:rPr>
          <w:rFonts w:hint="eastAsia" w:asciiTheme="majorEastAsia" w:hAnsiTheme="majorEastAsia" w:eastAsiaTheme="majorEastAsia"/>
          <w:szCs w:val="21"/>
          <w:lang w:eastAsia="zh-TW"/>
        </w:rPr>
        <w:t>股每股</w:t>
      </w:r>
      <w:r>
        <w:rPr>
          <w:rFonts w:hint="eastAsia" w:eastAsiaTheme="majorEastAsia"/>
          <w:lang w:eastAsia="zh-TW"/>
        </w:rPr>
        <w:t>發行價及具體華魯投資</w:t>
      </w:r>
      <w:r>
        <w:rPr>
          <w:rFonts w:hint="eastAsia" w:asciiTheme="majorEastAsia" w:hAnsiTheme="majorEastAsia" w:eastAsiaTheme="majorEastAsia"/>
          <w:szCs w:val="21"/>
          <w:lang w:eastAsia="zh-TW"/>
        </w:rPr>
        <w:t>認購</w:t>
      </w:r>
      <w:r>
        <w:rPr>
          <w:rFonts w:eastAsiaTheme="majorEastAsia"/>
          <w:szCs w:val="21"/>
          <w:lang w:eastAsia="zh-TW"/>
        </w:rPr>
        <w:t>A</w:t>
      </w:r>
      <w:r>
        <w:rPr>
          <w:rFonts w:hint="eastAsia" w:asciiTheme="majorEastAsia" w:hAnsiTheme="majorEastAsia" w:eastAsiaTheme="majorEastAsia"/>
          <w:szCs w:val="21"/>
          <w:lang w:eastAsia="zh-TW"/>
        </w:rPr>
        <w:t>股數量</w:t>
      </w:r>
      <w:r>
        <w:rPr>
          <w:rFonts w:hint="eastAsia" w:eastAsiaTheme="majorEastAsia"/>
          <w:lang w:eastAsia="zh-TW"/>
        </w:rPr>
        <w:t>情況如下：</w:t>
      </w:r>
    </w:p>
    <w:p>
      <w:pPr>
        <w:spacing w:line="280" w:lineRule="exact"/>
        <w:rPr>
          <w:rFonts w:eastAsiaTheme="minorEastAsia"/>
          <w:sz w:val="22"/>
          <w:szCs w:val="22"/>
          <w:lang w:eastAsia="zh-TW"/>
        </w:rPr>
      </w:pPr>
    </w:p>
    <w:tbl>
      <w:tblPr>
        <w:tblStyle w:val="12"/>
        <w:tblW w:w="68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90"/>
        <w:gridCol w:w="4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90" w:type="dxa"/>
          </w:tcPr>
          <w:p>
            <w:pPr>
              <w:spacing w:line="280" w:lineRule="exact"/>
              <w:jc w:val="center"/>
              <w:rPr>
                <w:rFonts w:eastAsia="DengXian"/>
                <w:b/>
                <w:sz w:val="22"/>
                <w:szCs w:val="22"/>
              </w:rPr>
            </w:pPr>
            <w:r>
              <w:rPr>
                <w:rFonts w:hint="eastAsia" w:eastAsiaTheme="majorEastAsia"/>
                <w:b/>
                <w:lang w:eastAsia="zh-TW"/>
              </w:rPr>
              <w:t>A股每股發行價</w:t>
            </w:r>
          </w:p>
        </w:tc>
        <w:tc>
          <w:tcPr>
            <w:tcW w:w="4050" w:type="dxa"/>
          </w:tcPr>
          <w:p>
            <w:pPr>
              <w:spacing w:line="280" w:lineRule="exact"/>
              <w:jc w:val="center"/>
              <w:rPr>
                <w:rFonts w:asciiTheme="majorEastAsia" w:hAnsiTheme="majorEastAsia" w:eastAsiaTheme="majorEastAsia"/>
                <w:b/>
                <w:szCs w:val="21"/>
              </w:rPr>
            </w:pPr>
            <w:r>
              <w:rPr>
                <w:rFonts w:eastAsiaTheme="majorEastAsia"/>
                <w:b/>
                <w:szCs w:val="21"/>
                <w:lang w:eastAsia="zh-TW"/>
              </w:rPr>
              <w:t>A</w:t>
            </w:r>
            <w:r>
              <w:rPr>
                <w:rFonts w:hint="eastAsia" w:asciiTheme="majorEastAsia" w:hAnsiTheme="majorEastAsia" w:eastAsiaTheme="majorEastAsia"/>
                <w:b/>
                <w:szCs w:val="21"/>
                <w:lang w:eastAsia="zh-TW"/>
              </w:rPr>
              <w:t>股認購數量</w:t>
            </w:r>
          </w:p>
          <w:p>
            <w:pPr>
              <w:spacing w:line="280" w:lineRule="exact"/>
              <w:jc w:val="center"/>
              <w:rPr>
                <w:rFonts w:eastAsia="DFKai-SB"/>
                <w:b/>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2790" w:type="dxa"/>
          </w:tcPr>
          <w:p>
            <w:pPr>
              <w:spacing w:line="280" w:lineRule="exact"/>
              <w:jc w:val="center"/>
              <w:rPr>
                <w:rFonts w:eastAsia="DFKai-SB"/>
                <w:sz w:val="22"/>
                <w:szCs w:val="22"/>
              </w:rPr>
            </w:pPr>
            <w:r>
              <w:rPr>
                <w:rFonts w:hint="eastAsia" w:asciiTheme="majorEastAsia" w:hAnsiTheme="majorEastAsia" w:eastAsiaTheme="majorEastAsia"/>
                <w:szCs w:val="21"/>
              </w:rPr>
              <w:t>人民幣</w:t>
            </w:r>
            <w:r>
              <w:rPr>
                <w:rFonts w:eastAsia="DFKai-SB"/>
                <w:szCs w:val="21"/>
              </w:rPr>
              <w:t>6.89</w:t>
            </w:r>
            <w:r>
              <w:rPr>
                <w:rFonts w:hint="eastAsia" w:asciiTheme="majorEastAsia" w:hAnsiTheme="majorEastAsia" w:eastAsiaTheme="majorEastAsia"/>
                <w:szCs w:val="21"/>
              </w:rPr>
              <w:t>元</w:t>
            </w:r>
          </w:p>
        </w:tc>
        <w:tc>
          <w:tcPr>
            <w:tcW w:w="4050" w:type="dxa"/>
          </w:tcPr>
          <w:p>
            <w:pPr>
              <w:spacing w:line="280" w:lineRule="exact"/>
              <w:jc w:val="center"/>
              <w:rPr>
                <w:rFonts w:eastAsia="DFKai-SB"/>
                <w:szCs w:val="21"/>
              </w:rPr>
            </w:pPr>
            <w:r>
              <w:rPr>
                <w:rFonts w:eastAsia="DFKai-SB"/>
                <w:szCs w:val="21"/>
              </w:rPr>
              <w:t>36,284,470</w:t>
            </w:r>
          </w:p>
        </w:tc>
      </w:tr>
    </w:tbl>
    <w:p>
      <w:pPr>
        <w:widowControl/>
        <w:spacing w:line="280" w:lineRule="exact"/>
        <w:jc w:val="left"/>
        <w:rPr>
          <w:rFonts w:ascii="MS Mincho" w:hAnsi="MS Mincho" w:eastAsia="MS Mincho" w:cs="MS Mincho"/>
          <w:kern w:val="0"/>
          <w:sz w:val="24"/>
          <w:lang w:val="en-GB" w:eastAsia="zh-TW"/>
        </w:rPr>
      </w:pPr>
    </w:p>
    <w:p>
      <w:pPr>
        <w:pStyle w:val="13"/>
        <w:numPr>
          <w:ilvl w:val="0"/>
          <w:numId w:val="1"/>
        </w:numPr>
        <w:spacing w:line="280" w:lineRule="exact"/>
        <w:ind w:hanging="780"/>
        <w:rPr>
          <w:rFonts w:eastAsiaTheme="majorEastAsia"/>
          <w:b/>
          <w:lang w:eastAsia="zh-TW"/>
        </w:rPr>
      </w:pPr>
      <w:r>
        <w:rPr>
          <w:rFonts w:hint="eastAsia" w:eastAsiaTheme="majorEastAsia"/>
          <w:b/>
          <w:lang w:eastAsia="zh-TW"/>
        </w:rPr>
        <w:t>派發20</w:t>
      </w:r>
      <w:r>
        <w:rPr>
          <w:rFonts w:eastAsiaTheme="majorEastAsia"/>
          <w:b/>
          <w:lang w:eastAsia="zh-TW"/>
        </w:rPr>
        <w:t>20</w:t>
      </w:r>
      <w:r>
        <w:rPr>
          <w:rFonts w:hint="eastAsia" w:eastAsiaTheme="majorEastAsia"/>
          <w:b/>
          <w:lang w:eastAsia="zh-TW"/>
        </w:rPr>
        <w:t>年的末期股息</w:t>
      </w:r>
    </w:p>
    <w:p>
      <w:pPr>
        <w:pStyle w:val="13"/>
        <w:spacing w:line="280" w:lineRule="exact"/>
        <w:ind w:left="780"/>
        <w:rPr>
          <w:rFonts w:eastAsiaTheme="majorEastAsia"/>
          <w:lang w:eastAsia="zh-TW"/>
        </w:rPr>
      </w:pPr>
    </w:p>
    <w:p>
      <w:pPr>
        <w:spacing w:line="280" w:lineRule="exact"/>
        <w:rPr>
          <w:rFonts w:eastAsiaTheme="majorEastAsia"/>
          <w:lang w:eastAsia="zh-TW"/>
        </w:rPr>
      </w:pPr>
      <w:r>
        <w:rPr>
          <w:rFonts w:hint="eastAsia" w:cs="MS Mincho" w:asciiTheme="majorEastAsia" w:hAnsiTheme="majorEastAsia" w:eastAsiaTheme="majorEastAsia"/>
          <w:kern w:val="0"/>
          <w:szCs w:val="21"/>
          <w:lang w:val="en-GB" w:eastAsia="zh-TW"/>
        </w:rPr>
        <w:t>誠如</w:t>
      </w:r>
      <w:r>
        <w:rPr>
          <w:rFonts w:hint="eastAsia" w:eastAsiaTheme="majorEastAsia"/>
          <w:lang w:eastAsia="zh-TW"/>
        </w:rPr>
        <w:t>日期為2021年3月</w:t>
      </w:r>
      <w:r>
        <w:rPr>
          <w:rFonts w:eastAsiaTheme="majorEastAsia"/>
          <w:lang w:eastAsia="zh-TW"/>
        </w:rPr>
        <w:t>31</w:t>
      </w:r>
      <w:r>
        <w:rPr>
          <w:rFonts w:hint="eastAsia" w:eastAsiaTheme="majorEastAsia"/>
          <w:lang w:eastAsia="zh-TW"/>
        </w:rPr>
        <w:t>日的公告</w:t>
      </w:r>
      <w:r>
        <w:rPr>
          <w:rFonts w:hint="eastAsia" w:cs="MS Mincho" w:asciiTheme="majorEastAsia" w:hAnsiTheme="majorEastAsia" w:eastAsiaTheme="majorEastAsia"/>
          <w:kern w:val="0"/>
          <w:szCs w:val="21"/>
          <w:lang w:val="en-GB" w:eastAsia="zh-TW"/>
        </w:rPr>
        <w:t>中所披露</w:t>
      </w:r>
      <w:r>
        <w:rPr>
          <w:rFonts w:hint="eastAsia" w:eastAsiaTheme="majorEastAsia"/>
          <w:lang w:eastAsia="zh-TW"/>
        </w:rPr>
        <w:t>，內容有關</w:t>
      </w:r>
      <w:r>
        <w:rPr>
          <w:rFonts w:hint="eastAsia" w:asciiTheme="majorEastAsia" w:hAnsiTheme="majorEastAsia" w:eastAsiaTheme="majorEastAsia"/>
          <w:lang w:eastAsia="zh-TW"/>
        </w:rPr>
        <w:t>截至</w:t>
      </w:r>
      <w:r>
        <w:rPr>
          <w:rFonts w:eastAsiaTheme="majorEastAsia"/>
          <w:lang w:eastAsia="zh-TW"/>
        </w:rPr>
        <w:t>2020</w:t>
      </w:r>
      <w:r>
        <w:rPr>
          <w:rFonts w:hint="eastAsia" w:asciiTheme="majorEastAsia" w:hAnsiTheme="majorEastAsia" w:eastAsiaTheme="majorEastAsia"/>
          <w:lang w:eastAsia="zh-TW"/>
        </w:rPr>
        <w:t>年</w:t>
      </w:r>
      <w:r>
        <w:rPr>
          <w:rFonts w:eastAsiaTheme="majorEastAsia"/>
          <w:lang w:eastAsia="zh-TW"/>
        </w:rPr>
        <w:t>12</w:t>
      </w:r>
      <w:r>
        <w:rPr>
          <w:rFonts w:hint="eastAsia" w:asciiTheme="majorEastAsia" w:hAnsiTheme="majorEastAsia" w:eastAsiaTheme="majorEastAsia"/>
          <w:lang w:eastAsia="zh-TW"/>
        </w:rPr>
        <w:t>月</w:t>
      </w:r>
      <w:r>
        <w:rPr>
          <w:rFonts w:eastAsiaTheme="majorEastAsia"/>
          <w:lang w:eastAsia="zh-TW"/>
        </w:rPr>
        <w:t>31</w:t>
      </w:r>
      <w:r>
        <w:rPr>
          <w:rFonts w:hint="eastAsia" w:asciiTheme="majorEastAsia" w:hAnsiTheme="majorEastAsia" w:eastAsiaTheme="majorEastAsia"/>
          <w:lang w:eastAsia="zh-TW"/>
        </w:rPr>
        <w:t>日止年度的</w:t>
      </w:r>
      <w:r>
        <w:rPr>
          <w:lang w:eastAsia="zh-TW"/>
        </w:rPr>
        <w:t>業</w:t>
      </w:r>
      <w:r>
        <w:rPr>
          <w:rFonts w:hint="eastAsia" w:ascii="PMingLiU" w:hAnsi="PMingLiU" w:eastAsia="PMingLiU" w:cs="PMingLiU"/>
          <w:lang w:eastAsia="zh-TW"/>
        </w:rPr>
        <w:t>績</w:t>
      </w:r>
      <w:r>
        <w:rPr>
          <w:rFonts w:hint="eastAsia" w:eastAsiaTheme="majorEastAsia"/>
          <w:lang w:eastAsia="zh-TW"/>
        </w:rPr>
        <w:t>，本公司建議</w:t>
      </w:r>
      <w:r>
        <w:rPr>
          <w:rFonts w:hint="eastAsia" w:asciiTheme="majorEastAsia" w:hAnsiTheme="majorEastAsia" w:eastAsiaTheme="majorEastAsia"/>
          <w:lang w:eastAsia="zh-TW"/>
        </w:rPr>
        <w:t>向股東派發每股現金紅利人民幣</w:t>
      </w:r>
      <w:r>
        <w:rPr>
          <w:rFonts w:eastAsiaTheme="majorEastAsia"/>
          <w:lang w:eastAsia="zh-TW"/>
        </w:rPr>
        <w:t>0.15</w:t>
      </w:r>
      <w:r>
        <w:rPr>
          <w:rFonts w:hint="eastAsia" w:asciiTheme="majorEastAsia" w:hAnsiTheme="majorEastAsia" w:eastAsiaTheme="majorEastAsia"/>
          <w:lang w:eastAsia="zh-TW"/>
        </w:rPr>
        <w:t>元（含稅）（“</w:t>
      </w:r>
      <w:r>
        <w:rPr>
          <w:rFonts w:hint="eastAsia" w:eastAsiaTheme="majorEastAsia"/>
          <w:b/>
          <w:lang w:eastAsia="zh-TW"/>
        </w:rPr>
        <w:t>2020年度利潤分配方案</w:t>
      </w:r>
      <w:r>
        <w:rPr>
          <w:rFonts w:hint="eastAsia" w:asciiTheme="majorEastAsia" w:hAnsiTheme="majorEastAsia" w:eastAsiaTheme="majorEastAsia"/>
          <w:lang w:eastAsia="zh-TW"/>
        </w:rPr>
        <w:t>”）</w:t>
      </w:r>
      <w:r>
        <w:rPr>
          <w:rFonts w:cs="MS Mincho" w:asciiTheme="majorEastAsia" w:hAnsiTheme="majorEastAsia" w:eastAsiaTheme="majorEastAsia"/>
          <w:kern w:val="0"/>
          <w:szCs w:val="21"/>
          <w:lang w:val="en-GB" w:eastAsia="zh-TW"/>
        </w:rPr>
        <w:t>。</w:t>
      </w:r>
      <w:r>
        <w:rPr>
          <w:rFonts w:hint="eastAsia" w:cs="MS Mincho" w:asciiTheme="majorEastAsia" w:hAnsiTheme="majorEastAsia" w:eastAsiaTheme="majorEastAsia"/>
          <w:kern w:val="0"/>
          <w:szCs w:val="21"/>
          <w:lang w:val="en-GB" w:eastAsia="zh-TW"/>
        </w:rPr>
        <w:t>於投票表決結果公告中所披露</w:t>
      </w:r>
      <w:r>
        <w:rPr>
          <w:rFonts w:hint="eastAsia" w:eastAsiaTheme="majorEastAsia"/>
          <w:lang w:eastAsia="zh-TW"/>
        </w:rPr>
        <w:t>，股東於2</w:t>
      </w:r>
      <w:r>
        <w:rPr>
          <w:rFonts w:eastAsiaTheme="majorEastAsia"/>
          <w:lang w:eastAsia="zh-TW"/>
        </w:rPr>
        <w:t>021</w:t>
      </w:r>
      <w:r>
        <w:rPr>
          <w:rFonts w:hint="eastAsia" w:eastAsiaTheme="majorEastAsia"/>
          <w:lang w:eastAsia="zh-TW"/>
        </w:rPr>
        <w:t>年</w:t>
      </w:r>
      <w:r>
        <w:rPr>
          <w:rFonts w:eastAsiaTheme="majorEastAsia"/>
          <w:lang w:eastAsia="zh-TW"/>
        </w:rPr>
        <w:t>6</w:t>
      </w:r>
      <w:r>
        <w:rPr>
          <w:rFonts w:hint="eastAsia" w:eastAsiaTheme="majorEastAsia"/>
          <w:lang w:eastAsia="zh-TW"/>
        </w:rPr>
        <w:t>月3</w:t>
      </w:r>
      <w:r>
        <w:rPr>
          <w:rFonts w:eastAsiaTheme="majorEastAsia"/>
          <w:lang w:eastAsia="zh-TW"/>
        </w:rPr>
        <w:t>0</w:t>
      </w:r>
      <w:r>
        <w:rPr>
          <w:rFonts w:hint="eastAsia" w:eastAsiaTheme="majorEastAsia"/>
          <w:lang w:eastAsia="zh-TW"/>
        </w:rPr>
        <w:t>日舉行的股東週年大會審議及批准2020年度利潤分配方案。</w:t>
      </w:r>
    </w:p>
    <w:p>
      <w:pPr>
        <w:spacing w:line="280" w:lineRule="exact"/>
        <w:rPr>
          <w:rFonts w:eastAsiaTheme="majorEastAsia"/>
          <w:lang w:eastAsia="zh-TW"/>
        </w:rPr>
      </w:pPr>
    </w:p>
    <w:p>
      <w:pPr>
        <w:spacing w:line="280" w:lineRule="exact"/>
        <w:rPr>
          <w:rFonts w:eastAsiaTheme="majorEastAsia"/>
          <w:lang w:eastAsia="zh-TW"/>
        </w:rPr>
      </w:pPr>
      <w:r>
        <w:rPr>
          <w:rFonts w:hint="eastAsia" w:eastAsiaTheme="majorEastAsia"/>
          <w:lang w:eastAsia="zh-TW"/>
        </w:rPr>
        <w:t>公司於2021年7月21日發佈海外監管公告，內容有關向A股股東實施2020年度利潤分配方案。於該海外監管公告</w:t>
      </w:r>
      <w:r>
        <w:rPr>
          <w:rFonts w:hint="eastAsia" w:cs="MS Mincho" w:asciiTheme="majorEastAsia" w:hAnsiTheme="majorEastAsia" w:eastAsiaTheme="majorEastAsia"/>
          <w:kern w:val="0"/>
          <w:szCs w:val="21"/>
          <w:lang w:val="en-GB" w:eastAsia="zh-TW"/>
        </w:rPr>
        <w:t>中</w:t>
      </w:r>
      <w:r>
        <w:rPr>
          <w:rFonts w:hint="eastAsia" w:eastAsiaTheme="majorEastAsia"/>
          <w:lang w:eastAsia="zh-TW"/>
        </w:rPr>
        <w:t>，就A股股東而言，確定有權獲發2020年末期股息的股權登記日、與2020年末期股息有關的除息日及現金紅利發放日分別確定為2021年7月29日、2021年7月30日及2021年7月30日。</w:t>
      </w:r>
    </w:p>
    <w:p>
      <w:pPr>
        <w:spacing w:line="280" w:lineRule="exact"/>
        <w:rPr>
          <w:rFonts w:eastAsiaTheme="majorEastAsia"/>
          <w:lang w:eastAsia="zh-TW"/>
        </w:rPr>
      </w:pPr>
    </w:p>
    <w:p>
      <w:pPr>
        <w:pStyle w:val="13"/>
        <w:numPr>
          <w:ilvl w:val="0"/>
          <w:numId w:val="1"/>
        </w:numPr>
        <w:spacing w:line="280" w:lineRule="exact"/>
        <w:ind w:hanging="780"/>
        <w:rPr>
          <w:rFonts w:eastAsiaTheme="majorEastAsia"/>
          <w:b/>
          <w:lang w:eastAsia="zh-TW"/>
        </w:rPr>
      </w:pPr>
      <w:r>
        <w:rPr>
          <w:rFonts w:hint="eastAsia" w:eastAsiaTheme="majorEastAsia"/>
          <w:b/>
          <w:bCs/>
          <w:lang w:eastAsia="zh-TW"/>
        </w:rPr>
        <w:t>建議A股發行的發行價和發行數量</w:t>
      </w:r>
      <w:r>
        <w:rPr>
          <w:rFonts w:hint="eastAsia" w:eastAsiaTheme="majorEastAsia"/>
          <w:b/>
          <w:lang w:eastAsia="zh-TW"/>
        </w:rPr>
        <w:t>的調整</w:t>
      </w:r>
    </w:p>
    <w:p>
      <w:pPr>
        <w:spacing w:line="280" w:lineRule="exact"/>
        <w:rPr>
          <w:rFonts w:eastAsiaTheme="majorEastAsia"/>
          <w:b/>
          <w:lang w:eastAsia="zh-TW"/>
        </w:rPr>
      </w:pPr>
    </w:p>
    <w:p>
      <w:pPr>
        <w:widowControl/>
        <w:spacing w:line="280" w:lineRule="exact"/>
        <w:jc w:val="left"/>
        <w:rPr>
          <w:rFonts w:eastAsia="Times New Roman"/>
          <w:kern w:val="0"/>
          <w:sz w:val="24"/>
          <w:lang w:val="en-GB" w:eastAsia="zh-TW"/>
        </w:rPr>
      </w:pPr>
      <w:r>
        <w:rPr>
          <w:rFonts w:hint="eastAsia" w:eastAsiaTheme="majorEastAsia"/>
          <w:lang w:eastAsia="zh-TW"/>
        </w:rPr>
        <w:t>於本公告日期，本公司2020年度利潤分配方案已實施完畢。</w:t>
      </w:r>
      <w:r>
        <w:rPr>
          <w:rFonts w:hint="eastAsia" w:cs="MS Mincho" w:asciiTheme="majorEastAsia" w:hAnsiTheme="majorEastAsia" w:eastAsiaTheme="majorEastAsia"/>
          <w:color w:val="4D5156"/>
          <w:kern w:val="0"/>
          <w:szCs w:val="21"/>
          <w:shd w:val="clear" w:color="auto" w:fill="FFFFFF"/>
          <w:lang w:val="en-GB" w:eastAsia="zh-TW"/>
        </w:rPr>
        <w:t>因此</w:t>
      </w:r>
      <w:r>
        <w:rPr>
          <w:rFonts w:hint="eastAsia" w:eastAsiaTheme="majorEastAsia"/>
          <w:lang w:eastAsia="zh-TW"/>
        </w:rPr>
        <w:t>，按照該等調整，建議A股發行的發行底價和發行數量上限作如下調整：</w:t>
      </w:r>
    </w:p>
    <w:p>
      <w:pPr>
        <w:spacing w:line="280" w:lineRule="exact"/>
        <w:rPr>
          <w:rFonts w:eastAsiaTheme="majorEastAsia"/>
          <w:lang w:eastAsia="zh-TW"/>
        </w:rPr>
      </w:pPr>
    </w:p>
    <w:p>
      <w:pPr>
        <w:pStyle w:val="13"/>
        <w:numPr>
          <w:ilvl w:val="0"/>
          <w:numId w:val="2"/>
        </w:numPr>
        <w:spacing w:line="280" w:lineRule="exact"/>
        <w:ind w:hanging="720"/>
        <w:rPr>
          <w:rFonts w:eastAsiaTheme="majorEastAsia"/>
          <w:b/>
          <w:lang w:eastAsia="zh-TW"/>
        </w:rPr>
      </w:pPr>
      <w:r>
        <w:rPr>
          <w:rFonts w:hint="eastAsia" w:eastAsiaTheme="majorEastAsia"/>
          <w:b/>
          <w:lang w:eastAsia="zh-TW"/>
        </w:rPr>
        <w:t>發行價的調整</w:t>
      </w:r>
    </w:p>
    <w:p>
      <w:pPr>
        <w:spacing w:line="280" w:lineRule="exact"/>
        <w:rPr>
          <w:rFonts w:eastAsiaTheme="majorEastAsia"/>
          <w:lang w:eastAsia="zh-TW"/>
        </w:rPr>
      </w:pPr>
    </w:p>
    <w:p>
      <w:pPr>
        <w:spacing w:line="280" w:lineRule="exact"/>
        <w:rPr>
          <w:rFonts w:eastAsiaTheme="majorEastAsia"/>
          <w:lang w:eastAsia="zh-TW"/>
        </w:rPr>
      </w:pPr>
      <w:r>
        <w:rPr>
          <w:rFonts w:hint="eastAsia" w:eastAsiaTheme="majorEastAsia"/>
          <w:lang w:eastAsia="zh-TW"/>
        </w:rPr>
        <w:t>按照該等調整，發行價由人民幣</w:t>
      </w:r>
      <w:r>
        <w:rPr>
          <w:rFonts w:eastAsiaTheme="majorEastAsia"/>
          <w:szCs w:val="21"/>
          <w:lang w:eastAsia="zh-TW"/>
        </w:rPr>
        <w:t>A</w:t>
      </w:r>
      <w:r>
        <w:rPr>
          <w:rFonts w:hint="eastAsia" w:asciiTheme="majorEastAsia" w:hAnsiTheme="majorEastAsia" w:eastAsiaTheme="majorEastAsia"/>
          <w:szCs w:val="21"/>
          <w:lang w:eastAsia="zh-TW"/>
        </w:rPr>
        <w:t>股每股</w:t>
      </w:r>
      <w:r>
        <w:rPr>
          <w:rFonts w:hint="eastAsia" w:eastAsiaTheme="majorEastAsia"/>
          <w:lang w:eastAsia="zh-TW"/>
        </w:rPr>
        <w:t>人民幣6</w:t>
      </w:r>
      <w:r>
        <w:rPr>
          <w:rFonts w:eastAsiaTheme="majorEastAsia"/>
          <w:lang w:eastAsia="zh-TW"/>
        </w:rPr>
        <w:t>.89</w:t>
      </w:r>
      <w:r>
        <w:rPr>
          <w:rFonts w:hint="eastAsia" w:eastAsiaTheme="majorEastAsia"/>
          <w:lang w:eastAsia="zh-TW"/>
        </w:rPr>
        <w:t>元，調整為</w:t>
      </w:r>
      <w:r>
        <w:rPr>
          <w:rFonts w:eastAsiaTheme="majorEastAsia"/>
          <w:szCs w:val="21"/>
          <w:lang w:eastAsia="zh-TW"/>
        </w:rPr>
        <w:t>A</w:t>
      </w:r>
      <w:r>
        <w:rPr>
          <w:rFonts w:hint="eastAsia" w:asciiTheme="majorEastAsia" w:hAnsiTheme="majorEastAsia" w:eastAsiaTheme="majorEastAsia"/>
          <w:szCs w:val="21"/>
          <w:lang w:eastAsia="zh-TW"/>
        </w:rPr>
        <w:t>股每股</w:t>
      </w:r>
      <w:r>
        <w:rPr>
          <w:rFonts w:hint="eastAsia" w:eastAsiaTheme="majorEastAsia"/>
          <w:lang w:eastAsia="zh-TW"/>
        </w:rPr>
        <w:t>人民幣6</w:t>
      </w:r>
      <w:r>
        <w:rPr>
          <w:rFonts w:eastAsiaTheme="majorEastAsia"/>
          <w:lang w:eastAsia="zh-TW"/>
        </w:rPr>
        <w:t>.74</w:t>
      </w:r>
      <w:r>
        <w:rPr>
          <w:rFonts w:hint="eastAsia" w:eastAsiaTheme="majorEastAsia"/>
          <w:lang w:eastAsia="zh-TW"/>
        </w:rPr>
        <w:t>元，如下：</w:t>
      </w:r>
    </w:p>
    <w:p>
      <w:pPr>
        <w:spacing w:line="280" w:lineRule="exact"/>
        <w:rPr>
          <w:rFonts w:eastAsiaTheme="majorEastAsia"/>
          <w:lang w:eastAsia="zh-TW"/>
        </w:rPr>
      </w:pPr>
    </w:p>
    <w:p>
      <w:pPr>
        <w:spacing w:line="280" w:lineRule="exact"/>
        <w:ind w:left="720" w:firstLine="1800"/>
        <w:rPr>
          <w:rFonts w:eastAsia="DFKai-SB"/>
          <w:sz w:val="22"/>
          <w:szCs w:val="22"/>
          <w:lang w:eastAsia="zh-TW"/>
        </w:rPr>
      </w:pPr>
      <w:r>
        <w:rPr>
          <w:rFonts w:eastAsia="DFKai-SB"/>
          <w:sz w:val="22"/>
          <w:szCs w:val="22"/>
          <w:lang w:eastAsia="zh-TW"/>
        </w:rPr>
        <w:t xml:space="preserve">P1  </w:t>
      </w:r>
      <w:r>
        <w:rPr>
          <w:rFonts w:eastAsia="DFKai-SB"/>
          <w:sz w:val="22"/>
          <w:szCs w:val="22"/>
          <w:lang w:eastAsia="zh-TW"/>
        </w:rPr>
        <w:tab/>
      </w:r>
      <w:r>
        <w:rPr>
          <w:rFonts w:eastAsia="DFKai-SB"/>
          <w:sz w:val="22"/>
          <w:szCs w:val="22"/>
          <w:lang w:eastAsia="zh-TW"/>
        </w:rPr>
        <w:t>=   P0 – D (</w:t>
      </w:r>
      <w:r>
        <w:rPr>
          <w:rFonts w:eastAsiaTheme="majorEastAsia"/>
          <w:szCs w:val="21"/>
          <w:lang w:eastAsia="zh-TW"/>
        </w:rPr>
        <w:t>A</w:t>
      </w:r>
      <w:r>
        <w:rPr>
          <w:rFonts w:hint="eastAsia" w:asciiTheme="majorEastAsia" w:hAnsiTheme="majorEastAsia" w:eastAsiaTheme="majorEastAsia"/>
          <w:szCs w:val="21"/>
          <w:lang w:eastAsia="zh-TW"/>
        </w:rPr>
        <w:t>股每股現金紅利</w:t>
      </w:r>
      <w:r>
        <w:rPr>
          <w:rFonts w:eastAsia="DFKai-SB"/>
          <w:sz w:val="22"/>
          <w:szCs w:val="22"/>
          <w:lang w:eastAsia="zh-TW"/>
        </w:rPr>
        <w:t>)</w:t>
      </w:r>
    </w:p>
    <w:p>
      <w:pPr>
        <w:spacing w:line="280" w:lineRule="exact"/>
        <w:ind w:left="360"/>
        <w:rPr>
          <w:rFonts w:eastAsia="DFKai-SB"/>
          <w:sz w:val="22"/>
          <w:szCs w:val="22"/>
          <w:lang w:eastAsia="zh-TW"/>
        </w:rPr>
      </w:pPr>
      <w:r>
        <w:rPr>
          <w:rFonts w:eastAsia="DFKai-SB"/>
          <w:sz w:val="22"/>
          <w:szCs w:val="22"/>
          <w:lang w:eastAsia="zh-TW"/>
        </w:rPr>
        <w:t xml:space="preserve">                           </w:t>
      </w:r>
      <w:r>
        <w:rPr>
          <w:rFonts w:eastAsia="DFKai-SB"/>
          <w:sz w:val="22"/>
          <w:szCs w:val="22"/>
          <w:lang w:eastAsia="zh-TW"/>
        </w:rPr>
        <w:tab/>
      </w:r>
      <w:r>
        <w:rPr>
          <w:rFonts w:eastAsia="DFKai-SB"/>
          <w:sz w:val="22"/>
          <w:szCs w:val="22"/>
          <w:lang w:eastAsia="zh-TW"/>
        </w:rPr>
        <w:t xml:space="preserve">=  </w:t>
      </w:r>
      <w:r>
        <w:rPr>
          <w:rFonts w:eastAsia="DFKai-SB"/>
          <w:sz w:val="22"/>
          <w:szCs w:val="22"/>
          <w:lang w:eastAsia="zh-TW"/>
        </w:rPr>
        <w:tab/>
      </w:r>
      <w:r>
        <w:rPr>
          <w:rFonts w:eastAsiaTheme="majorEastAsia"/>
          <w:szCs w:val="21"/>
          <w:lang w:eastAsia="zh-TW"/>
        </w:rPr>
        <w:t>A</w:t>
      </w:r>
      <w:r>
        <w:rPr>
          <w:rFonts w:hint="eastAsia" w:asciiTheme="majorEastAsia" w:hAnsiTheme="majorEastAsia" w:eastAsiaTheme="majorEastAsia"/>
          <w:szCs w:val="21"/>
          <w:lang w:eastAsia="zh-TW"/>
        </w:rPr>
        <w:t>股每股</w:t>
      </w:r>
      <w:r>
        <w:rPr>
          <w:rFonts w:hint="eastAsia" w:eastAsiaTheme="majorEastAsia"/>
          <w:lang w:eastAsia="zh-TW"/>
        </w:rPr>
        <w:t>人民幣6</w:t>
      </w:r>
      <w:r>
        <w:rPr>
          <w:rFonts w:eastAsiaTheme="majorEastAsia"/>
          <w:lang w:eastAsia="zh-TW"/>
        </w:rPr>
        <w:t>.89</w:t>
      </w:r>
      <w:r>
        <w:rPr>
          <w:rFonts w:hint="eastAsia" w:eastAsiaTheme="majorEastAsia"/>
          <w:lang w:eastAsia="zh-TW"/>
        </w:rPr>
        <w:t xml:space="preserve">元 </w:t>
      </w:r>
      <w:r>
        <w:rPr>
          <w:rFonts w:eastAsia="DFKai-SB"/>
          <w:sz w:val="22"/>
          <w:szCs w:val="22"/>
          <w:lang w:eastAsia="zh-TW"/>
        </w:rPr>
        <w:t xml:space="preserve">– </w:t>
      </w:r>
      <w:r>
        <w:rPr>
          <w:rFonts w:eastAsiaTheme="majorEastAsia"/>
          <w:szCs w:val="21"/>
          <w:lang w:eastAsia="zh-TW"/>
        </w:rPr>
        <w:t>A</w:t>
      </w:r>
      <w:r>
        <w:rPr>
          <w:rFonts w:hint="eastAsia" w:asciiTheme="majorEastAsia" w:hAnsiTheme="majorEastAsia" w:eastAsiaTheme="majorEastAsia"/>
          <w:szCs w:val="21"/>
          <w:lang w:eastAsia="zh-TW"/>
        </w:rPr>
        <w:t>股每股</w:t>
      </w:r>
      <w:r>
        <w:rPr>
          <w:rFonts w:hint="eastAsia" w:eastAsiaTheme="majorEastAsia"/>
          <w:lang w:eastAsia="zh-TW"/>
        </w:rPr>
        <w:t>人民幣0</w:t>
      </w:r>
      <w:r>
        <w:rPr>
          <w:rFonts w:eastAsiaTheme="majorEastAsia"/>
          <w:lang w:eastAsia="zh-TW"/>
        </w:rPr>
        <w:t>.15</w:t>
      </w:r>
      <w:r>
        <w:rPr>
          <w:rFonts w:hint="eastAsia" w:eastAsiaTheme="majorEastAsia"/>
          <w:lang w:eastAsia="zh-TW"/>
        </w:rPr>
        <w:t>元</w:t>
      </w:r>
    </w:p>
    <w:p>
      <w:pPr>
        <w:spacing w:line="280" w:lineRule="exact"/>
        <w:ind w:left="360"/>
        <w:rPr>
          <w:rFonts w:eastAsia="DFKai-SB"/>
          <w:sz w:val="22"/>
          <w:szCs w:val="22"/>
          <w:lang w:eastAsia="zh-TW"/>
        </w:rPr>
      </w:pPr>
      <w:r>
        <w:rPr>
          <w:rFonts w:eastAsia="DFKai-SB"/>
          <w:sz w:val="22"/>
          <w:szCs w:val="22"/>
          <w:lang w:eastAsia="zh-TW"/>
        </w:rPr>
        <w:t xml:space="preserve">                           </w:t>
      </w:r>
      <w:r>
        <w:rPr>
          <w:rFonts w:eastAsia="DFKai-SB"/>
          <w:sz w:val="22"/>
          <w:szCs w:val="22"/>
          <w:lang w:eastAsia="zh-TW"/>
        </w:rPr>
        <w:tab/>
      </w:r>
      <w:r>
        <w:rPr>
          <w:rFonts w:eastAsia="DFKai-SB"/>
          <w:sz w:val="22"/>
          <w:szCs w:val="22"/>
          <w:lang w:eastAsia="zh-TW"/>
        </w:rPr>
        <w:t xml:space="preserve">=  </w:t>
      </w:r>
      <w:r>
        <w:rPr>
          <w:rFonts w:eastAsia="DFKai-SB"/>
          <w:sz w:val="22"/>
          <w:szCs w:val="22"/>
          <w:lang w:eastAsia="zh-TW"/>
        </w:rPr>
        <w:tab/>
      </w:r>
      <w:r>
        <w:rPr>
          <w:rFonts w:eastAsiaTheme="majorEastAsia"/>
          <w:szCs w:val="21"/>
          <w:lang w:eastAsia="zh-TW"/>
        </w:rPr>
        <w:t>A</w:t>
      </w:r>
      <w:r>
        <w:rPr>
          <w:rFonts w:hint="eastAsia" w:asciiTheme="majorEastAsia" w:hAnsiTheme="majorEastAsia" w:eastAsiaTheme="majorEastAsia"/>
          <w:szCs w:val="21"/>
          <w:lang w:eastAsia="zh-TW"/>
        </w:rPr>
        <w:t>股每股</w:t>
      </w:r>
      <w:r>
        <w:rPr>
          <w:rFonts w:hint="eastAsia" w:eastAsiaTheme="majorEastAsia"/>
          <w:lang w:eastAsia="zh-TW"/>
        </w:rPr>
        <w:t>人民幣6</w:t>
      </w:r>
      <w:r>
        <w:rPr>
          <w:rFonts w:eastAsiaTheme="majorEastAsia"/>
          <w:lang w:eastAsia="zh-TW"/>
        </w:rPr>
        <w:t>.74</w:t>
      </w:r>
      <w:r>
        <w:rPr>
          <w:rFonts w:hint="eastAsia" w:eastAsiaTheme="majorEastAsia"/>
          <w:lang w:eastAsia="zh-TW"/>
        </w:rPr>
        <w:t>元</w:t>
      </w:r>
    </w:p>
    <w:p>
      <w:pPr>
        <w:spacing w:line="280" w:lineRule="exact"/>
        <w:rPr>
          <w:rFonts w:eastAsiaTheme="majorEastAsia"/>
          <w:lang w:eastAsia="zh-TW"/>
        </w:rPr>
      </w:pPr>
    </w:p>
    <w:p>
      <w:pPr>
        <w:pStyle w:val="13"/>
        <w:numPr>
          <w:ilvl w:val="0"/>
          <w:numId w:val="2"/>
        </w:numPr>
        <w:spacing w:line="280" w:lineRule="exact"/>
        <w:ind w:hanging="720"/>
        <w:rPr>
          <w:rFonts w:eastAsiaTheme="majorEastAsia"/>
          <w:b/>
          <w:lang w:eastAsia="zh-TW"/>
        </w:rPr>
      </w:pPr>
      <w:r>
        <w:rPr>
          <w:rFonts w:hint="eastAsia" w:eastAsiaTheme="majorEastAsia"/>
          <w:b/>
          <w:lang w:eastAsia="zh-TW"/>
        </w:rPr>
        <w:t>發行A股數量的調整</w:t>
      </w:r>
    </w:p>
    <w:p>
      <w:pPr>
        <w:pStyle w:val="13"/>
        <w:spacing w:line="280" w:lineRule="exact"/>
        <w:rPr>
          <w:rFonts w:eastAsiaTheme="majorEastAsia"/>
          <w:lang w:eastAsia="zh-TW"/>
        </w:rPr>
      </w:pPr>
    </w:p>
    <w:p>
      <w:pPr>
        <w:spacing w:line="280" w:lineRule="exact"/>
        <w:rPr>
          <w:rFonts w:eastAsiaTheme="majorEastAsia"/>
          <w:lang w:eastAsia="zh-TW"/>
        </w:rPr>
      </w:pPr>
      <w:r>
        <w:rPr>
          <w:rFonts w:hint="eastAsia" w:eastAsiaTheme="majorEastAsia"/>
          <w:lang w:eastAsia="zh-TW"/>
        </w:rPr>
        <w:t>鑒於本次建議A股發行的發行價已經作出調整而</w:t>
      </w:r>
      <w:r>
        <w:rPr>
          <w:rFonts w:hint="eastAsia" w:eastAsiaTheme="minorEastAsia"/>
          <w:lang w:eastAsia="zh-TW"/>
        </w:rPr>
        <w:t>華魯投資認購事項</w:t>
      </w:r>
      <w:r>
        <w:rPr>
          <w:rFonts w:hint="eastAsia" w:eastAsiaTheme="majorEastAsia"/>
          <w:lang w:eastAsia="zh-TW"/>
        </w:rPr>
        <w:t>所得款項總額保持不變，即不超過人民幣</w:t>
      </w:r>
      <w:r>
        <w:rPr>
          <w:rFonts w:hint="eastAsia"/>
          <w:lang w:eastAsia="zh-TW"/>
        </w:rPr>
        <w:t>250百萬元</w:t>
      </w:r>
      <w:r>
        <w:rPr>
          <w:rFonts w:hint="eastAsia" w:eastAsiaTheme="majorEastAsia"/>
          <w:lang w:eastAsia="zh-TW"/>
        </w:rPr>
        <w:t>（</w:t>
      </w:r>
      <w:r>
        <w:rPr>
          <w:rFonts w:hint="eastAsia" w:asciiTheme="majorEastAsia" w:hAnsiTheme="majorEastAsia" w:eastAsiaTheme="majorEastAsia"/>
          <w:lang w:eastAsia="zh-TW"/>
        </w:rPr>
        <w:t>“</w:t>
      </w:r>
      <w:r>
        <w:rPr>
          <w:rFonts w:hint="eastAsia" w:eastAsiaTheme="majorEastAsia"/>
          <w:b/>
          <w:lang w:eastAsia="zh-TW"/>
        </w:rPr>
        <w:t>認購資金總額</w:t>
      </w:r>
      <w:r>
        <w:rPr>
          <w:rFonts w:hint="eastAsia" w:asciiTheme="majorEastAsia" w:hAnsiTheme="majorEastAsia" w:eastAsiaTheme="majorEastAsia"/>
          <w:lang w:eastAsia="zh-TW"/>
        </w:rPr>
        <w:t>”）</w:t>
      </w:r>
      <w:r>
        <w:rPr>
          <w:rFonts w:hint="eastAsia" w:eastAsiaTheme="majorEastAsia"/>
          <w:lang w:eastAsia="zh-TW"/>
        </w:rPr>
        <w:t>。按照該等調整，建議A股發行的發行數量將調整為不超過</w:t>
      </w:r>
      <w:r>
        <w:rPr>
          <w:rFonts w:eastAsiaTheme="majorEastAsia"/>
          <w:lang w:eastAsia="zh-TW"/>
        </w:rPr>
        <w:t>37,091,988</w:t>
      </w:r>
      <w:r>
        <w:rPr>
          <w:rFonts w:hint="eastAsia" w:eastAsiaTheme="majorEastAsia"/>
          <w:lang w:eastAsia="zh-TW"/>
        </w:rPr>
        <w:t xml:space="preserve"> A股，如下：</w:t>
      </w:r>
    </w:p>
    <w:p>
      <w:pPr>
        <w:spacing w:line="280" w:lineRule="exact"/>
        <w:rPr>
          <w:rFonts w:eastAsiaTheme="majorEastAsia"/>
          <w:lang w:eastAsia="zh-TW"/>
        </w:rPr>
      </w:pPr>
    </w:p>
    <w:p>
      <w:pPr>
        <w:spacing w:line="280" w:lineRule="exact"/>
        <w:rPr>
          <w:rFonts w:eastAsia="DFKai-SB"/>
          <w:sz w:val="22"/>
          <w:szCs w:val="22"/>
          <w:lang w:eastAsia="zh-TW"/>
        </w:rPr>
      </w:pPr>
      <w:r>
        <w:rPr>
          <w:rFonts w:hint="eastAsia" w:eastAsiaTheme="majorEastAsia"/>
          <w:lang w:eastAsia="zh-TW"/>
        </w:rPr>
        <w:t>調整後的A股數量</w:t>
      </w:r>
      <w:r>
        <w:rPr>
          <w:rFonts w:eastAsia="DFKai-SB"/>
          <w:sz w:val="22"/>
          <w:szCs w:val="22"/>
          <w:lang w:eastAsia="zh-TW"/>
        </w:rPr>
        <w:t xml:space="preserve">  </w:t>
      </w:r>
      <w:r>
        <w:rPr>
          <w:rFonts w:eastAsia="DFKai-SB"/>
          <w:sz w:val="22"/>
          <w:szCs w:val="22"/>
          <w:lang w:eastAsia="zh-TW"/>
        </w:rPr>
        <w:tab/>
      </w:r>
      <w:r>
        <w:rPr>
          <w:rFonts w:eastAsia="DFKai-SB"/>
          <w:sz w:val="22"/>
          <w:szCs w:val="22"/>
          <w:lang w:eastAsia="zh-TW"/>
        </w:rPr>
        <w:t xml:space="preserve">=   </w:t>
      </w:r>
      <w:r>
        <w:rPr>
          <w:rFonts w:hint="eastAsia" w:eastAsiaTheme="minorEastAsia"/>
          <w:lang w:eastAsia="zh-TW"/>
        </w:rPr>
        <w:t>認購資金總額</w:t>
      </w:r>
      <w:r>
        <w:rPr>
          <w:rFonts w:hint="eastAsia" w:eastAsiaTheme="majorEastAsia"/>
          <w:lang w:eastAsia="zh-TW"/>
        </w:rPr>
        <w:t>／該等調整後的發行價</w:t>
      </w:r>
    </w:p>
    <w:p>
      <w:pPr>
        <w:spacing w:line="280" w:lineRule="exact"/>
        <w:ind w:left="360"/>
        <w:rPr>
          <w:rFonts w:eastAsia="DFKai-SB"/>
          <w:sz w:val="22"/>
          <w:szCs w:val="22"/>
          <w:lang w:eastAsia="zh-TW"/>
        </w:rPr>
      </w:pPr>
      <w:r>
        <w:rPr>
          <w:rFonts w:eastAsia="DFKai-SB"/>
          <w:sz w:val="22"/>
          <w:szCs w:val="22"/>
          <w:lang w:eastAsia="zh-TW"/>
        </w:rPr>
        <w:t xml:space="preserve">           </w:t>
      </w:r>
      <w:r>
        <w:rPr>
          <w:rFonts w:eastAsia="DFKai-SB"/>
          <w:sz w:val="22"/>
          <w:szCs w:val="22"/>
          <w:lang w:eastAsia="zh-TW"/>
        </w:rPr>
        <w:tab/>
      </w:r>
      <w:r>
        <w:rPr>
          <w:rFonts w:eastAsia="DFKai-SB"/>
          <w:sz w:val="22"/>
          <w:szCs w:val="22"/>
          <w:lang w:eastAsia="zh-TW"/>
        </w:rPr>
        <w:t xml:space="preserve">    =  </w:t>
      </w:r>
      <w:r>
        <w:rPr>
          <w:rFonts w:eastAsia="DFKai-SB"/>
          <w:sz w:val="22"/>
          <w:szCs w:val="22"/>
          <w:lang w:eastAsia="zh-TW"/>
        </w:rPr>
        <w:tab/>
      </w:r>
      <w:r>
        <w:rPr>
          <w:rFonts w:hint="eastAsia" w:eastAsiaTheme="majorEastAsia"/>
          <w:lang w:eastAsia="zh-TW"/>
        </w:rPr>
        <w:t>人民幣2</w:t>
      </w:r>
      <w:r>
        <w:rPr>
          <w:rFonts w:eastAsiaTheme="majorEastAsia"/>
          <w:lang w:eastAsia="zh-TW"/>
        </w:rPr>
        <w:t>50</w:t>
      </w:r>
      <w:r>
        <w:rPr>
          <w:rFonts w:hint="eastAsia" w:eastAsiaTheme="majorEastAsia"/>
          <w:lang w:eastAsia="zh-TW"/>
        </w:rPr>
        <w:t>,</w:t>
      </w:r>
      <w:r>
        <w:rPr>
          <w:rFonts w:eastAsiaTheme="majorEastAsia"/>
          <w:lang w:eastAsia="zh-TW"/>
        </w:rPr>
        <w:t>000,000</w:t>
      </w:r>
      <w:r>
        <w:rPr>
          <w:rFonts w:hint="eastAsia" w:eastAsiaTheme="majorEastAsia"/>
          <w:lang w:eastAsia="zh-TW"/>
        </w:rPr>
        <w:t>元／（A股每股人民幣6</w:t>
      </w:r>
      <w:r>
        <w:rPr>
          <w:rFonts w:eastAsiaTheme="majorEastAsia"/>
          <w:lang w:eastAsia="zh-TW"/>
        </w:rPr>
        <w:t>.74</w:t>
      </w:r>
      <w:r>
        <w:rPr>
          <w:rFonts w:hint="eastAsia" w:eastAsiaTheme="majorEastAsia"/>
          <w:lang w:eastAsia="zh-TW"/>
        </w:rPr>
        <w:t>元）</w:t>
      </w:r>
    </w:p>
    <w:p>
      <w:pPr>
        <w:spacing w:line="280" w:lineRule="exact"/>
        <w:ind w:left="360"/>
        <w:rPr>
          <w:rFonts w:eastAsia="DFKai-SB"/>
          <w:sz w:val="22"/>
          <w:szCs w:val="22"/>
          <w:lang w:eastAsia="zh-TW"/>
        </w:rPr>
      </w:pPr>
      <w:r>
        <w:rPr>
          <w:rFonts w:eastAsia="DFKai-SB"/>
          <w:sz w:val="22"/>
          <w:szCs w:val="22"/>
          <w:lang w:eastAsia="zh-TW"/>
        </w:rPr>
        <w:t xml:space="preserve">           </w:t>
      </w:r>
      <w:r>
        <w:rPr>
          <w:rFonts w:eastAsia="DFKai-SB"/>
          <w:sz w:val="22"/>
          <w:szCs w:val="22"/>
          <w:lang w:eastAsia="zh-TW"/>
        </w:rPr>
        <w:tab/>
      </w:r>
      <w:r>
        <w:rPr>
          <w:rFonts w:eastAsia="DFKai-SB"/>
          <w:sz w:val="22"/>
          <w:szCs w:val="22"/>
          <w:lang w:eastAsia="zh-TW"/>
        </w:rPr>
        <w:t xml:space="preserve">    =  </w:t>
      </w:r>
      <w:r>
        <w:rPr>
          <w:rFonts w:eastAsia="DFKai-SB"/>
          <w:sz w:val="22"/>
          <w:szCs w:val="22"/>
          <w:lang w:eastAsia="zh-TW"/>
        </w:rPr>
        <w:tab/>
      </w:r>
      <w:r>
        <w:rPr>
          <w:rFonts w:hint="eastAsia" w:eastAsia="DengXian"/>
          <w:lang w:eastAsia="zh-TW"/>
        </w:rPr>
        <w:t>3</w:t>
      </w:r>
      <w:r>
        <w:rPr>
          <w:rFonts w:eastAsia="DengXian"/>
          <w:lang w:eastAsia="zh-TW"/>
        </w:rPr>
        <w:t>7,091,988 A</w:t>
      </w:r>
      <w:r>
        <w:rPr>
          <w:rFonts w:hint="eastAsia" w:eastAsiaTheme="minorEastAsia"/>
          <w:lang w:eastAsia="zh-TW"/>
        </w:rPr>
        <w:t>股</w:t>
      </w:r>
      <w:r>
        <w:rPr>
          <w:rFonts w:hint="eastAsia" w:eastAsiaTheme="majorEastAsia"/>
          <w:lang w:eastAsia="zh-TW"/>
        </w:rPr>
        <w:t>（數量不足1股的餘數作捨處理）</w:t>
      </w:r>
    </w:p>
    <w:p>
      <w:pPr>
        <w:spacing w:line="280" w:lineRule="exact"/>
        <w:rPr>
          <w:rFonts w:eastAsiaTheme="majorEastAsia"/>
          <w:lang w:eastAsia="zh-TW"/>
        </w:rPr>
      </w:pPr>
    </w:p>
    <w:p>
      <w:pPr>
        <w:spacing w:line="280" w:lineRule="exact"/>
        <w:rPr>
          <w:rFonts w:eastAsiaTheme="majorEastAsia"/>
          <w:lang w:eastAsia="zh-TW"/>
        </w:rPr>
      </w:pPr>
      <w:r>
        <w:rPr>
          <w:rFonts w:hint="eastAsia" w:eastAsiaTheme="majorEastAsia"/>
          <w:lang w:eastAsia="zh-TW"/>
        </w:rPr>
        <w:t>經本次2020年度利潤分配方案實施完畢後所作出的該等調整，具體本公司向</w:t>
      </w:r>
      <w:r>
        <w:rPr>
          <w:rFonts w:hint="eastAsia" w:eastAsiaTheme="minorEastAsia"/>
          <w:lang w:eastAsia="zh-TW"/>
        </w:rPr>
        <w:t>華魯投資</w:t>
      </w:r>
      <w:r>
        <w:rPr>
          <w:rFonts w:hint="eastAsia" w:eastAsiaTheme="majorEastAsia"/>
          <w:lang w:eastAsia="zh-TW"/>
        </w:rPr>
        <w:t>發行的A股的新發行價及發行數量情況如下：</w:t>
      </w:r>
    </w:p>
    <w:p>
      <w:pPr>
        <w:spacing w:line="280" w:lineRule="exact"/>
        <w:jc w:val="center"/>
        <w:rPr>
          <w:rFonts w:eastAsiaTheme="majorEastAsia"/>
          <w:lang w:eastAsia="zh-TW"/>
        </w:rPr>
      </w:pPr>
    </w:p>
    <w:tbl>
      <w:tblPr>
        <w:tblStyle w:val="12"/>
        <w:tblW w:w="7200" w:type="dxa"/>
        <w:tblInd w:w="19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90"/>
        <w:gridCol w:w="4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90" w:type="dxa"/>
          </w:tcPr>
          <w:p>
            <w:pPr>
              <w:spacing w:line="280" w:lineRule="exact"/>
              <w:jc w:val="center"/>
              <w:rPr>
                <w:rFonts w:eastAsia="DFKai-SB"/>
                <w:b/>
                <w:sz w:val="22"/>
                <w:szCs w:val="22"/>
              </w:rPr>
            </w:pPr>
            <w:r>
              <w:rPr>
                <w:rFonts w:hint="eastAsia" w:eastAsiaTheme="majorEastAsia"/>
                <w:b/>
                <w:lang w:eastAsia="zh-TW"/>
              </w:rPr>
              <w:t>A股每股發行價</w:t>
            </w:r>
          </w:p>
        </w:tc>
        <w:tc>
          <w:tcPr>
            <w:tcW w:w="4410" w:type="dxa"/>
          </w:tcPr>
          <w:p>
            <w:pPr>
              <w:spacing w:line="280" w:lineRule="exact"/>
              <w:jc w:val="center"/>
              <w:rPr>
                <w:rFonts w:eastAsia="DengXian"/>
                <w:b/>
                <w:sz w:val="22"/>
                <w:szCs w:val="22"/>
              </w:rPr>
            </w:pPr>
            <w:r>
              <w:rPr>
                <w:rFonts w:hint="eastAsia" w:eastAsia="DFKai-SB"/>
                <w:b/>
                <w:szCs w:val="21"/>
                <w:lang w:eastAsia="zh-TW"/>
              </w:rPr>
              <w:t>A</w:t>
            </w:r>
            <w:r>
              <w:rPr>
                <w:rFonts w:hint="eastAsia" w:asciiTheme="majorEastAsia" w:hAnsiTheme="majorEastAsia" w:eastAsiaTheme="majorEastAsia"/>
                <w:b/>
                <w:szCs w:val="21"/>
                <w:lang w:eastAsia="zh-TW"/>
              </w:rPr>
              <w:t>股認購數量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90" w:type="dxa"/>
          </w:tcPr>
          <w:p>
            <w:pPr>
              <w:spacing w:line="280" w:lineRule="exact"/>
              <w:jc w:val="center"/>
              <w:rPr>
                <w:rFonts w:eastAsia="DFKai-SB"/>
                <w:sz w:val="22"/>
                <w:szCs w:val="22"/>
              </w:rPr>
            </w:pPr>
            <w:r>
              <w:rPr>
                <w:rFonts w:hint="eastAsia" w:asciiTheme="majorEastAsia" w:hAnsiTheme="majorEastAsia" w:eastAsiaTheme="majorEastAsia"/>
                <w:szCs w:val="21"/>
              </w:rPr>
              <w:t>人民幣</w:t>
            </w:r>
            <w:r>
              <w:rPr>
                <w:rFonts w:eastAsia="DFKai-SB"/>
                <w:szCs w:val="21"/>
              </w:rPr>
              <w:t>6.74</w:t>
            </w:r>
            <w:r>
              <w:rPr>
                <w:rFonts w:hint="eastAsia" w:asciiTheme="majorEastAsia" w:hAnsiTheme="majorEastAsia" w:eastAsiaTheme="majorEastAsia"/>
                <w:szCs w:val="21"/>
              </w:rPr>
              <w:t>元</w:t>
            </w:r>
          </w:p>
        </w:tc>
        <w:tc>
          <w:tcPr>
            <w:tcW w:w="4410" w:type="dxa"/>
          </w:tcPr>
          <w:p>
            <w:pPr>
              <w:spacing w:line="280" w:lineRule="exact"/>
              <w:jc w:val="center"/>
              <w:rPr>
                <w:rFonts w:eastAsia="DFKai-SB"/>
                <w:szCs w:val="21"/>
              </w:rPr>
            </w:pPr>
            <w:r>
              <w:rPr>
                <w:rFonts w:eastAsia="DFKai-SB"/>
                <w:szCs w:val="21"/>
              </w:rPr>
              <w:t>37,091,988</w:t>
            </w:r>
          </w:p>
        </w:tc>
      </w:tr>
    </w:tbl>
    <w:p>
      <w:pPr>
        <w:spacing w:line="280" w:lineRule="exact"/>
        <w:rPr>
          <w:rFonts w:eastAsiaTheme="minorEastAsia"/>
          <w:lang w:eastAsia="zh-TW"/>
        </w:rPr>
      </w:pPr>
    </w:p>
    <w:p>
      <w:pPr>
        <w:spacing w:line="280" w:lineRule="exact"/>
        <w:rPr>
          <w:rFonts w:eastAsiaTheme="minorEastAsia"/>
          <w:lang w:eastAsia="zh-TW"/>
        </w:rPr>
      </w:pPr>
      <w:r>
        <w:rPr>
          <w:rFonts w:hint="eastAsia" w:eastAsiaTheme="minorEastAsia"/>
          <w:lang w:eastAsia="zh-TW"/>
        </w:rPr>
        <w:t>除上</w:t>
      </w:r>
      <w:r>
        <w:rPr>
          <w:rFonts w:hint="eastAsia" w:eastAsiaTheme="majorEastAsia"/>
          <w:lang w:eastAsia="zh-TW"/>
        </w:rPr>
        <w:t>述調整外，建議A股發行的其他事項均無變化。</w:t>
      </w:r>
    </w:p>
    <w:p>
      <w:pPr>
        <w:spacing w:line="280" w:lineRule="exact"/>
        <w:rPr>
          <w:rFonts w:eastAsiaTheme="majorEastAsia"/>
          <w:b/>
          <w:lang w:eastAsia="zh-TW"/>
        </w:rPr>
      </w:pPr>
    </w:p>
    <w:p>
      <w:pPr>
        <w:pStyle w:val="13"/>
        <w:numPr>
          <w:ilvl w:val="0"/>
          <w:numId w:val="1"/>
        </w:numPr>
        <w:spacing w:line="280" w:lineRule="exact"/>
        <w:ind w:hanging="780"/>
        <w:rPr>
          <w:rFonts w:eastAsiaTheme="majorEastAsia"/>
          <w:b/>
          <w:lang w:eastAsia="zh-TW"/>
        </w:rPr>
      </w:pPr>
      <w:r>
        <w:rPr>
          <w:rFonts w:hint="eastAsia" w:eastAsiaTheme="majorEastAsia"/>
          <w:b/>
          <w:bCs/>
          <w:lang w:eastAsia="zh-TW"/>
        </w:rPr>
        <w:t>建議A股發行對</w:t>
      </w:r>
      <w:r>
        <w:rPr>
          <w:rFonts w:hint="eastAsia" w:eastAsiaTheme="majorEastAsia"/>
          <w:b/>
          <w:lang w:eastAsia="zh-TW"/>
        </w:rPr>
        <w:t>本公司股權架構的影響</w:t>
      </w:r>
    </w:p>
    <w:p>
      <w:pPr>
        <w:spacing w:line="280" w:lineRule="exact"/>
        <w:rPr>
          <w:rFonts w:eastAsiaTheme="majorEastAsia"/>
          <w:b/>
          <w:lang w:eastAsia="zh-TW"/>
        </w:rPr>
      </w:pPr>
    </w:p>
    <w:p>
      <w:pPr>
        <w:spacing w:line="280" w:lineRule="exact"/>
        <w:rPr>
          <w:rFonts w:eastAsiaTheme="majorEastAsia"/>
          <w:lang w:eastAsia="zh-TW"/>
        </w:rPr>
      </w:pPr>
      <w:r>
        <w:rPr>
          <w:rFonts w:hint="eastAsia" w:eastAsiaTheme="majorEastAsia"/>
          <w:lang w:eastAsia="zh-TW"/>
        </w:rPr>
        <w:t>以下載列本公司(i)於本公告日期；及(ii)緊隨該等調整後建議A股發行完成後本公司的股權架構（假設本公司已發行股份數量並無其他變動，因該等調整後的發行數量除外）：</w:t>
      </w:r>
    </w:p>
    <w:p>
      <w:pPr>
        <w:autoSpaceDE w:val="0"/>
        <w:autoSpaceDN w:val="0"/>
        <w:adjustRightInd w:val="0"/>
        <w:ind w:right="420"/>
        <w:rPr>
          <w:rFonts w:eastAsiaTheme="majorEastAsia"/>
          <w:color w:val="231F20"/>
          <w:kern w:val="0"/>
          <w:sz w:val="22"/>
          <w:szCs w:val="22"/>
          <w:lang w:eastAsia="zh-TW"/>
        </w:rPr>
      </w:pPr>
    </w:p>
    <w:p>
      <w:pPr>
        <w:autoSpaceDE w:val="0"/>
        <w:autoSpaceDN w:val="0"/>
        <w:adjustRightInd w:val="0"/>
        <w:ind w:right="420"/>
        <w:rPr>
          <w:rFonts w:eastAsiaTheme="majorEastAsia"/>
          <w:color w:val="231F20"/>
          <w:kern w:val="0"/>
          <w:sz w:val="22"/>
          <w:szCs w:val="22"/>
          <w:lang w:eastAsia="zh-TW"/>
        </w:rPr>
      </w:pPr>
      <w:r>
        <w:drawing>
          <wp:inline distT="0" distB="0" distL="0" distR="0">
            <wp:extent cx="6172200" cy="47726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6172200" cy="4772660"/>
                    </a:xfrm>
                    <a:prstGeom prst="rect">
                      <a:avLst/>
                    </a:prstGeom>
                  </pic:spPr>
                </pic:pic>
              </a:graphicData>
            </a:graphic>
          </wp:inline>
        </w:drawing>
      </w:r>
    </w:p>
    <w:p>
      <w:pPr>
        <w:autoSpaceDE w:val="0"/>
        <w:autoSpaceDN w:val="0"/>
        <w:adjustRightInd w:val="0"/>
        <w:spacing w:line="280" w:lineRule="exact"/>
        <w:ind w:left="6300" w:right="420"/>
        <w:rPr>
          <w:rFonts w:eastAsiaTheme="majorEastAsia"/>
          <w:color w:val="231F20"/>
          <w:kern w:val="0"/>
          <w:sz w:val="22"/>
          <w:szCs w:val="22"/>
          <w:lang w:eastAsia="zh-TW"/>
        </w:rPr>
      </w:pPr>
      <w:r>
        <w:rPr>
          <w:rFonts w:eastAsiaTheme="majorEastAsia"/>
          <w:color w:val="231F20"/>
          <w:kern w:val="0"/>
          <w:sz w:val="22"/>
          <w:szCs w:val="22"/>
          <w:lang w:eastAsia="zh-TW"/>
        </w:rPr>
        <w:t xml:space="preserve">                承董事會命</w:t>
      </w:r>
    </w:p>
    <w:p>
      <w:pPr>
        <w:autoSpaceDE w:val="0"/>
        <w:autoSpaceDN w:val="0"/>
        <w:adjustRightInd w:val="0"/>
        <w:spacing w:line="280" w:lineRule="exact"/>
        <w:jc w:val="right"/>
        <w:rPr>
          <w:rFonts w:eastAsiaTheme="majorEastAsia"/>
          <w:b/>
          <w:color w:val="231F20"/>
          <w:kern w:val="0"/>
          <w:sz w:val="22"/>
          <w:szCs w:val="22"/>
          <w:lang w:eastAsia="zh-TW"/>
        </w:rPr>
      </w:pPr>
      <w:r>
        <w:rPr>
          <w:rFonts w:eastAsiaTheme="majorEastAsia"/>
          <w:color w:val="231F20"/>
          <w:kern w:val="0"/>
          <w:sz w:val="22"/>
          <w:szCs w:val="22"/>
          <w:lang w:eastAsia="zh-TW"/>
        </w:rPr>
        <w:t xml:space="preserve">     </w:t>
      </w:r>
      <w:r>
        <w:rPr>
          <w:rFonts w:eastAsiaTheme="majorEastAsia"/>
          <w:b/>
          <w:color w:val="231F20"/>
          <w:kern w:val="0"/>
          <w:sz w:val="22"/>
          <w:szCs w:val="22"/>
          <w:lang w:eastAsia="zh-TW"/>
        </w:rPr>
        <w:t>山東新華製藥股份有限公司</w:t>
      </w:r>
    </w:p>
    <w:p>
      <w:pPr>
        <w:autoSpaceDE w:val="0"/>
        <w:autoSpaceDN w:val="0"/>
        <w:adjustRightInd w:val="0"/>
        <w:spacing w:line="280" w:lineRule="exact"/>
        <w:ind w:right="420"/>
        <w:rPr>
          <w:rFonts w:eastAsiaTheme="majorEastAsia"/>
          <w:b/>
          <w:color w:val="231F20"/>
          <w:kern w:val="0"/>
          <w:sz w:val="22"/>
          <w:szCs w:val="22"/>
          <w:lang w:eastAsia="zh-TW"/>
        </w:rPr>
      </w:pPr>
      <w:r>
        <w:rPr>
          <w:rFonts w:eastAsiaTheme="majorEastAsia"/>
          <w:b/>
          <w:color w:val="231F20"/>
          <w:kern w:val="0"/>
          <w:sz w:val="22"/>
          <w:szCs w:val="22"/>
          <w:lang w:eastAsia="zh-TW"/>
        </w:rPr>
        <w:t xml:space="preserve">                                                                        張代銘先生</w:t>
      </w:r>
    </w:p>
    <w:p>
      <w:pPr>
        <w:autoSpaceDE w:val="0"/>
        <w:autoSpaceDN w:val="0"/>
        <w:adjustRightInd w:val="0"/>
        <w:spacing w:line="270" w:lineRule="exact"/>
        <w:ind w:right="420"/>
        <w:rPr>
          <w:rFonts w:eastAsiaTheme="majorEastAsia"/>
          <w:color w:val="231F20"/>
          <w:kern w:val="0"/>
          <w:sz w:val="22"/>
          <w:szCs w:val="22"/>
          <w:lang w:eastAsia="zh-TW"/>
        </w:rPr>
      </w:pPr>
      <w:r>
        <w:rPr>
          <w:rFonts w:eastAsiaTheme="majorEastAsia"/>
          <w:color w:val="231F20"/>
          <w:kern w:val="0"/>
          <w:sz w:val="22"/>
          <w:szCs w:val="22"/>
          <w:lang w:eastAsia="zh-TW"/>
        </w:rPr>
        <w:t xml:space="preserve">                                                                           董事長</w:t>
      </w:r>
    </w:p>
    <w:p>
      <w:pPr>
        <w:autoSpaceDE w:val="0"/>
        <w:autoSpaceDN w:val="0"/>
        <w:adjustRightInd w:val="0"/>
        <w:spacing w:line="270" w:lineRule="exact"/>
        <w:ind w:right="420"/>
        <w:rPr>
          <w:rFonts w:eastAsiaTheme="majorEastAsia"/>
          <w:sz w:val="22"/>
          <w:szCs w:val="22"/>
          <w:lang w:eastAsia="zh-TW"/>
        </w:rPr>
      </w:pPr>
      <w:r>
        <w:rPr>
          <w:rFonts w:eastAsiaTheme="majorEastAsia"/>
          <w:sz w:val="22"/>
          <w:szCs w:val="22"/>
          <w:lang w:eastAsia="zh-TW"/>
        </w:rPr>
        <w:t>中國 淄博，二零二一年八月</w:t>
      </w:r>
      <w:r>
        <w:rPr>
          <w:rFonts w:hint="eastAsia" w:eastAsiaTheme="majorEastAsia"/>
          <w:sz w:val="22"/>
          <w:szCs w:val="22"/>
          <w:lang w:eastAsia="zh-TW"/>
        </w:rPr>
        <w:t>十三</w:t>
      </w:r>
      <w:r>
        <w:rPr>
          <w:rFonts w:eastAsiaTheme="majorEastAsia"/>
          <w:sz w:val="22"/>
          <w:szCs w:val="22"/>
          <w:lang w:eastAsia="zh-TW"/>
        </w:rPr>
        <w:t>日</w:t>
      </w:r>
      <w:bookmarkStart w:id="0" w:name="_GoBack"/>
      <w:bookmarkEnd w:id="0"/>
    </w:p>
    <w:p>
      <w:pPr>
        <w:autoSpaceDE w:val="0"/>
        <w:autoSpaceDN w:val="0"/>
        <w:adjustRightInd w:val="0"/>
        <w:spacing w:line="270" w:lineRule="exact"/>
        <w:rPr>
          <w:rFonts w:eastAsiaTheme="majorEastAsia"/>
          <w:sz w:val="22"/>
          <w:szCs w:val="22"/>
          <w:highlight w:val="green"/>
          <w:lang w:eastAsia="zh-TW"/>
        </w:rPr>
      </w:pPr>
    </w:p>
    <w:p>
      <w:pPr>
        <w:spacing w:line="270" w:lineRule="exact"/>
        <w:rPr>
          <w:rFonts w:eastAsiaTheme="majorEastAsia"/>
          <w:sz w:val="22"/>
          <w:szCs w:val="22"/>
          <w:lang w:eastAsia="zh-TW"/>
        </w:rPr>
      </w:pPr>
      <w:r>
        <w:rPr>
          <w:rFonts w:eastAsiaTheme="majorEastAsia"/>
          <w:sz w:val="22"/>
          <w:szCs w:val="22"/>
          <w:lang w:eastAsia="zh-TW"/>
        </w:rPr>
        <w:t>於本公告日，本公司董事會之成員如下：</w:t>
      </w:r>
    </w:p>
    <w:p>
      <w:pPr>
        <w:autoSpaceDE w:val="0"/>
        <w:autoSpaceDN w:val="0"/>
        <w:spacing w:line="270" w:lineRule="exact"/>
        <w:jc w:val="left"/>
        <w:rPr>
          <w:rFonts w:eastAsiaTheme="majorEastAsia"/>
          <w:kern w:val="0"/>
          <w:sz w:val="12"/>
          <w:szCs w:val="22"/>
          <w:lang w:eastAsia="zh-TW"/>
        </w:rPr>
      </w:pPr>
    </w:p>
    <w:tbl>
      <w:tblPr>
        <w:tblStyle w:val="11"/>
        <w:tblW w:w="9600" w:type="dxa"/>
        <w:tblInd w:w="70" w:type="dxa"/>
        <w:tblLayout w:type="fixed"/>
        <w:tblCellMar>
          <w:top w:w="0" w:type="dxa"/>
          <w:left w:w="108" w:type="dxa"/>
          <w:bottom w:w="0" w:type="dxa"/>
          <w:right w:w="108" w:type="dxa"/>
        </w:tblCellMar>
      </w:tblPr>
      <w:tblGrid>
        <w:gridCol w:w="4699"/>
        <w:gridCol w:w="4901"/>
      </w:tblGrid>
      <w:tr>
        <w:tblPrEx>
          <w:tblLayout w:type="fixed"/>
          <w:tblCellMar>
            <w:top w:w="0" w:type="dxa"/>
            <w:left w:w="108" w:type="dxa"/>
            <w:bottom w:w="0" w:type="dxa"/>
            <w:right w:w="108" w:type="dxa"/>
          </w:tblCellMar>
        </w:tblPrEx>
        <w:trPr>
          <w:trHeight w:val="599" w:hRule="atLeast"/>
        </w:trPr>
        <w:tc>
          <w:tcPr>
            <w:tcW w:w="4699" w:type="dxa"/>
          </w:tcPr>
          <w:p>
            <w:pPr>
              <w:autoSpaceDE w:val="0"/>
              <w:autoSpaceDN w:val="0"/>
              <w:spacing w:line="270" w:lineRule="exact"/>
              <w:jc w:val="left"/>
              <w:rPr>
                <w:rFonts w:eastAsiaTheme="majorEastAsia"/>
                <w:kern w:val="0"/>
                <w:sz w:val="22"/>
                <w:szCs w:val="22"/>
                <w:u w:val="single"/>
                <w:lang w:eastAsia="zh-TW"/>
              </w:rPr>
            </w:pPr>
            <w:r>
              <w:rPr>
                <w:rFonts w:eastAsiaTheme="majorEastAsia"/>
                <w:kern w:val="0"/>
                <w:sz w:val="22"/>
                <w:szCs w:val="22"/>
                <w:u w:val="single"/>
                <w:lang w:eastAsia="zh-TW"/>
              </w:rPr>
              <w:t>執行董事：</w:t>
            </w:r>
          </w:p>
        </w:tc>
        <w:tc>
          <w:tcPr>
            <w:tcW w:w="4901" w:type="dxa"/>
          </w:tcPr>
          <w:p>
            <w:pPr>
              <w:widowControl/>
              <w:spacing w:line="270" w:lineRule="exact"/>
              <w:rPr>
                <w:rFonts w:eastAsiaTheme="majorEastAsia"/>
                <w:kern w:val="0"/>
                <w:sz w:val="22"/>
                <w:szCs w:val="22"/>
                <w:u w:val="single"/>
                <w:lang w:eastAsia="zh-TW"/>
              </w:rPr>
            </w:pPr>
            <w:r>
              <w:rPr>
                <w:rFonts w:eastAsiaTheme="majorEastAsia"/>
                <w:kern w:val="0"/>
                <w:sz w:val="22"/>
                <w:szCs w:val="22"/>
                <w:u w:val="single"/>
                <w:lang w:eastAsia="zh-TW"/>
              </w:rPr>
              <w:t>獨立非執行董事：</w:t>
            </w:r>
          </w:p>
          <w:p>
            <w:pPr>
              <w:autoSpaceDE w:val="0"/>
              <w:autoSpaceDN w:val="0"/>
              <w:spacing w:line="270" w:lineRule="exact"/>
              <w:jc w:val="left"/>
              <w:rPr>
                <w:rFonts w:eastAsiaTheme="majorEastAsia"/>
                <w:kern w:val="0"/>
                <w:sz w:val="22"/>
                <w:szCs w:val="22"/>
                <w:lang w:eastAsia="zh-TW"/>
              </w:rPr>
            </w:pPr>
          </w:p>
        </w:tc>
      </w:tr>
      <w:tr>
        <w:tblPrEx>
          <w:tblLayout w:type="fixed"/>
          <w:tblCellMar>
            <w:top w:w="0" w:type="dxa"/>
            <w:left w:w="108" w:type="dxa"/>
            <w:bottom w:w="0" w:type="dxa"/>
            <w:right w:w="108" w:type="dxa"/>
          </w:tblCellMar>
        </w:tblPrEx>
        <w:trPr>
          <w:trHeight w:val="299" w:hRule="atLeast"/>
        </w:trPr>
        <w:tc>
          <w:tcPr>
            <w:tcW w:w="4699" w:type="dxa"/>
          </w:tcPr>
          <w:p>
            <w:pPr>
              <w:autoSpaceDE w:val="0"/>
              <w:autoSpaceDN w:val="0"/>
              <w:spacing w:line="270" w:lineRule="exact"/>
              <w:jc w:val="left"/>
              <w:rPr>
                <w:rFonts w:eastAsiaTheme="majorEastAsia"/>
                <w:kern w:val="0"/>
                <w:sz w:val="22"/>
                <w:szCs w:val="22"/>
                <w:lang w:eastAsia="zh-TW"/>
              </w:rPr>
            </w:pPr>
            <w:r>
              <w:rPr>
                <w:rFonts w:eastAsiaTheme="majorEastAsia"/>
                <w:kern w:val="0"/>
                <w:sz w:val="22"/>
                <w:szCs w:val="22"/>
                <w:lang w:eastAsia="zh-TW"/>
              </w:rPr>
              <w:t>張代銘先生(董事長)</w:t>
            </w:r>
          </w:p>
        </w:tc>
        <w:tc>
          <w:tcPr>
            <w:tcW w:w="4901" w:type="dxa"/>
          </w:tcPr>
          <w:p>
            <w:pPr>
              <w:autoSpaceDE w:val="0"/>
              <w:autoSpaceDN w:val="0"/>
              <w:spacing w:line="270" w:lineRule="exact"/>
              <w:jc w:val="left"/>
              <w:rPr>
                <w:rFonts w:eastAsiaTheme="majorEastAsia"/>
                <w:kern w:val="0"/>
                <w:sz w:val="22"/>
                <w:szCs w:val="22"/>
                <w:lang w:eastAsia="zh-TW"/>
              </w:rPr>
            </w:pPr>
            <w:r>
              <w:rPr>
                <w:rFonts w:eastAsiaTheme="majorEastAsia"/>
                <w:kern w:val="0"/>
                <w:sz w:val="22"/>
                <w:szCs w:val="22"/>
                <w:lang w:eastAsia="zh-TW"/>
              </w:rPr>
              <w:t>潘廣成先生</w:t>
            </w:r>
          </w:p>
        </w:tc>
      </w:tr>
      <w:tr>
        <w:tblPrEx>
          <w:tblLayout w:type="fixed"/>
          <w:tblCellMar>
            <w:top w:w="0" w:type="dxa"/>
            <w:left w:w="108" w:type="dxa"/>
            <w:bottom w:w="0" w:type="dxa"/>
            <w:right w:w="108" w:type="dxa"/>
          </w:tblCellMar>
        </w:tblPrEx>
        <w:trPr>
          <w:trHeight w:val="299" w:hRule="atLeast"/>
        </w:trPr>
        <w:tc>
          <w:tcPr>
            <w:tcW w:w="4699" w:type="dxa"/>
          </w:tcPr>
          <w:p>
            <w:pPr>
              <w:widowControl/>
              <w:spacing w:line="270" w:lineRule="exact"/>
              <w:rPr>
                <w:rFonts w:eastAsiaTheme="majorEastAsia"/>
                <w:kern w:val="0"/>
                <w:sz w:val="22"/>
                <w:szCs w:val="22"/>
                <w:lang w:eastAsia="zh-TW"/>
              </w:rPr>
            </w:pPr>
            <w:r>
              <w:rPr>
                <w:rFonts w:eastAsiaTheme="majorEastAsia"/>
                <w:kern w:val="0"/>
                <w:sz w:val="22"/>
                <w:szCs w:val="22"/>
                <w:lang w:eastAsia="zh-TW"/>
              </w:rPr>
              <w:t>杜德平先生</w:t>
            </w:r>
          </w:p>
        </w:tc>
        <w:tc>
          <w:tcPr>
            <w:tcW w:w="4901" w:type="dxa"/>
          </w:tcPr>
          <w:p>
            <w:pPr>
              <w:autoSpaceDE w:val="0"/>
              <w:autoSpaceDN w:val="0"/>
              <w:spacing w:line="270" w:lineRule="exact"/>
              <w:jc w:val="left"/>
              <w:rPr>
                <w:rFonts w:eastAsiaTheme="majorEastAsia"/>
                <w:kern w:val="0"/>
                <w:sz w:val="22"/>
                <w:szCs w:val="22"/>
                <w:lang w:eastAsia="zh-TW"/>
              </w:rPr>
            </w:pPr>
            <w:r>
              <w:rPr>
                <w:rFonts w:eastAsiaTheme="majorEastAsia"/>
                <w:kern w:val="0"/>
                <w:sz w:val="22"/>
                <w:szCs w:val="22"/>
                <w:lang w:eastAsia="zh-TW"/>
              </w:rPr>
              <w:t>朱建偉先生</w:t>
            </w:r>
          </w:p>
        </w:tc>
      </w:tr>
      <w:tr>
        <w:tblPrEx>
          <w:tblLayout w:type="fixed"/>
          <w:tblCellMar>
            <w:top w:w="0" w:type="dxa"/>
            <w:left w:w="108" w:type="dxa"/>
            <w:bottom w:w="0" w:type="dxa"/>
            <w:right w:w="108" w:type="dxa"/>
          </w:tblCellMar>
        </w:tblPrEx>
        <w:trPr>
          <w:trHeight w:val="599" w:hRule="atLeast"/>
        </w:trPr>
        <w:tc>
          <w:tcPr>
            <w:tcW w:w="4699" w:type="dxa"/>
          </w:tcPr>
          <w:p>
            <w:pPr>
              <w:autoSpaceDE w:val="0"/>
              <w:autoSpaceDN w:val="0"/>
              <w:spacing w:line="270" w:lineRule="exact"/>
              <w:jc w:val="left"/>
              <w:rPr>
                <w:rFonts w:eastAsiaTheme="majorEastAsia"/>
                <w:kern w:val="0"/>
                <w:sz w:val="22"/>
                <w:szCs w:val="22"/>
                <w:lang w:eastAsia="zh-TW"/>
              </w:rPr>
            </w:pPr>
            <w:r>
              <w:rPr>
                <w:rFonts w:eastAsiaTheme="majorEastAsia"/>
                <w:kern w:val="0"/>
                <w:sz w:val="22"/>
                <w:szCs w:val="22"/>
                <w:lang w:eastAsia="zh-TW"/>
              </w:rPr>
              <w:t>賀同慶先生</w:t>
            </w:r>
            <w:r>
              <w:rPr>
                <w:rFonts w:eastAsiaTheme="majorEastAsia"/>
                <w:kern w:val="0"/>
                <w:sz w:val="22"/>
                <w:szCs w:val="22"/>
                <w:lang w:eastAsia="zh-TW"/>
              </w:rPr>
              <w:tab/>
            </w:r>
          </w:p>
        </w:tc>
        <w:tc>
          <w:tcPr>
            <w:tcW w:w="4901" w:type="dxa"/>
          </w:tcPr>
          <w:p>
            <w:pPr>
              <w:widowControl/>
              <w:spacing w:line="270" w:lineRule="exact"/>
              <w:rPr>
                <w:rFonts w:eastAsiaTheme="majorEastAsia"/>
                <w:kern w:val="0"/>
                <w:sz w:val="22"/>
                <w:szCs w:val="22"/>
                <w:lang w:eastAsia="zh-TW"/>
              </w:rPr>
            </w:pPr>
            <w:r>
              <w:rPr>
                <w:rFonts w:eastAsiaTheme="majorEastAsia"/>
                <w:kern w:val="0"/>
                <w:sz w:val="22"/>
                <w:szCs w:val="22"/>
                <w:lang w:eastAsia="zh-TW"/>
              </w:rPr>
              <w:t>盧華威先生</w:t>
            </w:r>
          </w:p>
          <w:p>
            <w:pPr>
              <w:autoSpaceDE w:val="0"/>
              <w:autoSpaceDN w:val="0"/>
              <w:spacing w:line="270" w:lineRule="exact"/>
              <w:jc w:val="left"/>
              <w:rPr>
                <w:rFonts w:eastAsiaTheme="majorEastAsia"/>
                <w:kern w:val="0"/>
                <w:sz w:val="22"/>
                <w:szCs w:val="22"/>
                <w:lang w:eastAsia="zh-TW"/>
              </w:rPr>
            </w:pPr>
          </w:p>
        </w:tc>
      </w:tr>
      <w:tr>
        <w:tblPrEx>
          <w:tblLayout w:type="fixed"/>
          <w:tblCellMar>
            <w:top w:w="0" w:type="dxa"/>
            <w:left w:w="108" w:type="dxa"/>
            <w:bottom w:w="0" w:type="dxa"/>
            <w:right w:w="108" w:type="dxa"/>
          </w:tblCellMar>
        </w:tblPrEx>
        <w:trPr>
          <w:trHeight w:val="455" w:hRule="atLeast"/>
        </w:trPr>
        <w:tc>
          <w:tcPr>
            <w:tcW w:w="4699" w:type="dxa"/>
          </w:tcPr>
          <w:p>
            <w:pPr>
              <w:widowControl/>
              <w:spacing w:line="270" w:lineRule="exact"/>
              <w:rPr>
                <w:rFonts w:eastAsiaTheme="majorEastAsia"/>
                <w:kern w:val="0"/>
                <w:sz w:val="22"/>
                <w:szCs w:val="22"/>
                <w:u w:val="single"/>
                <w:lang w:eastAsia="zh-TW"/>
              </w:rPr>
            </w:pPr>
            <w:r>
              <w:rPr>
                <w:rFonts w:eastAsiaTheme="majorEastAsia"/>
                <w:kern w:val="0"/>
                <w:sz w:val="22"/>
                <w:szCs w:val="22"/>
                <w:u w:val="single"/>
                <w:lang w:eastAsia="zh-TW"/>
              </w:rPr>
              <w:t>非執行董事：</w:t>
            </w:r>
          </w:p>
        </w:tc>
        <w:tc>
          <w:tcPr>
            <w:tcW w:w="4901" w:type="dxa"/>
          </w:tcPr>
          <w:p>
            <w:pPr>
              <w:widowControl/>
              <w:spacing w:line="270" w:lineRule="exact"/>
              <w:rPr>
                <w:rFonts w:eastAsiaTheme="majorEastAsia"/>
                <w:kern w:val="0"/>
                <w:sz w:val="22"/>
                <w:szCs w:val="22"/>
                <w:lang w:eastAsia="zh-TW"/>
              </w:rPr>
            </w:pPr>
          </w:p>
        </w:tc>
      </w:tr>
      <w:tr>
        <w:tblPrEx>
          <w:tblLayout w:type="fixed"/>
          <w:tblCellMar>
            <w:top w:w="0" w:type="dxa"/>
            <w:left w:w="108" w:type="dxa"/>
            <w:bottom w:w="0" w:type="dxa"/>
            <w:right w:w="108" w:type="dxa"/>
          </w:tblCellMar>
        </w:tblPrEx>
        <w:trPr>
          <w:trHeight w:val="299" w:hRule="atLeast"/>
        </w:trPr>
        <w:tc>
          <w:tcPr>
            <w:tcW w:w="4699" w:type="dxa"/>
          </w:tcPr>
          <w:p>
            <w:pPr>
              <w:widowControl/>
              <w:spacing w:line="270" w:lineRule="exact"/>
              <w:rPr>
                <w:rFonts w:eastAsiaTheme="majorEastAsia"/>
                <w:kern w:val="0"/>
                <w:sz w:val="22"/>
                <w:szCs w:val="22"/>
                <w:lang w:eastAsia="zh-TW"/>
              </w:rPr>
            </w:pPr>
            <w:r>
              <w:rPr>
                <w:rFonts w:eastAsiaTheme="majorEastAsia"/>
                <w:kern w:val="0"/>
                <w:sz w:val="22"/>
                <w:szCs w:val="22"/>
                <w:lang w:eastAsia="zh-TW"/>
              </w:rPr>
              <w:t>叢克春先生</w:t>
            </w:r>
          </w:p>
        </w:tc>
        <w:tc>
          <w:tcPr>
            <w:tcW w:w="4901" w:type="dxa"/>
          </w:tcPr>
          <w:p>
            <w:pPr>
              <w:widowControl/>
              <w:spacing w:line="270" w:lineRule="exact"/>
              <w:rPr>
                <w:rFonts w:eastAsiaTheme="majorEastAsia"/>
                <w:kern w:val="0"/>
                <w:sz w:val="22"/>
                <w:szCs w:val="22"/>
                <w:lang w:eastAsia="zh-TW"/>
              </w:rPr>
            </w:pPr>
          </w:p>
        </w:tc>
      </w:tr>
      <w:tr>
        <w:tblPrEx>
          <w:tblLayout w:type="fixed"/>
          <w:tblCellMar>
            <w:top w:w="0" w:type="dxa"/>
            <w:left w:w="108" w:type="dxa"/>
            <w:bottom w:w="0" w:type="dxa"/>
            <w:right w:w="108" w:type="dxa"/>
          </w:tblCellMar>
        </w:tblPrEx>
        <w:trPr>
          <w:trHeight w:val="455" w:hRule="atLeast"/>
        </w:trPr>
        <w:tc>
          <w:tcPr>
            <w:tcW w:w="4699" w:type="dxa"/>
          </w:tcPr>
          <w:p>
            <w:pPr>
              <w:widowControl/>
              <w:spacing w:line="270" w:lineRule="exact"/>
              <w:rPr>
                <w:rFonts w:eastAsiaTheme="majorEastAsia"/>
                <w:kern w:val="0"/>
                <w:sz w:val="22"/>
                <w:szCs w:val="22"/>
                <w:lang w:eastAsia="zh-TW"/>
              </w:rPr>
            </w:pPr>
            <w:r>
              <w:rPr>
                <w:rFonts w:eastAsiaTheme="majorEastAsia"/>
                <w:kern w:val="0"/>
                <w:sz w:val="22"/>
                <w:szCs w:val="22"/>
                <w:lang w:eastAsia="zh-TW"/>
              </w:rPr>
              <w:t>徐列先生</w:t>
            </w:r>
          </w:p>
        </w:tc>
        <w:tc>
          <w:tcPr>
            <w:tcW w:w="4901" w:type="dxa"/>
          </w:tcPr>
          <w:p>
            <w:pPr>
              <w:widowControl/>
              <w:spacing w:line="280" w:lineRule="exact"/>
              <w:rPr>
                <w:rFonts w:eastAsiaTheme="majorEastAsia"/>
                <w:kern w:val="0"/>
                <w:sz w:val="22"/>
                <w:szCs w:val="22"/>
                <w:lang w:eastAsia="zh-TW"/>
              </w:rPr>
            </w:pPr>
          </w:p>
        </w:tc>
      </w:tr>
    </w:tbl>
    <w:p>
      <w:pPr>
        <w:spacing w:line="280" w:lineRule="exact"/>
        <w:ind w:left="-142"/>
        <w:rPr>
          <w:rFonts w:eastAsiaTheme="majorEastAsia"/>
          <w:i/>
          <w:iCs/>
          <w:sz w:val="22"/>
          <w:szCs w:val="22"/>
          <w:lang w:eastAsia="zh-TW"/>
        </w:rPr>
      </w:pPr>
    </w:p>
    <w:p>
      <w:pPr>
        <w:spacing w:line="280" w:lineRule="exact"/>
        <w:ind w:left="-142"/>
        <w:rPr>
          <w:rFonts w:eastAsiaTheme="majorEastAsia"/>
          <w:i/>
          <w:lang w:eastAsia="zh-TW"/>
        </w:rPr>
      </w:pPr>
      <w:r>
        <w:rPr>
          <w:rFonts w:eastAsiaTheme="majorEastAsia"/>
          <w:i/>
          <w:lang w:eastAsia="zh-TW"/>
        </w:rPr>
        <w:t xml:space="preserve">於本公告日期，華魯控股董事成員包括樊軍先生、丁振波先生、孫佑民先生、張玉明先生及婁紅祥先生。 </w:t>
      </w:r>
    </w:p>
    <w:p>
      <w:pPr>
        <w:spacing w:line="280" w:lineRule="exact"/>
        <w:ind w:left="-142"/>
        <w:rPr>
          <w:rFonts w:eastAsiaTheme="majorEastAsia"/>
          <w:i/>
          <w:lang w:eastAsia="zh-TW"/>
        </w:rPr>
      </w:pPr>
    </w:p>
    <w:p>
      <w:pPr>
        <w:spacing w:line="280" w:lineRule="exact"/>
        <w:ind w:left="-142"/>
        <w:rPr>
          <w:rFonts w:eastAsiaTheme="majorEastAsia"/>
          <w:i/>
          <w:lang w:eastAsia="zh-TW"/>
        </w:rPr>
      </w:pPr>
      <w:r>
        <w:rPr>
          <w:rFonts w:eastAsiaTheme="majorEastAsia"/>
          <w:i/>
          <w:lang w:eastAsia="zh-TW"/>
        </w:rPr>
        <w:t xml:space="preserve">董事願就本公告所載資料（有關華魯控股及其一致行動人士之資料除外）之準確性共同及個 別承擔全部責任，並經作出一切合理查詢後確認，就彼等所深知，本公告內發表之意見乃經審 慎周詳考慮後達致，而本公告並無遺漏其他事實，致使本公告內之任何陳述產生誤導。 </w:t>
      </w:r>
    </w:p>
    <w:p>
      <w:pPr>
        <w:spacing w:line="280" w:lineRule="exact"/>
        <w:ind w:left="-142"/>
        <w:rPr>
          <w:rFonts w:eastAsiaTheme="majorEastAsia"/>
          <w:i/>
          <w:lang w:eastAsia="zh-TW"/>
        </w:rPr>
      </w:pPr>
    </w:p>
    <w:p>
      <w:pPr>
        <w:spacing w:line="280" w:lineRule="exact"/>
        <w:ind w:left="-142"/>
        <w:rPr>
          <w:rFonts w:eastAsiaTheme="majorEastAsia"/>
          <w:i/>
          <w:iCs/>
          <w:sz w:val="22"/>
          <w:szCs w:val="22"/>
          <w:lang w:eastAsia="zh-TW"/>
        </w:rPr>
      </w:pPr>
      <w:r>
        <w:rPr>
          <w:rFonts w:eastAsiaTheme="majorEastAsia"/>
          <w:i/>
          <w:lang w:eastAsia="zh-TW"/>
        </w:rPr>
        <w:t>華魯控股董事願就本公告所載之資料（與本公司有關之資料除外）之準確性共同及個別承擔全部責任，並經作出一切合理查詢後確認，就彼等所深知，本公告內發表之意見乃經審慎周詳考慮後達致，而本公告並無遺漏其他事實，致使本公告內之任何陳述產生誤導。</w:t>
      </w:r>
    </w:p>
    <w:sectPr>
      <w:footerReference r:id="rId3" w:type="default"/>
      <w:pgSz w:w="11906" w:h="16838"/>
      <w:pgMar w:top="1080" w:right="1106" w:bottom="810" w:left="1080" w:header="850" w:footer="61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auto"/>
    <w:pitch w:val="default"/>
    <w:sig w:usb0="00000000" w:usb1="00000000" w:usb2="00000000" w:usb3="00000000" w:csb0="0000019F" w:csb1="00000000"/>
  </w:font>
  <w:font w:name="PMingLiU">
    <w:panose1 w:val="02020500000000000000"/>
    <w:charset w:val="88"/>
    <w:family w:val="roman"/>
    <w:pitch w:val="default"/>
    <w:sig w:usb0="A00002FF" w:usb1="28CFFCFA" w:usb2="00000016" w:usb3="00000000" w:csb0="00100001" w:csb1="00000000"/>
  </w:font>
  <w:font w:name="DFKai-SB">
    <w:panose1 w:val="03000509000000000000"/>
    <w:charset w:val="88"/>
    <w:family w:val="script"/>
    <w:pitch w:val="default"/>
    <w:sig w:usb0="00000003" w:usb1="082E0000" w:usb2="00000016" w:usb3="00000000" w:csb0="00100001" w:csb1="00000000"/>
  </w:font>
  <w:font w:name="MS Mincho">
    <w:panose1 w:val="02020609040205080304"/>
    <w:charset w:val="80"/>
    <w:family w:val="auto"/>
    <w:pitch w:val="default"/>
    <w:sig w:usb0="E00002FF" w:usb1="6AC7FDFB" w:usb2="00000012" w:usb3="00000000" w:csb0="4002009F" w:csb1="DFD70000"/>
  </w:font>
  <w:font w:name="Microsoft JhengHei">
    <w:panose1 w:val="020B0604030504040204"/>
    <w:charset w:val="88"/>
    <w:family w:val="swiss"/>
    <w:pitch w:val="default"/>
    <w:sig w:usb0="00000087" w:usb1="28AF4000" w:usb2="00000016" w:usb3="00000000" w:csb0="00100009" w:csb1="00000000"/>
  </w:font>
  <w:font w:name="DengXian">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0" w:usb3="00000000" w:csb0="000001F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0"/>
      </w:rPr>
      <w:id w:val="-598718566"/>
    </w:sdtPr>
    <w:sdtEndPr>
      <w:rPr>
        <w:sz w:val="20"/>
      </w:rPr>
    </w:sdtEndPr>
    <w:sdtContent>
      <w:p>
        <w:pPr>
          <w:pStyle w:val="5"/>
          <w:jc w:val="center"/>
          <w:rPr>
            <w:sz w:val="20"/>
          </w:rPr>
        </w:pPr>
        <w:r>
          <w:rPr>
            <w:sz w:val="20"/>
          </w:rPr>
          <w:fldChar w:fldCharType="begin"/>
        </w:r>
        <w:r>
          <w:rPr>
            <w:sz w:val="20"/>
          </w:rPr>
          <w:instrText xml:space="preserve"> PAGE   \* MERGEFORMAT </w:instrText>
        </w:r>
        <w:r>
          <w:rPr>
            <w:sz w:val="20"/>
          </w:rPr>
          <w:fldChar w:fldCharType="separate"/>
        </w:r>
        <w:r>
          <w:rPr>
            <w:sz w:val="20"/>
          </w:rPr>
          <w:t>3</w:t>
        </w:r>
        <w:r>
          <w:rPr>
            <w:sz w:val="20"/>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1299E"/>
    <w:multiLevelType w:val="multilevel"/>
    <w:tmpl w:val="68A1299E"/>
    <w:lvl w:ilvl="0" w:tentative="0">
      <w:start w:val="1"/>
      <w:numFmt w:val="japaneseCounting"/>
      <w:lvlText w:val="%1、"/>
      <w:lvlJc w:val="left"/>
      <w:pPr>
        <w:ind w:left="780" w:hanging="42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A5D4E53"/>
    <w:multiLevelType w:val="multilevel"/>
    <w:tmpl w:val="6A5D4E5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09D"/>
    <w:rsid w:val="000167C7"/>
    <w:rsid w:val="00023791"/>
    <w:rsid w:val="00023960"/>
    <w:rsid w:val="00034CBC"/>
    <w:rsid w:val="000717B4"/>
    <w:rsid w:val="00085CDD"/>
    <w:rsid w:val="00092BEF"/>
    <w:rsid w:val="00094AE4"/>
    <w:rsid w:val="000958A4"/>
    <w:rsid w:val="000971E2"/>
    <w:rsid w:val="000B3802"/>
    <w:rsid w:val="000E3E7F"/>
    <w:rsid w:val="0012692C"/>
    <w:rsid w:val="0014311B"/>
    <w:rsid w:val="00155B07"/>
    <w:rsid w:val="00172A27"/>
    <w:rsid w:val="00175884"/>
    <w:rsid w:val="001E3C83"/>
    <w:rsid w:val="0020365C"/>
    <w:rsid w:val="00215626"/>
    <w:rsid w:val="00230808"/>
    <w:rsid w:val="00264F22"/>
    <w:rsid w:val="00271D0D"/>
    <w:rsid w:val="0028049C"/>
    <w:rsid w:val="00282B69"/>
    <w:rsid w:val="00285291"/>
    <w:rsid w:val="0028623F"/>
    <w:rsid w:val="002A3553"/>
    <w:rsid w:val="002B2A64"/>
    <w:rsid w:val="002B2E17"/>
    <w:rsid w:val="002C030E"/>
    <w:rsid w:val="002C72AD"/>
    <w:rsid w:val="002D487C"/>
    <w:rsid w:val="002E6742"/>
    <w:rsid w:val="002E77CA"/>
    <w:rsid w:val="002F0CD0"/>
    <w:rsid w:val="002F2B97"/>
    <w:rsid w:val="003032A8"/>
    <w:rsid w:val="00310C4A"/>
    <w:rsid w:val="0031668F"/>
    <w:rsid w:val="0033766B"/>
    <w:rsid w:val="00340C31"/>
    <w:rsid w:val="00350872"/>
    <w:rsid w:val="00374534"/>
    <w:rsid w:val="00384F24"/>
    <w:rsid w:val="00385F40"/>
    <w:rsid w:val="003902D2"/>
    <w:rsid w:val="00394AB9"/>
    <w:rsid w:val="003C61E9"/>
    <w:rsid w:val="003D654B"/>
    <w:rsid w:val="003E52AC"/>
    <w:rsid w:val="003F097B"/>
    <w:rsid w:val="00411780"/>
    <w:rsid w:val="0041231B"/>
    <w:rsid w:val="004265A4"/>
    <w:rsid w:val="00434AE8"/>
    <w:rsid w:val="00435409"/>
    <w:rsid w:val="00442A23"/>
    <w:rsid w:val="00443701"/>
    <w:rsid w:val="0045557C"/>
    <w:rsid w:val="00466FED"/>
    <w:rsid w:val="00470B80"/>
    <w:rsid w:val="00484DFC"/>
    <w:rsid w:val="00490217"/>
    <w:rsid w:val="00492013"/>
    <w:rsid w:val="0049723C"/>
    <w:rsid w:val="004B20FE"/>
    <w:rsid w:val="004B3E48"/>
    <w:rsid w:val="004B42D5"/>
    <w:rsid w:val="004D4BAE"/>
    <w:rsid w:val="004E66A3"/>
    <w:rsid w:val="00524362"/>
    <w:rsid w:val="0054328E"/>
    <w:rsid w:val="005511DA"/>
    <w:rsid w:val="00551FD4"/>
    <w:rsid w:val="00555F91"/>
    <w:rsid w:val="00556145"/>
    <w:rsid w:val="005577CC"/>
    <w:rsid w:val="005775D6"/>
    <w:rsid w:val="00586587"/>
    <w:rsid w:val="005874C3"/>
    <w:rsid w:val="00597AE4"/>
    <w:rsid w:val="005A55EA"/>
    <w:rsid w:val="005C6CA3"/>
    <w:rsid w:val="005E050F"/>
    <w:rsid w:val="00612B54"/>
    <w:rsid w:val="006155CC"/>
    <w:rsid w:val="00630E75"/>
    <w:rsid w:val="006363C8"/>
    <w:rsid w:val="00646EFF"/>
    <w:rsid w:val="00665167"/>
    <w:rsid w:val="00670DF3"/>
    <w:rsid w:val="006D127D"/>
    <w:rsid w:val="006E6553"/>
    <w:rsid w:val="006F16D6"/>
    <w:rsid w:val="007076FB"/>
    <w:rsid w:val="0071234E"/>
    <w:rsid w:val="00715B7F"/>
    <w:rsid w:val="00731A4D"/>
    <w:rsid w:val="00745514"/>
    <w:rsid w:val="00762587"/>
    <w:rsid w:val="007A1F1C"/>
    <w:rsid w:val="007D00C6"/>
    <w:rsid w:val="007D6D7D"/>
    <w:rsid w:val="007F3E7F"/>
    <w:rsid w:val="008035E6"/>
    <w:rsid w:val="008146BF"/>
    <w:rsid w:val="00815E09"/>
    <w:rsid w:val="00823E1C"/>
    <w:rsid w:val="00826ED3"/>
    <w:rsid w:val="008409C2"/>
    <w:rsid w:val="00843CB8"/>
    <w:rsid w:val="008572A7"/>
    <w:rsid w:val="008673BF"/>
    <w:rsid w:val="008706E1"/>
    <w:rsid w:val="00872BDD"/>
    <w:rsid w:val="008823C3"/>
    <w:rsid w:val="00894D71"/>
    <w:rsid w:val="008B46B2"/>
    <w:rsid w:val="008D5D3D"/>
    <w:rsid w:val="008F0A48"/>
    <w:rsid w:val="008F37F6"/>
    <w:rsid w:val="009057DE"/>
    <w:rsid w:val="009059CF"/>
    <w:rsid w:val="00917069"/>
    <w:rsid w:val="0095230D"/>
    <w:rsid w:val="00973129"/>
    <w:rsid w:val="0098492A"/>
    <w:rsid w:val="009901D8"/>
    <w:rsid w:val="009A27C4"/>
    <w:rsid w:val="009B1557"/>
    <w:rsid w:val="009B4DEB"/>
    <w:rsid w:val="009B63B0"/>
    <w:rsid w:val="009C148C"/>
    <w:rsid w:val="009D2F45"/>
    <w:rsid w:val="009D3266"/>
    <w:rsid w:val="009D5C74"/>
    <w:rsid w:val="009D726E"/>
    <w:rsid w:val="009F3A97"/>
    <w:rsid w:val="00A27BDB"/>
    <w:rsid w:val="00A35B88"/>
    <w:rsid w:val="00A461F9"/>
    <w:rsid w:val="00A504BC"/>
    <w:rsid w:val="00A62791"/>
    <w:rsid w:val="00A63A40"/>
    <w:rsid w:val="00A927D8"/>
    <w:rsid w:val="00A92AF0"/>
    <w:rsid w:val="00AD3EC4"/>
    <w:rsid w:val="00AE327C"/>
    <w:rsid w:val="00AF2510"/>
    <w:rsid w:val="00B110EE"/>
    <w:rsid w:val="00B33A95"/>
    <w:rsid w:val="00B35B16"/>
    <w:rsid w:val="00B51DC4"/>
    <w:rsid w:val="00B53362"/>
    <w:rsid w:val="00B64D64"/>
    <w:rsid w:val="00B824FE"/>
    <w:rsid w:val="00B86111"/>
    <w:rsid w:val="00B94A12"/>
    <w:rsid w:val="00BA0BCA"/>
    <w:rsid w:val="00BB5154"/>
    <w:rsid w:val="00BB7E87"/>
    <w:rsid w:val="00BD0ADF"/>
    <w:rsid w:val="00BF314D"/>
    <w:rsid w:val="00C138C8"/>
    <w:rsid w:val="00C225CE"/>
    <w:rsid w:val="00C22F1C"/>
    <w:rsid w:val="00C42330"/>
    <w:rsid w:val="00C47B75"/>
    <w:rsid w:val="00C7566A"/>
    <w:rsid w:val="00C766DF"/>
    <w:rsid w:val="00C9360C"/>
    <w:rsid w:val="00CA1F4A"/>
    <w:rsid w:val="00CC7EC9"/>
    <w:rsid w:val="00CD640D"/>
    <w:rsid w:val="00CD6FB9"/>
    <w:rsid w:val="00CD789E"/>
    <w:rsid w:val="00CE1D2D"/>
    <w:rsid w:val="00D140D2"/>
    <w:rsid w:val="00D21527"/>
    <w:rsid w:val="00D24451"/>
    <w:rsid w:val="00D2478B"/>
    <w:rsid w:val="00D31874"/>
    <w:rsid w:val="00D33168"/>
    <w:rsid w:val="00D43EF0"/>
    <w:rsid w:val="00D53984"/>
    <w:rsid w:val="00D75BC7"/>
    <w:rsid w:val="00D81772"/>
    <w:rsid w:val="00DB0BCB"/>
    <w:rsid w:val="00DE6E86"/>
    <w:rsid w:val="00DF05DE"/>
    <w:rsid w:val="00DF2F80"/>
    <w:rsid w:val="00DF6704"/>
    <w:rsid w:val="00E07272"/>
    <w:rsid w:val="00E077CB"/>
    <w:rsid w:val="00E07E9B"/>
    <w:rsid w:val="00E30735"/>
    <w:rsid w:val="00E5617E"/>
    <w:rsid w:val="00E76E67"/>
    <w:rsid w:val="00E911AC"/>
    <w:rsid w:val="00EA20A2"/>
    <w:rsid w:val="00EB02E8"/>
    <w:rsid w:val="00EC2FCA"/>
    <w:rsid w:val="00ED5BEA"/>
    <w:rsid w:val="00F07FA5"/>
    <w:rsid w:val="00F12E3A"/>
    <w:rsid w:val="00F20DC6"/>
    <w:rsid w:val="00F247E3"/>
    <w:rsid w:val="00F37C18"/>
    <w:rsid w:val="00F43486"/>
    <w:rsid w:val="00F44620"/>
    <w:rsid w:val="00F5164C"/>
    <w:rsid w:val="00F535BD"/>
    <w:rsid w:val="00F60D6E"/>
    <w:rsid w:val="00F73D93"/>
    <w:rsid w:val="00F866B6"/>
    <w:rsid w:val="00F96914"/>
    <w:rsid w:val="00FA0935"/>
    <w:rsid w:val="00FA2362"/>
    <w:rsid w:val="00FA7A28"/>
    <w:rsid w:val="00FC1F8F"/>
    <w:rsid w:val="00FD24C1"/>
    <w:rsid w:val="00FE60A7"/>
    <w:rsid w:val="00FF7818"/>
    <w:rsid w:val="14B54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9"/>
    <w:qFormat/>
    <w:uiPriority w:val="0"/>
    <w:rPr>
      <w:b/>
      <w:bCs/>
      <w:sz w:val="20"/>
      <w:szCs w:val="20"/>
    </w:rPr>
  </w:style>
  <w:style w:type="paragraph" w:styleId="3">
    <w:name w:val="annotation text"/>
    <w:basedOn w:val="1"/>
    <w:link w:val="18"/>
    <w:qFormat/>
    <w:uiPriority w:val="0"/>
    <w:rPr>
      <w:sz w:val="24"/>
    </w:rPr>
  </w:style>
  <w:style w:type="paragraph" w:styleId="4">
    <w:name w:val="Balloon Text"/>
    <w:basedOn w:val="1"/>
    <w:semiHidden/>
    <w:uiPriority w:val="0"/>
    <w:rPr>
      <w:sz w:val="18"/>
      <w:szCs w:val="18"/>
    </w:rPr>
  </w:style>
  <w:style w:type="paragraph" w:styleId="5">
    <w:name w:val="footer"/>
    <w:basedOn w:val="1"/>
    <w:link w:val="17"/>
    <w:uiPriority w:val="99"/>
    <w:pPr>
      <w:tabs>
        <w:tab w:val="center" w:pos="4680"/>
        <w:tab w:val="right" w:pos="9360"/>
      </w:tabs>
    </w:pPr>
  </w:style>
  <w:style w:type="paragraph" w:styleId="6">
    <w:name w:val="header"/>
    <w:basedOn w:val="1"/>
    <w:link w:val="16"/>
    <w:uiPriority w:val="0"/>
    <w:pPr>
      <w:tabs>
        <w:tab w:val="center" w:pos="4680"/>
        <w:tab w:val="right" w:pos="9360"/>
      </w:tabs>
    </w:pPr>
  </w:style>
  <w:style w:type="character" w:styleId="8">
    <w:name w:val="Emphasis"/>
    <w:basedOn w:val="7"/>
    <w:qFormat/>
    <w:uiPriority w:val="20"/>
    <w:rPr>
      <w:i/>
      <w:iCs/>
    </w:rPr>
  </w:style>
  <w:style w:type="character" w:styleId="9">
    <w:name w:val="Hyperlink"/>
    <w:uiPriority w:val="0"/>
    <w:rPr>
      <w:color w:val="0000FF"/>
      <w:u w:val="single"/>
    </w:rPr>
  </w:style>
  <w:style w:type="character" w:styleId="10">
    <w:name w:val="annotation reference"/>
    <w:basedOn w:val="7"/>
    <w:qFormat/>
    <w:uiPriority w:val="0"/>
    <w:rPr>
      <w:sz w:val="18"/>
      <w:szCs w:val="18"/>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List Paragraph"/>
    <w:basedOn w:val="1"/>
    <w:qFormat/>
    <w:uiPriority w:val="34"/>
    <w:pPr>
      <w:ind w:left="720"/>
    </w:pPr>
  </w:style>
  <w:style w:type="paragraph" w:customStyle="1" w:styleId="14">
    <w:name w:val="Default"/>
    <w:uiPriority w:val="0"/>
    <w:pPr>
      <w:widowControl w:val="0"/>
      <w:autoSpaceDE w:val="0"/>
      <w:autoSpaceDN w:val="0"/>
      <w:adjustRightInd w:val="0"/>
    </w:pPr>
    <w:rPr>
      <w:rFonts w:ascii="Helvetica" w:hAnsi="Helvetica" w:eastAsia="PMingLiU" w:cs="Times New Roman"/>
      <w:color w:val="000000"/>
      <w:sz w:val="24"/>
      <w:szCs w:val="24"/>
      <w:lang w:val="en-US" w:eastAsia="zh-TW" w:bidi="ar-SA"/>
    </w:rPr>
  </w:style>
  <w:style w:type="paragraph" w:customStyle="1" w:styleId="15">
    <w:name w:val="_Style 2"/>
    <w:basedOn w:val="1"/>
    <w:uiPriority w:val="0"/>
    <w:pPr>
      <w:widowControl/>
      <w:spacing w:after="160" w:line="240" w:lineRule="exact"/>
      <w:jc w:val="left"/>
    </w:pPr>
    <w:rPr>
      <w:kern w:val="0"/>
      <w:sz w:val="20"/>
      <w:szCs w:val="20"/>
      <w:lang w:eastAsia="zh-TW"/>
    </w:rPr>
  </w:style>
  <w:style w:type="character" w:customStyle="1" w:styleId="16">
    <w:name w:val="Header Char"/>
    <w:basedOn w:val="7"/>
    <w:link w:val="6"/>
    <w:uiPriority w:val="0"/>
    <w:rPr>
      <w:kern w:val="2"/>
      <w:sz w:val="21"/>
      <w:szCs w:val="24"/>
      <w:lang w:eastAsia="zh-CN"/>
    </w:rPr>
  </w:style>
  <w:style w:type="character" w:customStyle="1" w:styleId="17">
    <w:name w:val="Footer Char"/>
    <w:basedOn w:val="7"/>
    <w:link w:val="5"/>
    <w:qFormat/>
    <w:uiPriority w:val="99"/>
    <w:rPr>
      <w:kern w:val="2"/>
      <w:sz w:val="21"/>
      <w:szCs w:val="24"/>
      <w:lang w:eastAsia="zh-CN"/>
    </w:rPr>
  </w:style>
  <w:style w:type="character" w:customStyle="1" w:styleId="18">
    <w:name w:val="Comment Text Char"/>
    <w:basedOn w:val="7"/>
    <w:link w:val="3"/>
    <w:qFormat/>
    <w:uiPriority w:val="0"/>
    <w:rPr>
      <w:kern w:val="2"/>
      <w:sz w:val="24"/>
      <w:szCs w:val="24"/>
      <w:lang w:eastAsia="zh-CN"/>
    </w:rPr>
  </w:style>
  <w:style w:type="character" w:customStyle="1" w:styleId="19">
    <w:name w:val="Comment Subject Char"/>
    <w:basedOn w:val="18"/>
    <w:link w:val="2"/>
    <w:qFormat/>
    <w:uiPriority w:val="0"/>
    <w:rPr>
      <w:b/>
      <w:bCs/>
      <w:kern w:val="2"/>
      <w:sz w:val="24"/>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9284A2-D3A7-4EEC-AD9A-EC522161FA78}">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2427</Words>
  <Characters>2670</Characters>
  <Lines>5</Lines>
  <Paragraphs>6</Paragraphs>
  <TotalTime>0</TotalTime>
  <ScaleCrop>false</ScaleCrop>
  <LinksUpToDate>false</LinksUpToDate>
  <CharactersWithSpaces>2993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2021-08-11T07:08:00Z</dcterms:created>
  <dc:creator>Luye Wang</dc:creator>
  <cp:lastModifiedBy>田建华</cp:lastModifiedBy>
  <cp:lastPrinted>2021-08-11T03:58:00Z</cp:lastPrinted>
  <dcterms:modified xsi:type="dcterms:W3CDTF">2021-08-13T07:17:54Z</dcterms:modified>
  <dc:title>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