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rPr>
          <w:rFonts w:eastAsia="PMingLiU"/>
          <w:i/>
          <w:sz w:val="22"/>
          <w:szCs w:val="22"/>
          <w:lang w:eastAsia="zh-TW"/>
        </w:rPr>
      </w:pPr>
      <w:r>
        <w:rPr>
          <w:rFonts w:hint="eastAsia" w:eastAsia="PMingLiU"/>
          <w:i/>
          <w:sz w:val="22"/>
          <w:szCs w:val="22"/>
          <w:lang w:eastAsia="zh-TW"/>
        </w:rPr>
        <w:t>香港交易及結算所有限公司及香港聯合交易所有限公司對本公告的內容概不負責，對其準確性或完整性亦不發表任何聲明，並明確表示，概不對因本公告全部或任何部份內容而產生或因倚賴該等內容而引致之任何損失承擔任何責任。</w:t>
      </w:r>
    </w:p>
    <w:p>
      <w:pPr>
        <w:autoSpaceDE w:val="0"/>
        <w:autoSpaceDN w:val="0"/>
        <w:rPr>
          <w:rFonts w:eastAsia="PMingLiU"/>
          <w:sz w:val="22"/>
          <w:szCs w:val="22"/>
          <w:lang w:eastAsia="zh-TW"/>
        </w:rPr>
      </w:pPr>
    </w:p>
    <w:p>
      <w:pPr>
        <w:autoSpaceDE w:val="0"/>
        <w:autoSpaceDN w:val="0"/>
        <w:rPr>
          <w:rFonts w:eastAsia="PMingLiU"/>
          <w:sz w:val="22"/>
          <w:szCs w:val="22"/>
          <w:lang w:eastAsia="zh-TW"/>
        </w:rPr>
      </w:pPr>
      <w:r>
        <w:rPr>
          <w:rFonts w:eastAsia="PMingLiU"/>
          <w:sz w:val="22"/>
          <w:szCs w:val="22"/>
          <w:lang w:eastAsia="zh-TW"/>
        </w:rPr>
        <w:drawing>
          <wp:anchor distT="0" distB="0" distL="114300" distR="114300" simplePos="0" relativeHeight="251658240" behindDoc="0" locked="0" layoutInCell="1" allowOverlap="1">
            <wp:simplePos x="0" y="0"/>
            <wp:positionH relativeFrom="column">
              <wp:posOffset>2400300</wp:posOffset>
            </wp:positionH>
            <wp:positionV relativeFrom="paragraph">
              <wp:posOffset>128270</wp:posOffset>
            </wp:positionV>
            <wp:extent cx="389255" cy="444500"/>
            <wp:effectExtent l="0" t="0" r="10795" b="1270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9255" cy="444500"/>
                    </a:xfrm>
                    <a:prstGeom prst="rect">
                      <a:avLst/>
                    </a:prstGeom>
                    <a:noFill/>
                    <a:ln>
                      <a:noFill/>
                    </a:ln>
                  </pic:spPr>
                </pic:pic>
              </a:graphicData>
            </a:graphic>
          </wp:anchor>
        </w:drawing>
      </w:r>
    </w:p>
    <w:p>
      <w:pPr>
        <w:autoSpaceDE w:val="0"/>
        <w:autoSpaceDN w:val="0"/>
        <w:rPr>
          <w:rFonts w:eastAsia="PMingLiU"/>
          <w:color w:val="231F20"/>
          <w:kern w:val="0"/>
          <w:sz w:val="22"/>
          <w:szCs w:val="22"/>
          <w:lang w:eastAsia="zh-TW"/>
        </w:rPr>
      </w:pPr>
    </w:p>
    <w:p>
      <w:pPr>
        <w:autoSpaceDE w:val="0"/>
        <w:autoSpaceDN w:val="0"/>
        <w:jc w:val="center"/>
        <w:rPr>
          <w:rFonts w:eastAsia="PMingLiU"/>
          <w:b/>
          <w:bCs/>
          <w:color w:val="231F20"/>
          <w:kern w:val="0"/>
          <w:sz w:val="22"/>
          <w:szCs w:val="22"/>
          <w:lang w:eastAsia="zh-TW"/>
        </w:rPr>
      </w:pPr>
    </w:p>
    <w:p>
      <w:pPr>
        <w:autoSpaceDE w:val="0"/>
        <w:autoSpaceDN w:val="0"/>
        <w:jc w:val="center"/>
        <w:rPr>
          <w:rFonts w:eastAsia="PMingLiU"/>
          <w:b/>
          <w:bCs/>
          <w:color w:val="231F20"/>
          <w:kern w:val="0"/>
          <w:sz w:val="22"/>
          <w:szCs w:val="22"/>
          <w:lang w:eastAsia="zh-TW"/>
        </w:rPr>
      </w:pPr>
    </w:p>
    <w:p>
      <w:pPr>
        <w:autoSpaceDE w:val="0"/>
        <w:autoSpaceDN w:val="0"/>
        <w:jc w:val="center"/>
        <w:rPr>
          <w:rFonts w:eastAsia="PMingLiU"/>
          <w:b/>
          <w:bCs/>
          <w:color w:val="231F20"/>
          <w:kern w:val="0"/>
          <w:sz w:val="22"/>
          <w:szCs w:val="22"/>
          <w:lang w:eastAsia="zh-TW"/>
        </w:rPr>
      </w:pPr>
      <w:r>
        <w:rPr>
          <w:rFonts w:hint="eastAsia" w:eastAsia="PMingLiU"/>
          <w:b/>
          <w:bCs/>
          <w:color w:val="231F20"/>
          <w:kern w:val="0"/>
          <w:sz w:val="22"/>
          <w:szCs w:val="22"/>
          <w:lang w:eastAsia="zh-TW"/>
        </w:rPr>
        <w:t>山東新華製藥股份有限公司</w:t>
      </w:r>
    </w:p>
    <w:p>
      <w:pPr>
        <w:autoSpaceDE w:val="0"/>
        <w:autoSpaceDN w:val="0"/>
        <w:jc w:val="center"/>
        <w:rPr>
          <w:rFonts w:eastAsia="PMingLiU"/>
          <w:b/>
          <w:bCs/>
          <w:color w:val="231F20"/>
          <w:kern w:val="0"/>
          <w:sz w:val="22"/>
          <w:szCs w:val="22"/>
          <w:lang w:eastAsia="zh-TW"/>
        </w:rPr>
      </w:pPr>
      <w:r>
        <w:rPr>
          <w:rFonts w:eastAsia="PMingLiU"/>
          <w:b/>
          <w:bCs/>
          <w:color w:val="231F20"/>
          <w:kern w:val="0"/>
          <w:sz w:val="22"/>
          <w:szCs w:val="22"/>
          <w:lang w:eastAsia="zh-TW"/>
        </w:rPr>
        <w:t>Shandong Xinhua Pharmaceutical Company Limited</w:t>
      </w:r>
    </w:p>
    <w:p>
      <w:pPr>
        <w:widowControl/>
        <w:jc w:val="center"/>
        <w:rPr>
          <w:rFonts w:eastAsia="PMingLiU"/>
          <w:color w:val="231F20"/>
          <w:kern w:val="0"/>
          <w:sz w:val="22"/>
          <w:szCs w:val="22"/>
          <w:lang w:eastAsia="zh-TW"/>
        </w:rPr>
      </w:pPr>
      <w:r>
        <w:rPr>
          <w:rFonts w:eastAsia="PMingLiU"/>
          <w:color w:val="231F20"/>
          <w:kern w:val="0"/>
          <w:sz w:val="22"/>
          <w:szCs w:val="22"/>
          <w:lang w:eastAsia="zh-TW"/>
        </w:rPr>
        <w:t>(</w:t>
      </w:r>
      <w:r>
        <w:rPr>
          <w:rFonts w:hint="eastAsia" w:eastAsia="PMingLiU"/>
          <w:color w:val="231F20"/>
          <w:kern w:val="0"/>
          <w:sz w:val="22"/>
          <w:szCs w:val="22"/>
          <w:lang w:eastAsia="zh-TW"/>
        </w:rPr>
        <w:t>於中華人民共和國註冊成立之股份有限公司</w:t>
      </w:r>
      <w:r>
        <w:rPr>
          <w:rFonts w:eastAsia="PMingLiU"/>
          <w:color w:val="231F20"/>
          <w:kern w:val="0"/>
          <w:sz w:val="22"/>
          <w:szCs w:val="22"/>
          <w:lang w:eastAsia="zh-TW"/>
        </w:rPr>
        <w:t>)</w:t>
      </w:r>
    </w:p>
    <w:p>
      <w:pPr>
        <w:widowControl/>
        <w:jc w:val="center"/>
        <w:rPr>
          <w:rFonts w:eastAsia="PMingLiU"/>
          <w:color w:val="231F20"/>
          <w:kern w:val="0"/>
          <w:sz w:val="22"/>
          <w:szCs w:val="22"/>
          <w:lang w:eastAsia="zh-TW"/>
        </w:rPr>
      </w:pPr>
      <w:r>
        <w:rPr>
          <w:rFonts w:eastAsia="PMingLiU"/>
          <w:color w:val="231F20"/>
          <w:kern w:val="0"/>
          <w:sz w:val="22"/>
          <w:szCs w:val="22"/>
          <w:lang w:eastAsia="zh-TW"/>
        </w:rPr>
        <w:t>(</w:t>
      </w:r>
      <w:r>
        <w:rPr>
          <w:rFonts w:hint="eastAsia" w:eastAsia="PMingLiU"/>
          <w:color w:val="231F20"/>
          <w:kern w:val="0"/>
          <w:sz w:val="22"/>
          <w:szCs w:val="22"/>
          <w:lang w:eastAsia="zh-TW"/>
        </w:rPr>
        <w:t>股份編號：</w:t>
      </w:r>
      <w:r>
        <w:rPr>
          <w:rFonts w:eastAsia="PMingLiU"/>
          <w:color w:val="231F20"/>
          <w:kern w:val="0"/>
          <w:sz w:val="22"/>
          <w:szCs w:val="22"/>
          <w:lang w:eastAsia="zh-TW"/>
        </w:rPr>
        <w:t>00719)</w:t>
      </w:r>
    </w:p>
    <w:p>
      <w:pPr>
        <w:widowControl/>
        <w:jc w:val="center"/>
        <w:rPr>
          <w:rFonts w:eastAsia="PMingLiU"/>
          <w:color w:val="231F20"/>
          <w:kern w:val="0"/>
          <w:sz w:val="22"/>
          <w:szCs w:val="22"/>
          <w:lang w:eastAsia="zh-TW"/>
        </w:rPr>
      </w:pPr>
    </w:p>
    <w:p>
      <w:pPr>
        <w:widowControl/>
        <w:jc w:val="center"/>
        <w:rPr>
          <w:rFonts w:eastAsia="PMingLiU"/>
          <w:b/>
          <w:color w:val="231F20"/>
          <w:kern w:val="0"/>
          <w:sz w:val="22"/>
          <w:szCs w:val="22"/>
          <w:lang w:eastAsia="zh-TW"/>
        </w:rPr>
      </w:pPr>
      <w:r>
        <w:rPr>
          <w:rFonts w:hint="eastAsia" w:eastAsia="PMingLiU"/>
          <w:b/>
          <w:color w:val="231F20"/>
          <w:kern w:val="0"/>
          <w:sz w:val="22"/>
          <w:szCs w:val="22"/>
          <w:lang w:eastAsia="zh-TW"/>
        </w:rPr>
        <w:t>寄發有關</w:t>
      </w:r>
    </w:p>
    <w:p>
      <w:pPr>
        <w:widowControl/>
        <w:jc w:val="center"/>
        <w:rPr>
          <w:rFonts w:eastAsia="PMingLiU"/>
          <w:b/>
          <w:bCs/>
          <w:kern w:val="0"/>
          <w:sz w:val="22"/>
          <w:szCs w:val="22"/>
          <w:lang w:eastAsia="zh-TW"/>
        </w:rPr>
      </w:pPr>
      <w:r>
        <w:rPr>
          <w:rFonts w:eastAsia="PMingLiU"/>
          <w:b/>
          <w:bCs/>
          <w:kern w:val="0"/>
          <w:sz w:val="22"/>
          <w:szCs w:val="22"/>
          <w:lang w:eastAsia="zh-TW"/>
        </w:rPr>
        <w:t xml:space="preserve">(1) </w:t>
      </w:r>
      <w:r>
        <w:rPr>
          <w:rFonts w:hint="eastAsia" w:eastAsia="PMingLiU"/>
          <w:b/>
          <w:bCs/>
          <w:kern w:val="0"/>
          <w:sz w:val="22"/>
          <w:szCs w:val="22"/>
          <w:lang w:eastAsia="zh-TW"/>
        </w:rPr>
        <w:t>建議非公開發行新</w:t>
      </w:r>
      <w:r>
        <w:rPr>
          <w:rFonts w:eastAsia="PMingLiU"/>
          <w:b/>
          <w:bCs/>
          <w:kern w:val="0"/>
          <w:sz w:val="22"/>
          <w:szCs w:val="22"/>
          <w:lang w:eastAsia="zh-TW"/>
        </w:rPr>
        <w:t>A</w:t>
      </w:r>
      <w:r>
        <w:rPr>
          <w:rFonts w:hint="eastAsia" w:eastAsia="PMingLiU"/>
          <w:b/>
          <w:bCs/>
          <w:kern w:val="0"/>
          <w:sz w:val="22"/>
          <w:szCs w:val="22"/>
          <w:lang w:eastAsia="zh-TW"/>
        </w:rPr>
        <w:t>股；</w:t>
      </w:r>
    </w:p>
    <w:p>
      <w:pPr>
        <w:widowControl/>
        <w:jc w:val="center"/>
        <w:rPr>
          <w:rFonts w:eastAsia="PMingLiU"/>
          <w:b/>
          <w:bCs/>
          <w:kern w:val="0"/>
          <w:sz w:val="22"/>
          <w:szCs w:val="22"/>
          <w:lang w:eastAsia="zh-TW"/>
        </w:rPr>
      </w:pPr>
      <w:r>
        <w:rPr>
          <w:rFonts w:eastAsia="PMingLiU"/>
          <w:b/>
          <w:bCs/>
          <w:kern w:val="0"/>
          <w:sz w:val="22"/>
          <w:szCs w:val="22"/>
          <w:lang w:eastAsia="zh-TW"/>
        </w:rPr>
        <w:t xml:space="preserve">(2) </w:t>
      </w:r>
      <w:r>
        <w:rPr>
          <w:rFonts w:eastAsia="PMingLiU"/>
          <w:b/>
          <w:bCs/>
          <w:kern w:val="0"/>
          <w:sz w:val="22"/>
          <w:szCs w:val="22"/>
          <w:lang w:eastAsia="zh-TW"/>
        </w:rPr>
        <w:tab/>
      </w:r>
      <w:r>
        <w:rPr>
          <w:rFonts w:hint="eastAsia" w:eastAsia="PMingLiU"/>
          <w:b/>
          <w:bCs/>
          <w:kern w:val="0"/>
          <w:sz w:val="22"/>
          <w:szCs w:val="22"/>
          <w:lang w:eastAsia="zh-TW"/>
        </w:rPr>
        <w:t>關連交易－建議華魯投資認購</w:t>
      </w:r>
      <w:r>
        <w:rPr>
          <w:rFonts w:eastAsia="PMingLiU"/>
          <w:b/>
          <w:bCs/>
          <w:kern w:val="0"/>
          <w:sz w:val="22"/>
          <w:szCs w:val="22"/>
          <w:lang w:eastAsia="zh-TW"/>
        </w:rPr>
        <w:t>A</w:t>
      </w:r>
      <w:r>
        <w:rPr>
          <w:rFonts w:hint="eastAsia" w:eastAsia="PMingLiU"/>
          <w:b/>
          <w:bCs/>
          <w:kern w:val="0"/>
          <w:sz w:val="22"/>
          <w:szCs w:val="22"/>
          <w:lang w:eastAsia="zh-TW"/>
        </w:rPr>
        <w:t>股；</w:t>
      </w:r>
    </w:p>
    <w:p>
      <w:pPr>
        <w:widowControl/>
        <w:jc w:val="center"/>
        <w:rPr>
          <w:rFonts w:eastAsia="PMingLiU"/>
          <w:b/>
          <w:bCs/>
          <w:kern w:val="0"/>
          <w:sz w:val="22"/>
          <w:szCs w:val="22"/>
          <w:lang w:eastAsia="zh-TW"/>
        </w:rPr>
      </w:pPr>
      <w:r>
        <w:rPr>
          <w:rFonts w:eastAsia="PMingLiU"/>
          <w:b/>
          <w:bCs/>
          <w:kern w:val="0"/>
          <w:sz w:val="22"/>
          <w:szCs w:val="22"/>
          <w:lang w:eastAsia="zh-TW"/>
        </w:rPr>
        <w:t xml:space="preserve">(3) </w:t>
      </w:r>
      <w:r>
        <w:rPr>
          <w:rFonts w:hint="eastAsia" w:eastAsia="PMingLiU"/>
          <w:b/>
          <w:bCs/>
          <w:kern w:val="0"/>
          <w:sz w:val="22"/>
          <w:szCs w:val="22"/>
          <w:lang w:eastAsia="zh-TW"/>
        </w:rPr>
        <w:t>申請清洗豁免；及</w:t>
      </w:r>
    </w:p>
    <w:p>
      <w:pPr>
        <w:widowControl/>
        <w:jc w:val="center"/>
        <w:rPr>
          <w:rFonts w:eastAsia="PMingLiU"/>
          <w:b/>
          <w:bCs/>
          <w:kern w:val="0"/>
          <w:sz w:val="22"/>
          <w:szCs w:val="22"/>
          <w:lang w:eastAsia="zh-TW"/>
        </w:rPr>
      </w:pPr>
      <w:r>
        <w:rPr>
          <w:rFonts w:eastAsia="PMingLiU"/>
          <w:b/>
          <w:bCs/>
          <w:kern w:val="0"/>
          <w:sz w:val="22"/>
          <w:szCs w:val="22"/>
          <w:lang w:eastAsia="zh-TW"/>
        </w:rPr>
        <w:t xml:space="preserve">(4) </w:t>
      </w:r>
      <w:r>
        <w:rPr>
          <w:rFonts w:hint="eastAsia" w:eastAsia="PMingLiU"/>
          <w:b/>
          <w:bCs/>
          <w:kern w:val="0"/>
          <w:sz w:val="22"/>
          <w:szCs w:val="22"/>
          <w:lang w:eastAsia="zh-TW"/>
        </w:rPr>
        <w:t>建議修訂公司章程</w:t>
      </w:r>
    </w:p>
    <w:p>
      <w:pPr>
        <w:kinsoku w:val="0"/>
        <w:ind w:right="151" w:rightChars="72"/>
        <w:rPr>
          <w:rFonts w:eastAsia="PMingLiU"/>
          <w:sz w:val="22"/>
          <w:szCs w:val="22"/>
          <w:lang w:eastAsia="zh-TW"/>
        </w:rPr>
      </w:pPr>
    </w:p>
    <w:p>
      <w:pPr>
        <w:kinsoku w:val="0"/>
        <w:ind w:right="151" w:rightChars="72"/>
        <w:rPr>
          <w:rFonts w:eastAsia="PMingLiU"/>
          <w:sz w:val="22"/>
          <w:szCs w:val="22"/>
          <w:lang w:eastAsia="zh-TW"/>
        </w:rPr>
      </w:pPr>
      <w:r>
        <w:rPr>
          <w:rFonts w:hint="eastAsia" w:eastAsia="PMingLiU"/>
          <w:sz w:val="22"/>
          <w:szCs w:val="22"/>
          <w:lang w:eastAsia="zh-TW"/>
        </w:rPr>
        <w:t>玆提述(i)</w:t>
      </w:r>
      <w:r>
        <w:rPr>
          <w:rFonts w:hint="eastAsia" w:eastAsia="PMingLiU"/>
          <w:bCs/>
          <w:color w:val="231F20"/>
          <w:kern w:val="0"/>
          <w:sz w:val="22"/>
          <w:szCs w:val="22"/>
          <w:lang w:eastAsia="zh-TW"/>
        </w:rPr>
        <w:t>山東新華製藥股份有限公司</w:t>
      </w:r>
      <w:r>
        <w:rPr>
          <w:rFonts w:hint="eastAsia" w:eastAsia="PMingLiU"/>
          <w:sz w:val="22"/>
          <w:szCs w:val="22"/>
          <w:lang w:eastAsia="zh-TW"/>
        </w:rPr>
        <w:t>（「</w:t>
      </w:r>
      <w:r>
        <w:rPr>
          <w:rFonts w:hint="eastAsia" w:eastAsia="PMingLiU"/>
          <w:b/>
          <w:sz w:val="22"/>
          <w:szCs w:val="22"/>
          <w:lang w:eastAsia="zh-TW"/>
        </w:rPr>
        <w:t>本公司</w:t>
      </w:r>
      <w:r>
        <w:rPr>
          <w:rFonts w:hint="eastAsia" w:eastAsia="PMingLiU"/>
          <w:sz w:val="22"/>
          <w:szCs w:val="22"/>
          <w:lang w:eastAsia="zh-TW"/>
        </w:rPr>
        <w:t>」）於2021年4月14日刊發的公告，內容有關（其中包括）根據特別授權進行的建議A股發行、A股認購協議、清洗豁免及建議修訂公司章程；及(ii)本公司於2021年5月3日刊發的公告，內容有關延遲寄發通函（定義見下文）。除文義另有所指外，本公告所用詞彙與通函所界定者具有相同涵義。</w:t>
      </w:r>
    </w:p>
    <w:p>
      <w:pPr>
        <w:kinsoku w:val="0"/>
        <w:ind w:right="151" w:rightChars="72"/>
        <w:rPr>
          <w:rFonts w:eastAsia="PMingLiU"/>
          <w:sz w:val="22"/>
          <w:szCs w:val="22"/>
          <w:lang w:eastAsia="zh-TW"/>
        </w:rPr>
      </w:pPr>
    </w:p>
    <w:p>
      <w:pPr>
        <w:kinsoku w:val="0"/>
        <w:ind w:right="151" w:rightChars="72"/>
        <w:rPr>
          <w:rFonts w:eastAsia="PMingLiU"/>
          <w:sz w:val="22"/>
          <w:szCs w:val="22"/>
          <w:lang w:eastAsia="zh-TW"/>
        </w:rPr>
      </w:pPr>
      <w:r>
        <w:rPr>
          <w:rFonts w:hint="eastAsia" w:eastAsia="PMingLiU"/>
          <w:sz w:val="22"/>
          <w:szCs w:val="22"/>
          <w:lang w:eastAsia="zh-TW"/>
        </w:rPr>
        <w:t>董事會欣然宣佈，一份載有（其中包括）(i)有關建議A股發行、特別授權、清洗豁免及建議修訂公司章程之詳情；(ii)</w:t>
      </w:r>
      <w:r>
        <w:rPr>
          <w:rFonts w:hint="eastAsia"/>
        </w:rPr>
        <w:t xml:space="preserve"> </w:t>
      </w:r>
      <w:r>
        <w:rPr>
          <w:rFonts w:hint="eastAsia" w:eastAsia="PMingLiU"/>
          <w:sz w:val="22"/>
          <w:szCs w:val="22"/>
          <w:lang w:eastAsia="zh-TW"/>
        </w:rPr>
        <w:t xml:space="preserve">守則獨立董事委員會函件；(iii) 上市規則獨立董事委員會函件; </w:t>
      </w:r>
      <w:r>
        <w:rPr>
          <w:rFonts w:eastAsia="PMingLiU"/>
          <w:sz w:val="22"/>
          <w:szCs w:val="22"/>
          <w:lang w:eastAsia="zh-TW"/>
        </w:rPr>
        <w:t>(iv)</w:t>
      </w:r>
      <w:r>
        <w:rPr>
          <w:rFonts w:hint="eastAsia" w:eastAsia="PMingLiU"/>
          <w:sz w:val="22"/>
          <w:szCs w:val="22"/>
          <w:lang w:eastAsia="zh-TW"/>
        </w:rPr>
        <w:t>獨立財務顧問之意見函件；及(v)收購守則及上市規則所要求的其他資料的通函（「</w:t>
      </w:r>
      <w:r>
        <w:rPr>
          <w:rFonts w:hint="eastAsia" w:eastAsia="PMingLiU"/>
          <w:b/>
          <w:sz w:val="22"/>
          <w:szCs w:val="22"/>
          <w:lang w:eastAsia="zh-TW"/>
        </w:rPr>
        <w:t>通函</w:t>
      </w:r>
      <w:r>
        <w:rPr>
          <w:rFonts w:hint="eastAsia" w:eastAsia="PMingLiU"/>
          <w:sz w:val="22"/>
          <w:szCs w:val="22"/>
          <w:lang w:eastAsia="zh-TW"/>
        </w:rPr>
        <w:t>」）已於2021年5月31日寄發予股東。</w:t>
      </w:r>
      <w:bookmarkStart w:id="0" w:name="_GoBack"/>
      <w:bookmarkEnd w:id="0"/>
    </w:p>
    <w:p>
      <w:pPr>
        <w:kinsoku w:val="0"/>
        <w:ind w:right="151" w:rightChars="72"/>
        <w:rPr>
          <w:rFonts w:eastAsia="PMingLiU"/>
          <w:sz w:val="22"/>
          <w:szCs w:val="22"/>
          <w:lang w:eastAsia="zh-TW"/>
        </w:rPr>
      </w:pPr>
    </w:p>
    <w:p>
      <w:pPr>
        <w:kinsoku w:val="0"/>
        <w:ind w:right="151" w:rightChars="72"/>
        <w:rPr>
          <w:rFonts w:eastAsia="PMingLiU"/>
          <w:sz w:val="22"/>
          <w:szCs w:val="22"/>
          <w:lang w:eastAsia="zh-TW"/>
        </w:rPr>
      </w:pPr>
      <w:r>
        <w:rPr>
          <w:rFonts w:hint="eastAsia" w:eastAsia="PMingLiU"/>
          <w:sz w:val="22"/>
          <w:szCs w:val="22"/>
          <w:lang w:eastAsia="zh-TW"/>
        </w:rPr>
        <w:t>周年股東大會、A股類別股東會議及H股類別股東會議將於202</w:t>
      </w:r>
      <w:r>
        <w:rPr>
          <w:rFonts w:eastAsia="PMingLiU"/>
          <w:sz w:val="22"/>
          <w:szCs w:val="22"/>
          <w:lang w:eastAsia="zh-TW"/>
        </w:rPr>
        <w:t>1</w:t>
      </w:r>
      <w:r>
        <w:rPr>
          <w:rFonts w:hint="eastAsia" w:eastAsia="PMingLiU"/>
          <w:sz w:val="22"/>
          <w:szCs w:val="22"/>
          <w:lang w:eastAsia="zh-TW"/>
        </w:rPr>
        <w:t>年6月30日（星期三）</w:t>
      </w:r>
      <w:r>
        <w:rPr>
          <w:rFonts w:eastAsia="PMingLiU"/>
          <w:sz w:val="22"/>
          <w:szCs w:val="22"/>
          <w:lang w:eastAsia="zh-TW"/>
        </w:rPr>
        <w:t>於中國山東省淄博市高新區魯泰大道1號本公司會議室舉</w:t>
      </w:r>
      <w:r>
        <w:rPr>
          <w:rFonts w:hint="eastAsia" w:eastAsia="PMingLiU"/>
          <w:sz w:val="22"/>
          <w:szCs w:val="22"/>
          <w:lang w:eastAsia="zh-TW"/>
        </w:rPr>
        <w:t>行。周年股東大會及H股類別股東會議之詳情載列於連同通函寄發日期為202</w:t>
      </w:r>
      <w:r>
        <w:rPr>
          <w:rFonts w:eastAsia="PMingLiU"/>
          <w:sz w:val="22"/>
          <w:szCs w:val="22"/>
          <w:lang w:eastAsia="zh-TW"/>
        </w:rPr>
        <w:t>1</w:t>
      </w:r>
      <w:r>
        <w:rPr>
          <w:rFonts w:hint="eastAsia" w:eastAsia="PMingLiU"/>
          <w:sz w:val="22"/>
          <w:szCs w:val="22"/>
          <w:lang w:eastAsia="zh-TW"/>
        </w:rPr>
        <w:t>年5月31日之周年股東大會及H股類別股東會議通告。</w:t>
      </w:r>
    </w:p>
    <w:p>
      <w:pPr>
        <w:kinsoku w:val="0"/>
        <w:ind w:right="151" w:rightChars="72"/>
        <w:rPr>
          <w:rFonts w:eastAsia="PMingLiU"/>
          <w:sz w:val="22"/>
          <w:szCs w:val="22"/>
          <w:lang w:eastAsia="zh-TW"/>
        </w:rPr>
      </w:pPr>
    </w:p>
    <w:p>
      <w:pPr>
        <w:kinsoku w:val="0"/>
        <w:ind w:right="151" w:rightChars="72"/>
        <w:rPr>
          <w:rFonts w:eastAsia="PMingLiU"/>
          <w:b/>
          <w:sz w:val="22"/>
          <w:szCs w:val="22"/>
          <w:lang w:eastAsia="zh-TW"/>
        </w:rPr>
      </w:pPr>
      <w:r>
        <w:rPr>
          <w:rFonts w:hint="eastAsia" w:eastAsia="PMingLiU"/>
          <w:b/>
          <w:sz w:val="22"/>
          <w:szCs w:val="22"/>
          <w:lang w:eastAsia="zh-TW"/>
        </w:rPr>
        <w:t>建議A股發行的完成須待達成其他條件（包括但不限於證監會授出清洗豁免（證監會未必會授出））後，方告作實。授出清洗豁免為A股認購協議之不可豁免先決條件。因此，建議A股發行未必會進行。股東及潛在投資者於買賣股份時務請審慎行事，如彼等對其狀況及應採取的行動有任何疑問，建議彼等諮詢其專業顧問。</w:t>
      </w:r>
    </w:p>
    <w:p>
      <w:pPr>
        <w:kinsoku w:val="0"/>
        <w:ind w:right="151" w:rightChars="72"/>
        <w:rPr>
          <w:rFonts w:eastAsia="PMingLiU"/>
          <w:b/>
          <w:sz w:val="22"/>
          <w:szCs w:val="22"/>
          <w:lang w:eastAsia="zh-TW"/>
        </w:rPr>
      </w:pPr>
    </w:p>
    <w:p>
      <w:pPr>
        <w:kinsoku w:val="0"/>
        <w:ind w:right="151" w:rightChars="72"/>
        <w:rPr>
          <w:rFonts w:eastAsia="PMingLiU"/>
          <w:sz w:val="22"/>
          <w:szCs w:val="22"/>
          <w:lang w:eastAsia="zh-TW"/>
        </w:rPr>
      </w:pPr>
    </w:p>
    <w:p>
      <w:pPr>
        <w:kinsoku w:val="0"/>
        <w:ind w:right="151" w:rightChars="72"/>
        <w:rPr>
          <w:rFonts w:eastAsia="PMingLiU"/>
          <w:sz w:val="22"/>
          <w:szCs w:val="22"/>
          <w:lang w:eastAsia="zh-TW"/>
        </w:rPr>
      </w:pPr>
    </w:p>
    <w:p>
      <w:pPr>
        <w:kinsoku w:val="0"/>
        <w:ind w:right="151" w:rightChars="72" w:firstLine="3150"/>
        <w:jc w:val="center"/>
        <w:rPr>
          <w:rFonts w:eastAsia="PMingLiU"/>
          <w:b/>
          <w:sz w:val="22"/>
          <w:szCs w:val="22"/>
          <w:lang w:eastAsia="zh-TW"/>
        </w:rPr>
      </w:pPr>
      <w:r>
        <w:rPr>
          <w:rFonts w:hint="eastAsia" w:eastAsia="PMingLiU"/>
          <w:b/>
          <w:sz w:val="22"/>
          <w:szCs w:val="22"/>
          <w:lang w:eastAsia="zh-TW"/>
        </w:rPr>
        <w:t>承董事會命</w:t>
      </w:r>
    </w:p>
    <w:p>
      <w:pPr>
        <w:kinsoku w:val="0"/>
        <w:ind w:right="151" w:rightChars="72" w:firstLine="3150"/>
        <w:jc w:val="center"/>
        <w:rPr>
          <w:rFonts w:eastAsia="PMingLiU"/>
          <w:sz w:val="22"/>
          <w:szCs w:val="22"/>
          <w:lang w:eastAsia="zh-TW"/>
        </w:rPr>
      </w:pPr>
    </w:p>
    <w:p>
      <w:pPr>
        <w:kinsoku w:val="0"/>
        <w:ind w:right="151" w:rightChars="72" w:firstLine="3150"/>
        <w:jc w:val="center"/>
        <w:rPr>
          <w:rFonts w:eastAsia="PMingLiU"/>
          <w:sz w:val="22"/>
          <w:szCs w:val="22"/>
          <w:lang w:eastAsia="zh-TW"/>
        </w:rPr>
      </w:pPr>
    </w:p>
    <w:p>
      <w:pPr>
        <w:kinsoku w:val="0"/>
        <w:ind w:right="151" w:rightChars="72" w:firstLine="3150"/>
        <w:jc w:val="center"/>
        <w:rPr>
          <w:rFonts w:eastAsia="PMingLiU"/>
          <w:sz w:val="22"/>
          <w:szCs w:val="22"/>
          <w:lang w:eastAsia="zh-TW"/>
        </w:rPr>
      </w:pPr>
    </w:p>
    <w:p>
      <w:pPr>
        <w:kinsoku w:val="0"/>
        <w:ind w:right="151" w:rightChars="72" w:firstLine="3150"/>
        <w:jc w:val="center"/>
        <w:rPr>
          <w:rFonts w:eastAsia="PMingLiU"/>
          <w:sz w:val="22"/>
          <w:szCs w:val="22"/>
          <w:lang w:eastAsia="zh-TW"/>
        </w:rPr>
      </w:pPr>
      <w:r>
        <w:rPr>
          <w:rFonts w:hint="eastAsia" w:eastAsia="PMingLiU"/>
          <w:sz w:val="22"/>
          <w:szCs w:val="22"/>
          <w:lang w:eastAsia="zh-TW"/>
        </w:rPr>
        <w:t>山東新華製藥股份有限公司</w:t>
      </w:r>
    </w:p>
    <w:p>
      <w:pPr>
        <w:kinsoku w:val="0"/>
        <w:ind w:right="151" w:rightChars="72" w:firstLine="3150"/>
        <w:jc w:val="center"/>
        <w:rPr>
          <w:rFonts w:eastAsia="PMingLiU"/>
          <w:sz w:val="22"/>
          <w:szCs w:val="22"/>
          <w:lang w:eastAsia="zh-TW"/>
        </w:rPr>
      </w:pPr>
    </w:p>
    <w:p>
      <w:pPr>
        <w:kinsoku w:val="0"/>
        <w:ind w:right="151" w:rightChars="72" w:firstLine="3150"/>
        <w:jc w:val="center"/>
        <w:rPr>
          <w:rFonts w:eastAsia="PMingLiU"/>
          <w:sz w:val="22"/>
          <w:szCs w:val="22"/>
          <w:lang w:eastAsia="zh-TW"/>
        </w:rPr>
      </w:pPr>
      <w:r>
        <w:rPr>
          <w:rFonts w:hint="eastAsia" w:eastAsia="PMingLiU"/>
          <w:sz w:val="22"/>
          <w:szCs w:val="22"/>
          <w:lang w:eastAsia="zh-TW"/>
        </w:rPr>
        <w:t>張代銘</w:t>
      </w:r>
    </w:p>
    <w:p>
      <w:pPr>
        <w:kinsoku w:val="0"/>
        <w:ind w:right="151" w:rightChars="72" w:firstLine="3150"/>
        <w:jc w:val="center"/>
        <w:rPr>
          <w:rFonts w:eastAsia="PMingLiU"/>
          <w:b/>
          <w:sz w:val="22"/>
          <w:szCs w:val="22"/>
          <w:lang w:eastAsia="zh-TW"/>
        </w:rPr>
      </w:pPr>
    </w:p>
    <w:p>
      <w:pPr>
        <w:kinsoku w:val="0"/>
        <w:ind w:right="151" w:rightChars="72" w:firstLine="3150"/>
        <w:jc w:val="center"/>
        <w:rPr>
          <w:rFonts w:eastAsia="PMingLiU"/>
          <w:b/>
          <w:sz w:val="22"/>
          <w:szCs w:val="22"/>
          <w:lang w:eastAsia="zh-TW"/>
        </w:rPr>
      </w:pPr>
      <w:r>
        <w:rPr>
          <w:rFonts w:hint="eastAsia" w:eastAsia="PMingLiU"/>
          <w:b/>
          <w:sz w:val="22"/>
          <w:szCs w:val="22"/>
          <w:lang w:eastAsia="zh-TW"/>
        </w:rPr>
        <w:t>董事長</w:t>
      </w:r>
    </w:p>
    <w:p>
      <w:pPr>
        <w:kinsoku w:val="0"/>
        <w:ind w:right="151" w:rightChars="72"/>
        <w:rPr>
          <w:rFonts w:eastAsia="PMingLiU"/>
          <w:sz w:val="22"/>
          <w:szCs w:val="22"/>
          <w:lang w:eastAsia="zh-TW"/>
        </w:rPr>
      </w:pPr>
    </w:p>
    <w:p>
      <w:pPr>
        <w:kinsoku w:val="0"/>
        <w:ind w:right="151" w:rightChars="72"/>
        <w:rPr>
          <w:rFonts w:eastAsia="PMingLiU"/>
          <w:sz w:val="22"/>
          <w:szCs w:val="22"/>
          <w:lang w:eastAsia="zh-TW"/>
        </w:rPr>
      </w:pPr>
    </w:p>
    <w:p>
      <w:pPr>
        <w:rPr>
          <w:rFonts w:eastAsia="PMingLiU"/>
          <w:sz w:val="22"/>
          <w:szCs w:val="22"/>
          <w:lang w:eastAsia="zh-TW"/>
        </w:rPr>
      </w:pPr>
      <w:r>
        <w:rPr>
          <w:rFonts w:hint="eastAsia" w:eastAsia="PMingLiU"/>
          <w:sz w:val="22"/>
          <w:szCs w:val="22"/>
          <w:lang w:eastAsia="zh-TW"/>
        </w:rPr>
        <w:t>中國淄博，</w:t>
      </w:r>
      <w:r>
        <w:rPr>
          <w:rFonts w:eastAsia="PMingLiU"/>
          <w:sz w:val="22"/>
          <w:szCs w:val="22"/>
          <w:lang w:eastAsia="zh-TW"/>
        </w:rPr>
        <w:t>2021</w:t>
      </w:r>
      <w:r>
        <w:rPr>
          <w:rFonts w:hint="eastAsia" w:eastAsia="PMingLiU" w:cs="PMingLiU"/>
          <w:sz w:val="22"/>
          <w:szCs w:val="22"/>
          <w:lang w:eastAsia="zh-TW"/>
        </w:rPr>
        <w:t>年</w:t>
      </w:r>
      <w:r>
        <w:rPr>
          <w:sz w:val="22"/>
          <w:szCs w:val="22"/>
          <w:lang w:eastAsia="zh-TW"/>
        </w:rPr>
        <w:t>6</w:t>
      </w:r>
      <w:r>
        <w:rPr>
          <w:rFonts w:hint="eastAsia"/>
          <w:sz w:val="22"/>
          <w:szCs w:val="22"/>
          <w:lang w:eastAsia="zh-TW"/>
        </w:rPr>
        <w:t>月</w:t>
      </w:r>
      <w:r>
        <w:rPr>
          <w:sz w:val="22"/>
          <w:szCs w:val="22"/>
          <w:lang w:eastAsia="zh-TW"/>
        </w:rPr>
        <w:t>1</w:t>
      </w:r>
      <w:r>
        <w:rPr>
          <w:rFonts w:hint="eastAsia"/>
          <w:sz w:val="22"/>
          <w:szCs w:val="22"/>
          <w:lang w:eastAsia="zh-TW"/>
        </w:rPr>
        <w:t>日</w:t>
      </w:r>
    </w:p>
    <w:p>
      <w:pPr>
        <w:rPr>
          <w:rFonts w:eastAsia="PMingLiU"/>
          <w:sz w:val="22"/>
          <w:szCs w:val="22"/>
          <w:lang w:eastAsia="zh-TW"/>
        </w:rPr>
      </w:pPr>
    </w:p>
    <w:p>
      <w:pPr>
        <w:rPr>
          <w:rFonts w:eastAsia="PMingLiU"/>
          <w:sz w:val="22"/>
          <w:szCs w:val="22"/>
          <w:lang w:eastAsia="zh-TW"/>
        </w:rPr>
      </w:pPr>
      <w:r>
        <w:rPr>
          <w:rFonts w:hint="eastAsia" w:eastAsia="PMingLiU"/>
          <w:sz w:val="22"/>
          <w:szCs w:val="22"/>
          <w:lang w:eastAsia="zh-TW"/>
        </w:rPr>
        <w:t>於本公告日，本公司董事會之成員如下：</w:t>
      </w:r>
    </w:p>
    <w:p>
      <w:pPr>
        <w:autoSpaceDE w:val="0"/>
        <w:autoSpaceDN w:val="0"/>
        <w:jc w:val="left"/>
        <w:rPr>
          <w:rFonts w:eastAsia="PMingLiU"/>
          <w:kern w:val="0"/>
          <w:sz w:val="22"/>
          <w:szCs w:val="22"/>
          <w:lang w:eastAsia="zh-TW"/>
        </w:rPr>
      </w:pPr>
    </w:p>
    <w:tbl>
      <w:tblPr>
        <w:tblStyle w:val="21"/>
        <w:tblW w:w="8612" w:type="dxa"/>
        <w:tblInd w:w="-108" w:type="dxa"/>
        <w:tblLayout w:type="fixed"/>
        <w:tblCellMar>
          <w:top w:w="0" w:type="dxa"/>
          <w:left w:w="108" w:type="dxa"/>
          <w:bottom w:w="0" w:type="dxa"/>
          <w:right w:w="108" w:type="dxa"/>
        </w:tblCellMar>
      </w:tblPr>
      <w:tblGrid>
        <w:gridCol w:w="4306"/>
        <w:gridCol w:w="4306"/>
      </w:tblGrid>
      <w:tr>
        <w:tblPrEx>
          <w:tblLayout w:type="fixed"/>
          <w:tblCellMar>
            <w:top w:w="0" w:type="dxa"/>
            <w:left w:w="108" w:type="dxa"/>
            <w:bottom w:w="0" w:type="dxa"/>
            <w:right w:w="108" w:type="dxa"/>
          </w:tblCellMar>
        </w:tblPrEx>
        <w:tc>
          <w:tcPr>
            <w:tcW w:w="4306" w:type="dxa"/>
          </w:tcPr>
          <w:p>
            <w:pPr>
              <w:autoSpaceDE w:val="0"/>
              <w:autoSpaceDN w:val="0"/>
              <w:jc w:val="left"/>
              <w:rPr>
                <w:rFonts w:eastAsia="PMingLiU"/>
                <w:kern w:val="0"/>
                <w:sz w:val="22"/>
                <w:szCs w:val="22"/>
                <w:u w:val="single"/>
                <w:lang w:eastAsia="zh-TW"/>
              </w:rPr>
            </w:pPr>
            <w:r>
              <w:rPr>
                <w:rFonts w:hint="eastAsia" w:eastAsia="PMingLiU"/>
                <w:kern w:val="0"/>
                <w:sz w:val="22"/>
                <w:szCs w:val="22"/>
                <w:u w:val="single"/>
                <w:lang w:eastAsia="zh-TW"/>
              </w:rPr>
              <w:t>執行董事：</w:t>
            </w:r>
          </w:p>
        </w:tc>
        <w:tc>
          <w:tcPr>
            <w:tcW w:w="4306" w:type="dxa"/>
          </w:tcPr>
          <w:p>
            <w:pPr>
              <w:widowControl/>
              <w:rPr>
                <w:rFonts w:eastAsia="PMingLiU"/>
                <w:kern w:val="0"/>
                <w:sz w:val="22"/>
                <w:szCs w:val="22"/>
                <w:u w:val="single"/>
                <w:lang w:eastAsia="zh-TW"/>
              </w:rPr>
            </w:pPr>
            <w:r>
              <w:rPr>
                <w:rFonts w:hint="eastAsia" w:eastAsia="PMingLiU"/>
                <w:kern w:val="0"/>
                <w:sz w:val="22"/>
                <w:szCs w:val="22"/>
                <w:u w:val="single"/>
                <w:lang w:eastAsia="zh-TW"/>
              </w:rPr>
              <w:t>獨立非執行董事：</w:t>
            </w:r>
          </w:p>
          <w:p>
            <w:pPr>
              <w:autoSpaceDE w:val="0"/>
              <w:autoSpaceDN w:val="0"/>
              <w:jc w:val="left"/>
              <w:rPr>
                <w:rFonts w:eastAsia="PMingLiU"/>
                <w:kern w:val="0"/>
                <w:sz w:val="22"/>
                <w:szCs w:val="22"/>
                <w:lang w:eastAsia="zh-TW"/>
              </w:rPr>
            </w:pPr>
          </w:p>
        </w:tc>
      </w:tr>
      <w:tr>
        <w:tblPrEx>
          <w:tblLayout w:type="fixed"/>
          <w:tblCellMar>
            <w:top w:w="0" w:type="dxa"/>
            <w:left w:w="108" w:type="dxa"/>
            <w:bottom w:w="0" w:type="dxa"/>
            <w:right w:w="108" w:type="dxa"/>
          </w:tblCellMar>
        </w:tblPrEx>
        <w:tc>
          <w:tcPr>
            <w:tcW w:w="4306" w:type="dxa"/>
          </w:tcPr>
          <w:p>
            <w:pPr>
              <w:autoSpaceDE w:val="0"/>
              <w:autoSpaceDN w:val="0"/>
              <w:jc w:val="left"/>
              <w:rPr>
                <w:rFonts w:eastAsia="PMingLiU"/>
                <w:kern w:val="0"/>
                <w:sz w:val="22"/>
                <w:szCs w:val="22"/>
                <w:lang w:eastAsia="zh-TW"/>
              </w:rPr>
            </w:pPr>
            <w:r>
              <w:rPr>
                <w:rFonts w:hint="eastAsia" w:eastAsia="PMingLiU"/>
                <w:kern w:val="0"/>
                <w:sz w:val="22"/>
                <w:szCs w:val="22"/>
                <w:lang w:eastAsia="zh-TW"/>
              </w:rPr>
              <w:t>張代銘先生</w:t>
            </w:r>
            <w:r>
              <w:rPr>
                <w:rFonts w:eastAsia="PMingLiU"/>
                <w:kern w:val="0"/>
                <w:sz w:val="22"/>
                <w:szCs w:val="22"/>
                <w:lang w:eastAsia="zh-TW"/>
              </w:rPr>
              <w:t>(</w:t>
            </w:r>
            <w:r>
              <w:rPr>
                <w:rFonts w:hint="eastAsia" w:eastAsia="PMingLiU"/>
                <w:kern w:val="0"/>
                <w:sz w:val="22"/>
                <w:szCs w:val="22"/>
                <w:lang w:eastAsia="zh-TW"/>
              </w:rPr>
              <w:t>董事長</w:t>
            </w:r>
            <w:r>
              <w:rPr>
                <w:rFonts w:eastAsia="PMingLiU"/>
                <w:kern w:val="0"/>
                <w:sz w:val="22"/>
                <w:szCs w:val="22"/>
                <w:lang w:eastAsia="zh-TW"/>
              </w:rPr>
              <w:t>)</w:t>
            </w:r>
          </w:p>
        </w:tc>
        <w:tc>
          <w:tcPr>
            <w:tcW w:w="4306" w:type="dxa"/>
          </w:tcPr>
          <w:p>
            <w:pPr>
              <w:autoSpaceDE w:val="0"/>
              <w:autoSpaceDN w:val="0"/>
              <w:jc w:val="left"/>
              <w:rPr>
                <w:rFonts w:eastAsia="PMingLiU"/>
                <w:kern w:val="0"/>
                <w:sz w:val="22"/>
                <w:szCs w:val="22"/>
                <w:lang w:eastAsia="zh-TW"/>
              </w:rPr>
            </w:pPr>
            <w:r>
              <w:rPr>
                <w:rFonts w:hint="eastAsia" w:eastAsia="PMingLiU"/>
                <w:kern w:val="0"/>
                <w:sz w:val="22"/>
                <w:szCs w:val="22"/>
                <w:lang w:eastAsia="zh-TW"/>
              </w:rPr>
              <w:t>潘廣成先生</w:t>
            </w:r>
          </w:p>
        </w:tc>
      </w:tr>
      <w:tr>
        <w:tblPrEx>
          <w:tblLayout w:type="fixed"/>
          <w:tblCellMar>
            <w:top w:w="0" w:type="dxa"/>
            <w:left w:w="108" w:type="dxa"/>
            <w:bottom w:w="0" w:type="dxa"/>
            <w:right w:w="108" w:type="dxa"/>
          </w:tblCellMar>
        </w:tblPrEx>
        <w:tc>
          <w:tcPr>
            <w:tcW w:w="4306" w:type="dxa"/>
          </w:tcPr>
          <w:p>
            <w:pPr>
              <w:widowControl/>
              <w:rPr>
                <w:rFonts w:eastAsia="PMingLiU"/>
                <w:kern w:val="0"/>
                <w:sz w:val="22"/>
                <w:szCs w:val="22"/>
                <w:lang w:eastAsia="zh-TW"/>
              </w:rPr>
            </w:pPr>
            <w:r>
              <w:rPr>
                <w:rFonts w:hint="eastAsia" w:eastAsia="PMingLiU"/>
                <w:kern w:val="0"/>
                <w:sz w:val="22"/>
                <w:szCs w:val="22"/>
                <w:lang w:eastAsia="zh-TW"/>
              </w:rPr>
              <w:t>杜德平先生</w:t>
            </w:r>
          </w:p>
        </w:tc>
        <w:tc>
          <w:tcPr>
            <w:tcW w:w="4306" w:type="dxa"/>
          </w:tcPr>
          <w:p>
            <w:pPr>
              <w:autoSpaceDE w:val="0"/>
              <w:autoSpaceDN w:val="0"/>
              <w:jc w:val="left"/>
              <w:rPr>
                <w:rFonts w:eastAsia="PMingLiU"/>
                <w:kern w:val="0"/>
                <w:sz w:val="22"/>
                <w:szCs w:val="22"/>
                <w:lang w:eastAsia="zh-TW"/>
              </w:rPr>
            </w:pPr>
            <w:r>
              <w:rPr>
                <w:rFonts w:hint="eastAsia" w:eastAsia="PMingLiU"/>
                <w:kern w:val="0"/>
                <w:sz w:val="22"/>
                <w:szCs w:val="22"/>
                <w:lang w:eastAsia="zh-TW"/>
              </w:rPr>
              <w:t>朱建偉先生</w:t>
            </w:r>
          </w:p>
        </w:tc>
      </w:tr>
      <w:tr>
        <w:tblPrEx>
          <w:tblLayout w:type="fixed"/>
          <w:tblCellMar>
            <w:top w:w="0" w:type="dxa"/>
            <w:left w:w="108" w:type="dxa"/>
            <w:bottom w:w="0" w:type="dxa"/>
            <w:right w:w="108" w:type="dxa"/>
          </w:tblCellMar>
        </w:tblPrEx>
        <w:trPr>
          <w:trHeight w:val="431" w:hRule="atLeast"/>
        </w:trPr>
        <w:tc>
          <w:tcPr>
            <w:tcW w:w="4306" w:type="dxa"/>
          </w:tcPr>
          <w:p>
            <w:pPr>
              <w:autoSpaceDE w:val="0"/>
              <w:autoSpaceDN w:val="0"/>
              <w:jc w:val="left"/>
              <w:rPr>
                <w:rFonts w:eastAsia="PMingLiU"/>
                <w:kern w:val="0"/>
                <w:sz w:val="22"/>
                <w:szCs w:val="22"/>
                <w:lang w:eastAsia="zh-TW"/>
              </w:rPr>
            </w:pPr>
            <w:r>
              <w:rPr>
                <w:rFonts w:hint="eastAsia" w:eastAsia="PMingLiU"/>
                <w:kern w:val="0"/>
                <w:sz w:val="22"/>
                <w:szCs w:val="22"/>
                <w:lang w:eastAsia="zh-TW"/>
              </w:rPr>
              <w:t>賀同慶先生</w:t>
            </w:r>
            <w:r>
              <w:rPr>
                <w:rFonts w:eastAsia="PMingLiU"/>
                <w:kern w:val="0"/>
                <w:sz w:val="22"/>
                <w:szCs w:val="22"/>
                <w:lang w:eastAsia="zh-TW"/>
              </w:rPr>
              <w:tab/>
            </w:r>
          </w:p>
        </w:tc>
        <w:tc>
          <w:tcPr>
            <w:tcW w:w="4306" w:type="dxa"/>
          </w:tcPr>
          <w:p>
            <w:pPr>
              <w:widowControl/>
              <w:rPr>
                <w:rFonts w:eastAsia="PMingLiU"/>
                <w:kern w:val="0"/>
                <w:sz w:val="22"/>
                <w:szCs w:val="22"/>
                <w:lang w:eastAsia="zh-TW"/>
              </w:rPr>
            </w:pPr>
            <w:r>
              <w:rPr>
                <w:rFonts w:hint="eastAsia" w:eastAsia="PMingLiU"/>
                <w:kern w:val="0"/>
                <w:sz w:val="22"/>
                <w:szCs w:val="22"/>
                <w:lang w:eastAsia="zh-TW"/>
              </w:rPr>
              <w:t>盧華威先生</w:t>
            </w:r>
          </w:p>
          <w:p>
            <w:pPr>
              <w:autoSpaceDE w:val="0"/>
              <w:autoSpaceDN w:val="0"/>
              <w:jc w:val="left"/>
              <w:rPr>
                <w:rFonts w:eastAsia="PMingLiU"/>
                <w:kern w:val="0"/>
                <w:sz w:val="22"/>
                <w:szCs w:val="22"/>
                <w:lang w:eastAsia="zh-TW"/>
              </w:rPr>
            </w:pPr>
          </w:p>
        </w:tc>
      </w:tr>
      <w:tr>
        <w:tblPrEx>
          <w:tblLayout w:type="fixed"/>
          <w:tblCellMar>
            <w:top w:w="0" w:type="dxa"/>
            <w:left w:w="108" w:type="dxa"/>
            <w:bottom w:w="0" w:type="dxa"/>
            <w:right w:w="108" w:type="dxa"/>
          </w:tblCellMar>
        </w:tblPrEx>
        <w:trPr>
          <w:trHeight w:val="431" w:hRule="atLeast"/>
        </w:trPr>
        <w:tc>
          <w:tcPr>
            <w:tcW w:w="4306" w:type="dxa"/>
          </w:tcPr>
          <w:p>
            <w:pPr>
              <w:widowControl/>
              <w:rPr>
                <w:rFonts w:eastAsia="PMingLiU"/>
                <w:kern w:val="0"/>
                <w:sz w:val="22"/>
                <w:szCs w:val="22"/>
                <w:u w:val="single"/>
                <w:lang w:eastAsia="zh-TW"/>
              </w:rPr>
            </w:pPr>
            <w:r>
              <w:rPr>
                <w:rFonts w:hint="eastAsia" w:eastAsia="PMingLiU"/>
                <w:kern w:val="0"/>
                <w:sz w:val="22"/>
                <w:szCs w:val="22"/>
                <w:u w:val="single"/>
                <w:lang w:eastAsia="zh-TW"/>
              </w:rPr>
              <w:t>非執行董事：</w:t>
            </w:r>
          </w:p>
        </w:tc>
        <w:tc>
          <w:tcPr>
            <w:tcW w:w="4306" w:type="dxa"/>
          </w:tcPr>
          <w:p>
            <w:pPr>
              <w:widowControl/>
              <w:rPr>
                <w:rFonts w:eastAsia="PMingLiU"/>
                <w:kern w:val="0"/>
                <w:sz w:val="22"/>
                <w:szCs w:val="22"/>
                <w:lang w:eastAsia="zh-TW"/>
              </w:rPr>
            </w:pPr>
          </w:p>
        </w:tc>
      </w:tr>
      <w:tr>
        <w:tblPrEx>
          <w:tblLayout w:type="fixed"/>
          <w:tblCellMar>
            <w:top w:w="0" w:type="dxa"/>
            <w:left w:w="108" w:type="dxa"/>
            <w:bottom w:w="0" w:type="dxa"/>
            <w:right w:w="108" w:type="dxa"/>
          </w:tblCellMar>
        </w:tblPrEx>
        <w:trPr>
          <w:trHeight w:val="431" w:hRule="atLeast"/>
        </w:trPr>
        <w:tc>
          <w:tcPr>
            <w:tcW w:w="4306" w:type="dxa"/>
          </w:tcPr>
          <w:p>
            <w:pPr>
              <w:widowControl/>
              <w:rPr>
                <w:rFonts w:eastAsia="PMingLiU"/>
                <w:kern w:val="0"/>
                <w:sz w:val="22"/>
                <w:szCs w:val="22"/>
                <w:lang w:eastAsia="zh-TW"/>
              </w:rPr>
            </w:pPr>
            <w:r>
              <w:rPr>
                <w:rFonts w:hint="eastAsia" w:eastAsia="PMingLiU"/>
                <w:kern w:val="0"/>
                <w:sz w:val="22"/>
                <w:szCs w:val="22"/>
                <w:lang w:eastAsia="zh-TW"/>
              </w:rPr>
              <w:t>叢克春先生</w:t>
            </w:r>
          </w:p>
        </w:tc>
        <w:tc>
          <w:tcPr>
            <w:tcW w:w="4306" w:type="dxa"/>
          </w:tcPr>
          <w:p>
            <w:pPr>
              <w:widowControl/>
              <w:rPr>
                <w:rFonts w:eastAsia="PMingLiU"/>
                <w:kern w:val="0"/>
                <w:sz w:val="22"/>
                <w:szCs w:val="22"/>
                <w:lang w:eastAsia="zh-TW"/>
              </w:rPr>
            </w:pPr>
          </w:p>
        </w:tc>
      </w:tr>
      <w:tr>
        <w:tblPrEx>
          <w:tblLayout w:type="fixed"/>
          <w:tblCellMar>
            <w:top w:w="0" w:type="dxa"/>
            <w:left w:w="108" w:type="dxa"/>
            <w:bottom w:w="0" w:type="dxa"/>
            <w:right w:w="108" w:type="dxa"/>
          </w:tblCellMar>
        </w:tblPrEx>
        <w:trPr>
          <w:trHeight w:val="431" w:hRule="atLeast"/>
        </w:trPr>
        <w:tc>
          <w:tcPr>
            <w:tcW w:w="4306" w:type="dxa"/>
          </w:tcPr>
          <w:p>
            <w:pPr>
              <w:widowControl/>
              <w:rPr>
                <w:rFonts w:eastAsia="PMingLiU"/>
                <w:kern w:val="0"/>
                <w:sz w:val="22"/>
                <w:szCs w:val="22"/>
                <w:lang w:eastAsia="zh-TW"/>
              </w:rPr>
            </w:pPr>
            <w:r>
              <w:rPr>
                <w:rFonts w:hint="eastAsia" w:eastAsia="PMingLiU"/>
                <w:kern w:val="0"/>
                <w:sz w:val="22"/>
                <w:szCs w:val="22"/>
                <w:lang w:eastAsia="zh-TW"/>
              </w:rPr>
              <w:t>徐列先生</w:t>
            </w:r>
          </w:p>
        </w:tc>
        <w:tc>
          <w:tcPr>
            <w:tcW w:w="4306" w:type="dxa"/>
          </w:tcPr>
          <w:p>
            <w:pPr>
              <w:widowControl/>
              <w:rPr>
                <w:rFonts w:eastAsia="PMingLiU"/>
                <w:kern w:val="0"/>
                <w:sz w:val="22"/>
                <w:szCs w:val="22"/>
                <w:lang w:eastAsia="zh-TW"/>
              </w:rPr>
            </w:pPr>
          </w:p>
        </w:tc>
      </w:tr>
    </w:tbl>
    <w:p>
      <w:pPr>
        <w:widowControl/>
        <w:rPr>
          <w:rFonts w:eastAsia="PMingLiU"/>
          <w:kern w:val="0"/>
          <w:sz w:val="22"/>
          <w:szCs w:val="22"/>
          <w:lang w:eastAsia="zh-TW"/>
        </w:rPr>
      </w:pPr>
    </w:p>
    <w:p>
      <w:pPr>
        <w:widowControl/>
        <w:rPr>
          <w:rFonts w:eastAsia="PMingLiU"/>
          <w:kern w:val="0"/>
          <w:sz w:val="22"/>
          <w:szCs w:val="22"/>
          <w:lang w:eastAsia="zh-TW"/>
        </w:rPr>
      </w:pPr>
    </w:p>
    <w:p>
      <w:pPr>
        <w:widowControl/>
        <w:rPr>
          <w:rFonts w:eastAsia="PMingLiU"/>
          <w:kern w:val="0"/>
          <w:sz w:val="22"/>
          <w:szCs w:val="22"/>
          <w:lang w:eastAsia="zh-TW"/>
        </w:rPr>
      </w:pPr>
      <w:r>
        <w:rPr>
          <w:rFonts w:hint="eastAsia" w:eastAsia="PMingLiU"/>
          <w:kern w:val="0"/>
          <w:sz w:val="22"/>
          <w:szCs w:val="22"/>
          <w:lang w:eastAsia="zh-TW"/>
        </w:rPr>
        <w:t>於本公告日期，華魯控股董事成員包括樊軍先生、李偉先生、丁振波先生、孫佑民先生、張玉明先生及婁紅祥先生。</w:t>
      </w:r>
      <w:r>
        <w:rPr>
          <w:rFonts w:eastAsia="PMingLiU"/>
          <w:kern w:val="0"/>
          <w:sz w:val="22"/>
          <w:szCs w:val="22"/>
          <w:lang w:eastAsia="zh-TW"/>
        </w:rPr>
        <w:t xml:space="preserve"> </w:t>
      </w:r>
    </w:p>
    <w:p>
      <w:pPr>
        <w:widowControl/>
        <w:rPr>
          <w:rFonts w:eastAsia="PMingLiU"/>
          <w:kern w:val="0"/>
          <w:sz w:val="22"/>
          <w:szCs w:val="22"/>
          <w:lang w:eastAsia="zh-TW"/>
        </w:rPr>
      </w:pPr>
    </w:p>
    <w:p>
      <w:pPr>
        <w:widowControl/>
        <w:rPr>
          <w:rFonts w:eastAsia="PMingLiU"/>
          <w:kern w:val="0"/>
          <w:sz w:val="22"/>
          <w:szCs w:val="22"/>
          <w:lang w:eastAsia="zh-TW"/>
        </w:rPr>
      </w:pPr>
      <w:r>
        <w:rPr>
          <w:rFonts w:hint="eastAsia" w:eastAsia="PMingLiU"/>
          <w:kern w:val="0"/>
          <w:sz w:val="22"/>
          <w:szCs w:val="22"/>
          <w:lang w:eastAsia="zh-TW"/>
        </w:rPr>
        <w:t>董事願就本公告所載資料（有關華魯控股及其一致行動人士之資料除外）之準確性共同及個別承擔全部責任，並經作出一切合理查詢後確認，就彼等所深知，本公告內發表之意見乃經審慎周詳考慮後達致，而本公告並無遺漏其他事實，致使本公告內之任何陳述產生誤導。</w:t>
      </w:r>
    </w:p>
    <w:p>
      <w:pPr>
        <w:widowControl/>
        <w:rPr>
          <w:rFonts w:eastAsia="PMingLiU"/>
          <w:kern w:val="0"/>
          <w:sz w:val="22"/>
          <w:szCs w:val="22"/>
          <w:lang w:eastAsia="zh-TW"/>
        </w:rPr>
      </w:pPr>
    </w:p>
    <w:p>
      <w:pPr>
        <w:widowControl/>
        <w:rPr>
          <w:rFonts w:eastAsia="PMingLiU"/>
          <w:kern w:val="0"/>
          <w:sz w:val="22"/>
          <w:szCs w:val="22"/>
          <w:lang w:eastAsia="zh-TW"/>
        </w:rPr>
      </w:pPr>
      <w:r>
        <w:rPr>
          <w:rFonts w:hint="eastAsia" w:eastAsia="PMingLiU"/>
          <w:kern w:val="0"/>
          <w:sz w:val="22"/>
          <w:szCs w:val="22"/>
          <w:lang w:eastAsia="zh-TW"/>
        </w:rPr>
        <w:t>華魯控股董事願就本公告所載之資料（與本公司有關之資料除外）之準確性共同及個別承擔全部責任，並經作出一切合理查詢後確認，就彼等所深知，本公告內發表之意見乃經審慎周詳考慮後達致，而本公告並無遺漏其他事實，致使本公告內之任何陳述產生誤導。</w:t>
      </w:r>
    </w:p>
    <w:p>
      <w:pPr>
        <w:widowControl/>
        <w:rPr>
          <w:rFonts w:eastAsia="PMingLiU"/>
          <w:kern w:val="0"/>
          <w:sz w:val="22"/>
          <w:szCs w:val="22"/>
          <w:lang w:eastAsia="zh-TW"/>
        </w:rPr>
      </w:pPr>
    </w:p>
    <w:sectPr>
      <w:headerReference r:id="rId3" w:type="default"/>
      <w:footerReference r:id="rId4" w:type="default"/>
      <w:footerReference r:id="rId5" w:type="even"/>
      <w:pgSz w:w="11906" w:h="16838"/>
      <w:pgMar w:top="1440" w:right="1800" w:bottom="1440" w:left="171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0"/>
    <w:family w:val="swiss"/>
    <w:pitch w:val="default"/>
    <w:sig w:usb0="FFFFFFFF" w:usb1="E9FFFFFF" w:usb2="0000003F" w:usb3="00000000" w:csb0="603F01FF" w:csb1="FFFF0000"/>
  </w:font>
  <w:font w:name="PMingLiU">
    <w:panose1 w:val="02020500000000000000"/>
    <w:charset w:val="88"/>
    <w:family w:val="roman"/>
    <w:pitch w:val="default"/>
    <w:sig w:usb0="A00002FF" w:usb1="28CFFCFA" w:usb2="00000016" w:usb3="00000000" w:csb0="00100001" w:csb1="00000000"/>
  </w:font>
  <w:font w:name="Arial">
    <w:panose1 w:val="020B0604020202020204"/>
    <w:charset w:val="00"/>
    <w:family w:val="swiss"/>
    <w:pitch w:val="default"/>
    <w:sig w:usb0="E0002AFF" w:usb1="C0007843" w:usb2="00000009" w:usb3="00000000" w:csb0="400001FF" w:csb1="FFFF0000"/>
  </w:font>
  <w:font w:name="PMCHM I+ Times">
    <w:altName w:val="宋体"/>
    <w:panose1 w:val="00000000000000000000"/>
    <w:charset w:val="86"/>
    <w:family w:val="roma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Calibri Light">
    <w:altName w:val="Calibri"/>
    <w:panose1 w:val="020F030202020403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18"/>
      </w:rPr>
    </w:pPr>
    <w:r>
      <w:fldChar w:fldCharType="begin"/>
    </w:r>
    <w:r>
      <w:rPr>
        <w:rStyle w:val="18"/>
      </w:rPr>
      <w:instrText xml:space="preserve">PAGE  </w:instrText>
    </w:r>
    <w:r>
      <w:fldChar w:fldCharType="separate"/>
    </w:r>
    <w:r>
      <w:rPr>
        <w:rStyle w:val="18"/>
      </w:rPr>
      <w:t>2</w:t>
    </w:r>
    <w: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18"/>
      </w:rPr>
    </w:pPr>
    <w:r>
      <w:fldChar w:fldCharType="begin"/>
    </w:r>
    <w:r>
      <w:rPr>
        <w:rStyle w:val="18"/>
      </w:rPr>
      <w:instrText xml:space="preserve">PAGE  </w:instrText>
    </w:r>
    <w: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F21B7"/>
    <w:multiLevelType w:val="multilevel"/>
    <w:tmpl w:val="222F21B7"/>
    <w:lvl w:ilvl="0" w:tentative="0">
      <w:start w:val="1"/>
      <w:numFmt w:val="decimal"/>
      <w:pStyle w:val="4"/>
      <w:lvlText w:val="%1."/>
      <w:lvlJc w:val="left"/>
      <w:pPr>
        <w:ind w:left="510" w:hanging="360"/>
      </w:pPr>
    </w:lvl>
    <w:lvl w:ilvl="1" w:tentative="0">
      <w:start w:val="1"/>
      <w:numFmt w:val="lowerLetter"/>
      <w:lvlText w:val="%2."/>
      <w:lvlJc w:val="left"/>
      <w:pPr>
        <w:ind w:left="1230" w:hanging="360"/>
      </w:pPr>
    </w:lvl>
    <w:lvl w:ilvl="2" w:tentative="0">
      <w:start w:val="1"/>
      <w:numFmt w:val="lowerRoman"/>
      <w:lvlText w:val="%3."/>
      <w:lvlJc w:val="right"/>
      <w:pPr>
        <w:ind w:left="1950" w:hanging="180"/>
      </w:pPr>
    </w:lvl>
    <w:lvl w:ilvl="3" w:tentative="0">
      <w:start w:val="1"/>
      <w:numFmt w:val="decimal"/>
      <w:lvlText w:val="%4."/>
      <w:lvlJc w:val="left"/>
      <w:pPr>
        <w:ind w:left="2670" w:hanging="360"/>
      </w:pPr>
    </w:lvl>
    <w:lvl w:ilvl="4" w:tentative="0">
      <w:start w:val="1"/>
      <w:numFmt w:val="lowerLetter"/>
      <w:lvlText w:val="%5."/>
      <w:lvlJc w:val="left"/>
      <w:pPr>
        <w:ind w:left="3390" w:hanging="360"/>
      </w:pPr>
    </w:lvl>
    <w:lvl w:ilvl="5" w:tentative="0">
      <w:start w:val="1"/>
      <w:numFmt w:val="lowerRoman"/>
      <w:lvlText w:val="%6."/>
      <w:lvlJc w:val="right"/>
      <w:pPr>
        <w:ind w:left="4110" w:hanging="180"/>
      </w:pPr>
    </w:lvl>
    <w:lvl w:ilvl="6" w:tentative="0">
      <w:start w:val="1"/>
      <w:numFmt w:val="decimal"/>
      <w:lvlText w:val="%7."/>
      <w:lvlJc w:val="left"/>
      <w:pPr>
        <w:ind w:left="4830" w:hanging="360"/>
      </w:pPr>
    </w:lvl>
    <w:lvl w:ilvl="7" w:tentative="0">
      <w:start w:val="1"/>
      <w:numFmt w:val="lowerLetter"/>
      <w:lvlText w:val="%8."/>
      <w:lvlJc w:val="left"/>
      <w:pPr>
        <w:ind w:left="5550" w:hanging="360"/>
      </w:pPr>
    </w:lvl>
    <w:lvl w:ilvl="8" w:tentative="0">
      <w:start w:val="1"/>
      <w:numFmt w:val="lowerRoman"/>
      <w:lvlText w:val="%9."/>
      <w:lvlJc w:val="right"/>
      <w:pPr>
        <w:ind w:left="6270" w:hanging="180"/>
      </w:pPr>
    </w:lvl>
  </w:abstractNum>
  <w:abstractNum w:abstractNumId="1">
    <w:nsid w:val="48B750C8"/>
    <w:multiLevelType w:val="multilevel"/>
    <w:tmpl w:val="48B750C8"/>
    <w:lvl w:ilvl="0" w:tentative="0">
      <w:start w:val="1"/>
      <w:numFmt w:val="upperLetter"/>
      <w:pStyle w:val="5"/>
      <w:lvlText w:val="%1."/>
      <w:lvlJc w:val="left"/>
      <w:pPr>
        <w:tabs>
          <w:tab w:val="left" w:pos="480"/>
        </w:tabs>
        <w:ind w:left="480" w:hanging="480"/>
      </w:pPr>
    </w:lvl>
    <w:lvl w:ilvl="1" w:tentative="0">
      <w:start w:val="1"/>
      <w:numFmt w:val="lowerLetter"/>
      <w:lvlText w:val="(%2)"/>
      <w:lvlJc w:val="right"/>
      <w:pPr>
        <w:tabs>
          <w:tab w:val="left" w:pos="960"/>
        </w:tabs>
        <w:ind w:left="960" w:hanging="480"/>
      </w:pPr>
      <w:rPr>
        <w:rFonts w:hint="eastAsia" w:eastAsia="Arial Unicode MS"/>
      </w:rPr>
    </w:lvl>
    <w:lvl w:ilvl="2" w:tentative="0">
      <w:start w:val="1"/>
      <w:numFmt w:val="lowerRoman"/>
      <w:lvlText w:val="%3."/>
      <w:lvlJc w:val="right"/>
      <w:pPr>
        <w:tabs>
          <w:tab w:val="left" w:pos="1440"/>
        </w:tabs>
        <w:ind w:left="1440" w:hanging="480"/>
      </w:pPr>
    </w:lvl>
    <w:lvl w:ilvl="3" w:tentative="0">
      <w:start w:val="1"/>
      <w:numFmt w:val="decimal"/>
      <w:lvlText w:val="%4."/>
      <w:lvlJc w:val="left"/>
      <w:pPr>
        <w:tabs>
          <w:tab w:val="left" w:pos="1920"/>
        </w:tabs>
        <w:ind w:left="1920" w:hanging="480"/>
      </w:pPr>
    </w:lvl>
    <w:lvl w:ilvl="4" w:tentative="0">
      <w:start w:val="1"/>
      <w:numFmt w:val="ideographTraditional"/>
      <w:lvlText w:val="%5、"/>
      <w:lvlJc w:val="left"/>
      <w:pPr>
        <w:tabs>
          <w:tab w:val="left" w:pos="2400"/>
        </w:tabs>
        <w:ind w:left="2400" w:hanging="480"/>
      </w:pPr>
    </w:lvl>
    <w:lvl w:ilvl="5" w:tentative="0">
      <w:start w:val="1"/>
      <w:numFmt w:val="lowerRoman"/>
      <w:lvlText w:val="%6."/>
      <w:lvlJc w:val="right"/>
      <w:pPr>
        <w:tabs>
          <w:tab w:val="left" w:pos="2880"/>
        </w:tabs>
        <w:ind w:left="2880" w:hanging="480"/>
      </w:pPr>
    </w:lvl>
    <w:lvl w:ilvl="6" w:tentative="0">
      <w:start w:val="1"/>
      <w:numFmt w:val="decimal"/>
      <w:lvlText w:val="%7."/>
      <w:lvlJc w:val="left"/>
      <w:pPr>
        <w:tabs>
          <w:tab w:val="left" w:pos="3360"/>
        </w:tabs>
        <w:ind w:left="3360" w:hanging="480"/>
      </w:pPr>
    </w:lvl>
    <w:lvl w:ilvl="7" w:tentative="0">
      <w:start w:val="1"/>
      <w:numFmt w:val="ideographTraditional"/>
      <w:lvlText w:val="%8、"/>
      <w:lvlJc w:val="left"/>
      <w:pPr>
        <w:tabs>
          <w:tab w:val="left" w:pos="3840"/>
        </w:tabs>
        <w:ind w:left="3840" w:hanging="480"/>
      </w:pPr>
    </w:lvl>
    <w:lvl w:ilvl="8" w:tentative="0">
      <w:start w:val="1"/>
      <w:numFmt w:val="lowerRoman"/>
      <w:lvlText w:val="%9."/>
      <w:lvlJc w:val="right"/>
      <w:pPr>
        <w:tabs>
          <w:tab w:val="left"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val="1"/>
  <w:bordersDoNotSurroundFooter w:val="1"/>
  <w:documentProtection w:enforcement="0"/>
  <w:defaultTabStop w:val="432"/>
  <w:hyphenationZone w:val="357"/>
  <w:doNotHyphenateCaps/>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0F"/>
    <w:rsid w:val="000017F0"/>
    <w:rsid w:val="00017B87"/>
    <w:rsid w:val="00024A5E"/>
    <w:rsid w:val="000258F2"/>
    <w:rsid w:val="0003121C"/>
    <w:rsid w:val="00031C22"/>
    <w:rsid w:val="00042EC6"/>
    <w:rsid w:val="000516F5"/>
    <w:rsid w:val="000532A7"/>
    <w:rsid w:val="0007020B"/>
    <w:rsid w:val="0007278E"/>
    <w:rsid w:val="00075EAE"/>
    <w:rsid w:val="00085DDB"/>
    <w:rsid w:val="00094C96"/>
    <w:rsid w:val="00095338"/>
    <w:rsid w:val="000A4E5E"/>
    <w:rsid w:val="000A5F23"/>
    <w:rsid w:val="000E0BE2"/>
    <w:rsid w:val="000E7917"/>
    <w:rsid w:val="000E7DA6"/>
    <w:rsid w:val="000F4F5C"/>
    <w:rsid w:val="00104108"/>
    <w:rsid w:val="001110BA"/>
    <w:rsid w:val="00112B96"/>
    <w:rsid w:val="0011346D"/>
    <w:rsid w:val="0011429C"/>
    <w:rsid w:val="0012368E"/>
    <w:rsid w:val="00126730"/>
    <w:rsid w:val="0013560E"/>
    <w:rsid w:val="0014043F"/>
    <w:rsid w:val="00151A42"/>
    <w:rsid w:val="00153221"/>
    <w:rsid w:val="001551E8"/>
    <w:rsid w:val="00156223"/>
    <w:rsid w:val="001572F1"/>
    <w:rsid w:val="00157540"/>
    <w:rsid w:val="00162DC8"/>
    <w:rsid w:val="00165552"/>
    <w:rsid w:val="0016692C"/>
    <w:rsid w:val="00167694"/>
    <w:rsid w:val="00176ED5"/>
    <w:rsid w:val="0019317B"/>
    <w:rsid w:val="001955F3"/>
    <w:rsid w:val="0019593F"/>
    <w:rsid w:val="001A16E8"/>
    <w:rsid w:val="001B37CC"/>
    <w:rsid w:val="001C2FF8"/>
    <w:rsid w:val="001D1A40"/>
    <w:rsid w:val="001D211F"/>
    <w:rsid w:val="001D4A09"/>
    <w:rsid w:val="001E2DCE"/>
    <w:rsid w:val="001E4E32"/>
    <w:rsid w:val="001F20B9"/>
    <w:rsid w:val="001F7981"/>
    <w:rsid w:val="00204C17"/>
    <w:rsid w:val="00210D3E"/>
    <w:rsid w:val="00212B89"/>
    <w:rsid w:val="00216F93"/>
    <w:rsid w:val="00225215"/>
    <w:rsid w:val="00225288"/>
    <w:rsid w:val="00234EE7"/>
    <w:rsid w:val="00236B68"/>
    <w:rsid w:val="00250461"/>
    <w:rsid w:val="00272150"/>
    <w:rsid w:val="00281A54"/>
    <w:rsid w:val="0028252D"/>
    <w:rsid w:val="0028347A"/>
    <w:rsid w:val="00286B6B"/>
    <w:rsid w:val="002935E9"/>
    <w:rsid w:val="002937DB"/>
    <w:rsid w:val="002A4430"/>
    <w:rsid w:val="002B3C08"/>
    <w:rsid w:val="002B666A"/>
    <w:rsid w:val="002C0F8E"/>
    <w:rsid w:val="002C20DC"/>
    <w:rsid w:val="002D5189"/>
    <w:rsid w:val="002E34AE"/>
    <w:rsid w:val="002E380D"/>
    <w:rsid w:val="002E6AE4"/>
    <w:rsid w:val="002F1DD2"/>
    <w:rsid w:val="002F2D96"/>
    <w:rsid w:val="002F3FB9"/>
    <w:rsid w:val="003039DA"/>
    <w:rsid w:val="00310D03"/>
    <w:rsid w:val="003115AE"/>
    <w:rsid w:val="00314B3A"/>
    <w:rsid w:val="00320824"/>
    <w:rsid w:val="0032502B"/>
    <w:rsid w:val="0032597A"/>
    <w:rsid w:val="00326637"/>
    <w:rsid w:val="00331288"/>
    <w:rsid w:val="00331C45"/>
    <w:rsid w:val="00341210"/>
    <w:rsid w:val="003425C3"/>
    <w:rsid w:val="003577B8"/>
    <w:rsid w:val="0036486D"/>
    <w:rsid w:val="003650BD"/>
    <w:rsid w:val="00376990"/>
    <w:rsid w:val="00377D78"/>
    <w:rsid w:val="00383606"/>
    <w:rsid w:val="003842CC"/>
    <w:rsid w:val="003900E5"/>
    <w:rsid w:val="00392FFE"/>
    <w:rsid w:val="003B5F18"/>
    <w:rsid w:val="003C0ED9"/>
    <w:rsid w:val="003C1470"/>
    <w:rsid w:val="003C6C75"/>
    <w:rsid w:val="003C76D3"/>
    <w:rsid w:val="003D512B"/>
    <w:rsid w:val="003E2141"/>
    <w:rsid w:val="003E3683"/>
    <w:rsid w:val="003F07D4"/>
    <w:rsid w:val="003F4015"/>
    <w:rsid w:val="003F6769"/>
    <w:rsid w:val="003F7469"/>
    <w:rsid w:val="003F7DB9"/>
    <w:rsid w:val="0040067D"/>
    <w:rsid w:val="004017A6"/>
    <w:rsid w:val="00404C8F"/>
    <w:rsid w:val="004068AE"/>
    <w:rsid w:val="00412148"/>
    <w:rsid w:val="00414C8D"/>
    <w:rsid w:val="00422D97"/>
    <w:rsid w:val="004262F8"/>
    <w:rsid w:val="00432E5A"/>
    <w:rsid w:val="00437637"/>
    <w:rsid w:val="00440447"/>
    <w:rsid w:val="00443D89"/>
    <w:rsid w:val="00444EFD"/>
    <w:rsid w:val="00445BA3"/>
    <w:rsid w:val="004479C2"/>
    <w:rsid w:val="004617E2"/>
    <w:rsid w:val="00462C4B"/>
    <w:rsid w:val="00462E2F"/>
    <w:rsid w:val="00477F98"/>
    <w:rsid w:val="00491F97"/>
    <w:rsid w:val="00494F39"/>
    <w:rsid w:val="00497330"/>
    <w:rsid w:val="004A5F6C"/>
    <w:rsid w:val="004C1B07"/>
    <w:rsid w:val="004C3961"/>
    <w:rsid w:val="004C44A6"/>
    <w:rsid w:val="004D567E"/>
    <w:rsid w:val="004D59F6"/>
    <w:rsid w:val="004D6266"/>
    <w:rsid w:val="004E3BA5"/>
    <w:rsid w:val="004E3E54"/>
    <w:rsid w:val="004E47DA"/>
    <w:rsid w:val="004F1BCD"/>
    <w:rsid w:val="004F543A"/>
    <w:rsid w:val="005013BC"/>
    <w:rsid w:val="005014DB"/>
    <w:rsid w:val="00502AC3"/>
    <w:rsid w:val="00502F50"/>
    <w:rsid w:val="00514D81"/>
    <w:rsid w:val="00521278"/>
    <w:rsid w:val="00526B31"/>
    <w:rsid w:val="005311F0"/>
    <w:rsid w:val="00543B31"/>
    <w:rsid w:val="005509AA"/>
    <w:rsid w:val="005515A6"/>
    <w:rsid w:val="00552AC7"/>
    <w:rsid w:val="005648E9"/>
    <w:rsid w:val="005661B7"/>
    <w:rsid w:val="00583CF1"/>
    <w:rsid w:val="00586B56"/>
    <w:rsid w:val="005879ED"/>
    <w:rsid w:val="0059097D"/>
    <w:rsid w:val="00597770"/>
    <w:rsid w:val="005A320C"/>
    <w:rsid w:val="005B7698"/>
    <w:rsid w:val="005C68CB"/>
    <w:rsid w:val="005E68B1"/>
    <w:rsid w:val="005E7C77"/>
    <w:rsid w:val="005F1BF7"/>
    <w:rsid w:val="006141A0"/>
    <w:rsid w:val="00615112"/>
    <w:rsid w:val="00615416"/>
    <w:rsid w:val="00617AE1"/>
    <w:rsid w:val="006357EB"/>
    <w:rsid w:val="006367D4"/>
    <w:rsid w:val="00636FE3"/>
    <w:rsid w:val="00660541"/>
    <w:rsid w:val="00666872"/>
    <w:rsid w:val="00674D3A"/>
    <w:rsid w:val="00691548"/>
    <w:rsid w:val="00695740"/>
    <w:rsid w:val="00695775"/>
    <w:rsid w:val="0069798D"/>
    <w:rsid w:val="006A0A16"/>
    <w:rsid w:val="006A21B3"/>
    <w:rsid w:val="006B1408"/>
    <w:rsid w:val="006C12D6"/>
    <w:rsid w:val="006C7EBA"/>
    <w:rsid w:val="006E0871"/>
    <w:rsid w:val="006E55D4"/>
    <w:rsid w:val="006F1EA2"/>
    <w:rsid w:val="00704D19"/>
    <w:rsid w:val="0071420A"/>
    <w:rsid w:val="0071633A"/>
    <w:rsid w:val="00723748"/>
    <w:rsid w:val="00725371"/>
    <w:rsid w:val="0072694A"/>
    <w:rsid w:val="007304FA"/>
    <w:rsid w:val="00737A40"/>
    <w:rsid w:val="007517BF"/>
    <w:rsid w:val="007547BB"/>
    <w:rsid w:val="00754A8F"/>
    <w:rsid w:val="00755EB0"/>
    <w:rsid w:val="00766D54"/>
    <w:rsid w:val="0077255F"/>
    <w:rsid w:val="00774A1B"/>
    <w:rsid w:val="00774A6B"/>
    <w:rsid w:val="00787F80"/>
    <w:rsid w:val="00793DAC"/>
    <w:rsid w:val="0079446E"/>
    <w:rsid w:val="00797317"/>
    <w:rsid w:val="0079783E"/>
    <w:rsid w:val="00797A23"/>
    <w:rsid w:val="007A16C5"/>
    <w:rsid w:val="007B1E13"/>
    <w:rsid w:val="007B38A7"/>
    <w:rsid w:val="007B5D0D"/>
    <w:rsid w:val="007C3822"/>
    <w:rsid w:val="007D0D53"/>
    <w:rsid w:val="007D1C91"/>
    <w:rsid w:val="007D2C18"/>
    <w:rsid w:val="007D5CAA"/>
    <w:rsid w:val="007D6D3C"/>
    <w:rsid w:val="007D7F52"/>
    <w:rsid w:val="007E0146"/>
    <w:rsid w:val="007E29D9"/>
    <w:rsid w:val="007E7943"/>
    <w:rsid w:val="007F015B"/>
    <w:rsid w:val="007F0E44"/>
    <w:rsid w:val="007F126C"/>
    <w:rsid w:val="00801662"/>
    <w:rsid w:val="00803B7B"/>
    <w:rsid w:val="00805CC6"/>
    <w:rsid w:val="008063FA"/>
    <w:rsid w:val="008067BA"/>
    <w:rsid w:val="00807F9C"/>
    <w:rsid w:val="00812BD9"/>
    <w:rsid w:val="00814993"/>
    <w:rsid w:val="00824625"/>
    <w:rsid w:val="0082648F"/>
    <w:rsid w:val="00833341"/>
    <w:rsid w:val="008364FF"/>
    <w:rsid w:val="008367FC"/>
    <w:rsid w:val="008408F5"/>
    <w:rsid w:val="008422D8"/>
    <w:rsid w:val="00842FB6"/>
    <w:rsid w:val="00863194"/>
    <w:rsid w:val="00863D6C"/>
    <w:rsid w:val="008715CA"/>
    <w:rsid w:val="00875D54"/>
    <w:rsid w:val="00877962"/>
    <w:rsid w:val="00882EF8"/>
    <w:rsid w:val="0089384F"/>
    <w:rsid w:val="00897654"/>
    <w:rsid w:val="008A1B7F"/>
    <w:rsid w:val="008A3EB1"/>
    <w:rsid w:val="008B194E"/>
    <w:rsid w:val="008C1401"/>
    <w:rsid w:val="008C3288"/>
    <w:rsid w:val="008C4EA0"/>
    <w:rsid w:val="008C537F"/>
    <w:rsid w:val="008D0863"/>
    <w:rsid w:val="008D7262"/>
    <w:rsid w:val="008F042B"/>
    <w:rsid w:val="009006E9"/>
    <w:rsid w:val="009009B3"/>
    <w:rsid w:val="009030FA"/>
    <w:rsid w:val="00907057"/>
    <w:rsid w:val="009110F5"/>
    <w:rsid w:val="00921F91"/>
    <w:rsid w:val="00922DFE"/>
    <w:rsid w:val="00923A57"/>
    <w:rsid w:val="009316A1"/>
    <w:rsid w:val="00932FFF"/>
    <w:rsid w:val="009465AE"/>
    <w:rsid w:val="00950F84"/>
    <w:rsid w:val="009521D1"/>
    <w:rsid w:val="00954149"/>
    <w:rsid w:val="00964BE5"/>
    <w:rsid w:val="00965F49"/>
    <w:rsid w:val="00974F6B"/>
    <w:rsid w:val="009774F1"/>
    <w:rsid w:val="00984D98"/>
    <w:rsid w:val="009878E3"/>
    <w:rsid w:val="00996DD4"/>
    <w:rsid w:val="009A3240"/>
    <w:rsid w:val="009A3E41"/>
    <w:rsid w:val="009C0BCB"/>
    <w:rsid w:val="00A01C87"/>
    <w:rsid w:val="00A11913"/>
    <w:rsid w:val="00A12A24"/>
    <w:rsid w:val="00A15F9E"/>
    <w:rsid w:val="00A17E83"/>
    <w:rsid w:val="00A25EAE"/>
    <w:rsid w:val="00A26472"/>
    <w:rsid w:val="00A27891"/>
    <w:rsid w:val="00A3118A"/>
    <w:rsid w:val="00A32C0F"/>
    <w:rsid w:val="00A3393F"/>
    <w:rsid w:val="00A4146D"/>
    <w:rsid w:val="00A4183C"/>
    <w:rsid w:val="00A6386F"/>
    <w:rsid w:val="00A722D1"/>
    <w:rsid w:val="00A92E19"/>
    <w:rsid w:val="00A92F48"/>
    <w:rsid w:val="00A943A8"/>
    <w:rsid w:val="00AA4922"/>
    <w:rsid w:val="00AB786F"/>
    <w:rsid w:val="00AC5944"/>
    <w:rsid w:val="00AC79A9"/>
    <w:rsid w:val="00AF1267"/>
    <w:rsid w:val="00AF1BCB"/>
    <w:rsid w:val="00AF1D95"/>
    <w:rsid w:val="00AF2891"/>
    <w:rsid w:val="00AF4288"/>
    <w:rsid w:val="00AF5A62"/>
    <w:rsid w:val="00AF5C30"/>
    <w:rsid w:val="00AF71BF"/>
    <w:rsid w:val="00AF73F3"/>
    <w:rsid w:val="00B10718"/>
    <w:rsid w:val="00B10E42"/>
    <w:rsid w:val="00B13FCD"/>
    <w:rsid w:val="00B34AA7"/>
    <w:rsid w:val="00B3708A"/>
    <w:rsid w:val="00B40068"/>
    <w:rsid w:val="00B46D59"/>
    <w:rsid w:val="00B50E06"/>
    <w:rsid w:val="00B51D27"/>
    <w:rsid w:val="00B720D4"/>
    <w:rsid w:val="00B85FCA"/>
    <w:rsid w:val="00B92ECB"/>
    <w:rsid w:val="00B93998"/>
    <w:rsid w:val="00B96FE8"/>
    <w:rsid w:val="00BA4CC9"/>
    <w:rsid w:val="00BB2EE8"/>
    <w:rsid w:val="00BC626D"/>
    <w:rsid w:val="00BC71D1"/>
    <w:rsid w:val="00BC7FAF"/>
    <w:rsid w:val="00BD4379"/>
    <w:rsid w:val="00BE0D8C"/>
    <w:rsid w:val="00BE1EEC"/>
    <w:rsid w:val="00BE20B0"/>
    <w:rsid w:val="00BE2E32"/>
    <w:rsid w:val="00BE535C"/>
    <w:rsid w:val="00BE7325"/>
    <w:rsid w:val="00BE7ADA"/>
    <w:rsid w:val="00BF5A09"/>
    <w:rsid w:val="00C0007D"/>
    <w:rsid w:val="00C04038"/>
    <w:rsid w:val="00C12124"/>
    <w:rsid w:val="00C12339"/>
    <w:rsid w:val="00C26E27"/>
    <w:rsid w:val="00C33429"/>
    <w:rsid w:val="00C44EE3"/>
    <w:rsid w:val="00C450D2"/>
    <w:rsid w:val="00C45906"/>
    <w:rsid w:val="00C60CD7"/>
    <w:rsid w:val="00C61771"/>
    <w:rsid w:val="00C741DE"/>
    <w:rsid w:val="00C74E9D"/>
    <w:rsid w:val="00C806EF"/>
    <w:rsid w:val="00C83C11"/>
    <w:rsid w:val="00C83DF5"/>
    <w:rsid w:val="00C87314"/>
    <w:rsid w:val="00C90805"/>
    <w:rsid w:val="00C9083F"/>
    <w:rsid w:val="00C917E0"/>
    <w:rsid w:val="00C9672A"/>
    <w:rsid w:val="00CA7175"/>
    <w:rsid w:val="00CB1B2C"/>
    <w:rsid w:val="00CB2AEA"/>
    <w:rsid w:val="00CB3AFE"/>
    <w:rsid w:val="00CB73DB"/>
    <w:rsid w:val="00CE46FA"/>
    <w:rsid w:val="00CE53B6"/>
    <w:rsid w:val="00CE544A"/>
    <w:rsid w:val="00CF002C"/>
    <w:rsid w:val="00CF02F5"/>
    <w:rsid w:val="00CF51BB"/>
    <w:rsid w:val="00CF556D"/>
    <w:rsid w:val="00D07AAD"/>
    <w:rsid w:val="00D12010"/>
    <w:rsid w:val="00D426BC"/>
    <w:rsid w:val="00D44454"/>
    <w:rsid w:val="00D44C81"/>
    <w:rsid w:val="00D63D53"/>
    <w:rsid w:val="00D6654D"/>
    <w:rsid w:val="00D6682E"/>
    <w:rsid w:val="00D72B9A"/>
    <w:rsid w:val="00D73502"/>
    <w:rsid w:val="00D74D67"/>
    <w:rsid w:val="00D853F7"/>
    <w:rsid w:val="00D90CF3"/>
    <w:rsid w:val="00D90DF3"/>
    <w:rsid w:val="00D91172"/>
    <w:rsid w:val="00DA6543"/>
    <w:rsid w:val="00DB0FC3"/>
    <w:rsid w:val="00DB2FCA"/>
    <w:rsid w:val="00DB6A81"/>
    <w:rsid w:val="00DD30A7"/>
    <w:rsid w:val="00DD361B"/>
    <w:rsid w:val="00DD6A19"/>
    <w:rsid w:val="00DD7D27"/>
    <w:rsid w:val="00DE24A3"/>
    <w:rsid w:val="00DE7525"/>
    <w:rsid w:val="00DF21DC"/>
    <w:rsid w:val="00DF6667"/>
    <w:rsid w:val="00E01583"/>
    <w:rsid w:val="00E06C74"/>
    <w:rsid w:val="00E51A05"/>
    <w:rsid w:val="00E55F04"/>
    <w:rsid w:val="00E753FB"/>
    <w:rsid w:val="00E94165"/>
    <w:rsid w:val="00E94758"/>
    <w:rsid w:val="00E97844"/>
    <w:rsid w:val="00E97AF3"/>
    <w:rsid w:val="00EA30F4"/>
    <w:rsid w:val="00EB386A"/>
    <w:rsid w:val="00EC4D32"/>
    <w:rsid w:val="00EC60C8"/>
    <w:rsid w:val="00EC642C"/>
    <w:rsid w:val="00ED584D"/>
    <w:rsid w:val="00ED750B"/>
    <w:rsid w:val="00EE0288"/>
    <w:rsid w:val="00EE4F3E"/>
    <w:rsid w:val="00EE4F56"/>
    <w:rsid w:val="00EF63CD"/>
    <w:rsid w:val="00F0316B"/>
    <w:rsid w:val="00F05037"/>
    <w:rsid w:val="00F11038"/>
    <w:rsid w:val="00F118EC"/>
    <w:rsid w:val="00F1268B"/>
    <w:rsid w:val="00F16933"/>
    <w:rsid w:val="00F26CD1"/>
    <w:rsid w:val="00F31C4D"/>
    <w:rsid w:val="00F42375"/>
    <w:rsid w:val="00F467E3"/>
    <w:rsid w:val="00F52A34"/>
    <w:rsid w:val="00F6072B"/>
    <w:rsid w:val="00F67C14"/>
    <w:rsid w:val="00F70D8B"/>
    <w:rsid w:val="00F752CA"/>
    <w:rsid w:val="00F80DE0"/>
    <w:rsid w:val="00F834E5"/>
    <w:rsid w:val="00F946B2"/>
    <w:rsid w:val="00FB5FC5"/>
    <w:rsid w:val="00FC3D6B"/>
    <w:rsid w:val="00FC73EB"/>
    <w:rsid w:val="3F504019"/>
    <w:rsid w:val="58E91CA9"/>
    <w:rsid w:val="682D7447"/>
    <w:rsid w:val="73815A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iPriority="0" w:semiHidden="0" w:name="Body Text 3"/>
    <w:lsdException w:qFormat="1" w:uiPriority="0" w:semiHidden="0" w:name="Body Text Indent 2"/>
    <w:lsdException w:uiPriority="99" w:name="Body Text Indent 3"/>
    <w:lsdException w:uiPriority="99" w:name="Block Text"/>
    <w:lsdException w:unhideWhenUsed="0"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spacing w:before="240" w:after="60"/>
      <w:outlineLvl w:val="0"/>
    </w:pPr>
    <w:rPr>
      <w:rFonts w:ascii="Cambria" w:hAnsi="Cambria"/>
      <w:b/>
      <w:bCs/>
      <w:kern w:val="32"/>
      <w:sz w:val="32"/>
      <w:szCs w:val="32"/>
    </w:rPr>
  </w:style>
  <w:style w:type="paragraph" w:styleId="3">
    <w:name w:val="heading 2"/>
    <w:basedOn w:val="1"/>
    <w:next w:val="1"/>
    <w:qFormat/>
    <w:uiPriority w:val="0"/>
    <w:pPr>
      <w:keepNext/>
      <w:kinsoku w:val="0"/>
      <w:ind w:right="26"/>
      <w:outlineLvl w:val="1"/>
    </w:pPr>
    <w:rPr>
      <w:rFonts w:eastAsia="PMingLiU"/>
      <w:b/>
      <w:sz w:val="22"/>
      <w:szCs w:val="22"/>
      <w:u w:val="single"/>
      <w:lang w:eastAsia="zh-TW"/>
    </w:rPr>
  </w:style>
  <w:style w:type="paragraph" w:styleId="4">
    <w:name w:val="heading 3"/>
    <w:basedOn w:val="1"/>
    <w:next w:val="1"/>
    <w:qFormat/>
    <w:uiPriority w:val="0"/>
    <w:pPr>
      <w:keepNext/>
      <w:numPr>
        <w:ilvl w:val="0"/>
        <w:numId w:val="1"/>
      </w:numPr>
      <w:spacing w:line="400" w:lineRule="exact"/>
      <w:outlineLvl w:val="2"/>
    </w:pPr>
    <w:rPr>
      <w:b/>
      <w:bCs/>
      <w:sz w:val="22"/>
      <w:szCs w:val="22"/>
    </w:rPr>
  </w:style>
  <w:style w:type="paragraph" w:styleId="5">
    <w:name w:val="heading 5"/>
    <w:basedOn w:val="1"/>
    <w:next w:val="1"/>
    <w:qFormat/>
    <w:uiPriority w:val="0"/>
    <w:pPr>
      <w:keepNext/>
      <w:numPr>
        <w:ilvl w:val="0"/>
        <w:numId w:val="2"/>
      </w:numPr>
      <w:spacing w:line="400" w:lineRule="exact"/>
      <w:outlineLvl w:val="4"/>
    </w:pPr>
    <w:rPr>
      <w:b/>
      <w:bCs/>
      <w:color w:val="000000"/>
      <w:sz w:val="22"/>
    </w:rPr>
  </w:style>
  <w:style w:type="character" w:default="1" w:styleId="17">
    <w:name w:val="Default Paragraph Font"/>
    <w:unhideWhenUsed/>
    <w:uiPriority w:val="1"/>
  </w:style>
  <w:style w:type="table" w:default="1" w:styleId="21">
    <w:name w:val="Normal Table"/>
    <w:unhideWhenUsed/>
    <w:uiPriority w:val="99"/>
    <w:tblPr>
      <w:tblLayout w:type="fixed"/>
      <w:tblCellMar>
        <w:top w:w="0" w:type="dxa"/>
        <w:left w:w="108" w:type="dxa"/>
        <w:bottom w:w="0" w:type="dxa"/>
        <w:right w:w="108" w:type="dxa"/>
      </w:tblCellMar>
    </w:tblPr>
  </w:style>
  <w:style w:type="paragraph" w:styleId="6">
    <w:name w:val="annotation subject"/>
    <w:basedOn w:val="7"/>
    <w:next w:val="7"/>
    <w:semiHidden/>
    <w:qFormat/>
    <w:uiPriority w:val="0"/>
    <w:rPr>
      <w:b/>
      <w:bCs/>
    </w:rPr>
  </w:style>
  <w:style w:type="paragraph" w:styleId="7">
    <w:name w:val="annotation text"/>
    <w:basedOn w:val="1"/>
    <w:semiHidden/>
    <w:qFormat/>
    <w:uiPriority w:val="0"/>
    <w:pPr>
      <w:jc w:val="left"/>
    </w:pPr>
  </w:style>
  <w:style w:type="paragraph" w:styleId="8">
    <w:name w:val="Body Text 3"/>
    <w:basedOn w:val="1"/>
    <w:unhideWhenUsed/>
    <w:qFormat/>
    <w:uiPriority w:val="0"/>
    <w:pPr>
      <w:spacing w:after="120"/>
    </w:pPr>
    <w:rPr>
      <w:sz w:val="16"/>
      <w:szCs w:val="16"/>
    </w:rPr>
  </w:style>
  <w:style w:type="paragraph" w:styleId="9">
    <w:name w:val="Body Text"/>
    <w:basedOn w:val="1"/>
    <w:semiHidden/>
    <w:qFormat/>
    <w:uiPriority w:val="0"/>
    <w:pPr>
      <w:widowControl/>
    </w:pPr>
    <w:rPr>
      <w:rFonts w:eastAsia="PMingLiU"/>
      <w:i/>
      <w:szCs w:val="21"/>
      <w:lang w:eastAsia="zh-TW"/>
    </w:rPr>
  </w:style>
  <w:style w:type="paragraph" w:styleId="10">
    <w:name w:val="Plain Text"/>
    <w:basedOn w:val="1"/>
    <w:link w:val="41"/>
    <w:unhideWhenUsed/>
    <w:uiPriority w:val="99"/>
    <w:pPr>
      <w:widowControl/>
      <w:jc w:val="left"/>
    </w:pPr>
    <w:rPr>
      <w:rFonts w:ascii="Arial" w:hAnsi="Arial" w:eastAsia="Times New Roman"/>
      <w:kern w:val="0"/>
      <w:sz w:val="20"/>
      <w:szCs w:val="21"/>
    </w:rPr>
  </w:style>
  <w:style w:type="paragraph" w:styleId="11">
    <w:name w:val="Body Text Indent 2"/>
    <w:basedOn w:val="1"/>
    <w:unhideWhenUsed/>
    <w:qFormat/>
    <w:uiPriority w:val="0"/>
    <w:pPr>
      <w:spacing w:after="120" w:line="480" w:lineRule="auto"/>
      <w:ind w:left="360"/>
    </w:pPr>
  </w:style>
  <w:style w:type="paragraph" w:styleId="12">
    <w:name w:val="Balloon Text"/>
    <w:basedOn w:val="1"/>
    <w:semiHidden/>
    <w:qFormat/>
    <w:uiPriority w:val="0"/>
    <w:rPr>
      <w:sz w:val="18"/>
      <w:szCs w:val="18"/>
    </w:rPr>
  </w:style>
  <w:style w:type="paragraph" w:styleId="13">
    <w:name w:val="footer"/>
    <w:basedOn w:val="1"/>
    <w:semiHidden/>
    <w:qFormat/>
    <w:uiPriority w:val="0"/>
    <w:pPr>
      <w:tabs>
        <w:tab w:val="center" w:pos="4153"/>
        <w:tab w:val="right" w:pos="8306"/>
      </w:tabs>
      <w:snapToGrid w:val="0"/>
      <w:jc w:val="left"/>
    </w:pPr>
    <w:rPr>
      <w:sz w:val="18"/>
      <w:szCs w:val="18"/>
    </w:rPr>
  </w:style>
  <w:style w:type="paragraph" w:styleId="14">
    <w:name w:val="header"/>
    <w:basedOn w:val="1"/>
    <w:semiHidden/>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rPr>
      <w:szCs w:val="20"/>
    </w:rPr>
  </w:style>
  <w:style w:type="paragraph" w:styleId="1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18">
    <w:name w:val="page number"/>
    <w:basedOn w:val="17"/>
    <w:semiHidden/>
    <w:qFormat/>
    <w:uiPriority w:val="0"/>
  </w:style>
  <w:style w:type="character" w:styleId="19">
    <w:name w:val="Hyperlink"/>
    <w:semiHidden/>
    <w:uiPriority w:val="0"/>
    <w:rPr>
      <w:color w:val="2B2B2B"/>
      <w:u w:val="single"/>
    </w:rPr>
  </w:style>
  <w:style w:type="character" w:styleId="20">
    <w:name w:val="annotation reference"/>
    <w:semiHidden/>
    <w:uiPriority w:val="0"/>
    <w:rPr>
      <w:sz w:val="21"/>
      <w:szCs w:val="21"/>
    </w:rPr>
  </w:style>
  <w:style w:type="table" w:styleId="22">
    <w:name w:val="Table Grid"/>
    <w:basedOn w:val="21"/>
    <w:qFormat/>
    <w:uiPriority w:val="99"/>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3">
    <w:name w:val="ifenglogo"/>
    <w:basedOn w:val="17"/>
    <w:qFormat/>
    <w:uiPriority w:val="0"/>
  </w:style>
  <w:style w:type="character" w:customStyle="1" w:styleId="24">
    <w:name w:val="smallsize1"/>
    <w:uiPriority w:val="0"/>
    <w:rPr>
      <w:sz w:val="15"/>
      <w:szCs w:val="15"/>
    </w:rPr>
  </w:style>
  <w:style w:type="character" w:customStyle="1" w:styleId="25">
    <w:name w:val="正文1 Char"/>
    <w:link w:val="26"/>
    <w:qFormat/>
    <w:uiPriority w:val="0"/>
    <w:rPr>
      <w:kern w:val="2"/>
      <w:sz w:val="24"/>
      <w:szCs w:val="24"/>
      <w:lang w:eastAsia="zh-CN"/>
    </w:rPr>
  </w:style>
  <w:style w:type="paragraph" w:customStyle="1" w:styleId="26">
    <w:name w:val="正文1"/>
    <w:basedOn w:val="1"/>
    <w:link w:val="25"/>
    <w:qFormat/>
    <w:uiPriority w:val="0"/>
    <w:pPr>
      <w:spacing w:after="160" w:line="360" w:lineRule="auto"/>
      <w:ind w:firstLine="200" w:firstLineChars="200"/>
    </w:pPr>
    <w:rPr>
      <w:sz w:val="24"/>
    </w:rPr>
  </w:style>
  <w:style w:type="character" w:customStyle="1" w:styleId="27">
    <w:name w:val="Heading 3 Char"/>
    <w:uiPriority w:val="0"/>
    <w:rPr>
      <w:b/>
      <w:bCs/>
      <w:kern w:val="2"/>
      <w:sz w:val="22"/>
      <w:szCs w:val="22"/>
      <w:lang w:val="en-US"/>
    </w:rPr>
  </w:style>
  <w:style w:type="character" w:customStyle="1" w:styleId="28">
    <w:name w:val="agreen"/>
    <w:basedOn w:val="17"/>
    <w:uiPriority w:val="0"/>
  </w:style>
  <w:style w:type="character" w:customStyle="1" w:styleId="29">
    <w:name w:val="line31"/>
    <w:uiPriority w:val="0"/>
    <w:rPr>
      <w:color w:val="666666"/>
      <w:sz w:val="14"/>
      <w:szCs w:val="14"/>
    </w:rPr>
  </w:style>
  <w:style w:type="character" w:customStyle="1" w:styleId="30">
    <w:name w:val="Heading 5 Char"/>
    <w:uiPriority w:val="0"/>
    <w:rPr>
      <w:b/>
      <w:bCs/>
      <w:color w:val="000000"/>
      <w:kern w:val="2"/>
      <w:sz w:val="22"/>
      <w:szCs w:val="24"/>
      <w:lang w:val="en-US"/>
    </w:rPr>
  </w:style>
  <w:style w:type="character" w:customStyle="1" w:styleId="31">
    <w:name w:val="down7"/>
    <w:qFormat/>
    <w:uiPriority w:val="0"/>
    <w:rPr>
      <w:color w:val="337416"/>
    </w:rPr>
  </w:style>
  <w:style w:type="character" w:customStyle="1" w:styleId="32">
    <w:name w:val="bigsize1"/>
    <w:qFormat/>
    <w:uiPriority w:val="0"/>
    <w:rPr>
      <w:sz w:val="20"/>
      <w:szCs w:val="20"/>
    </w:rPr>
  </w:style>
  <w:style w:type="character" w:customStyle="1" w:styleId="33">
    <w:name w:val="Heading 1 Char"/>
    <w:qFormat/>
    <w:uiPriority w:val="0"/>
    <w:rPr>
      <w:rFonts w:ascii="Cambria" w:hAnsi="Cambria" w:eastAsia="宋体" w:cs="Times New Roman"/>
      <w:b/>
      <w:bCs/>
      <w:kern w:val="32"/>
      <w:sz w:val="32"/>
      <w:szCs w:val="32"/>
      <w:lang w:val="en-US"/>
    </w:rPr>
  </w:style>
  <w:style w:type="character" w:customStyle="1" w:styleId="34">
    <w:name w:val="tw4winMark"/>
    <w:uiPriority w:val="0"/>
    <w:rPr>
      <w:vanish/>
      <w:color w:val="800080"/>
      <w:vertAlign w:val="subscript"/>
    </w:rPr>
  </w:style>
  <w:style w:type="character" w:customStyle="1" w:styleId="35">
    <w:name w:val="cmt1"/>
    <w:qFormat/>
    <w:uiPriority w:val="0"/>
  </w:style>
  <w:style w:type="character" w:customStyle="1" w:styleId="36">
    <w:name w:val="print1"/>
    <w:qFormat/>
    <w:uiPriority w:val="0"/>
  </w:style>
  <w:style w:type="character" w:customStyle="1" w:styleId="37">
    <w:name w:val="short_text"/>
    <w:qFormat/>
    <w:uiPriority w:val="0"/>
  </w:style>
  <w:style w:type="character" w:customStyle="1" w:styleId="38">
    <w:name w:val="forword1"/>
    <w:qFormat/>
    <w:uiPriority w:val="0"/>
  </w:style>
  <w:style w:type="character" w:customStyle="1" w:styleId="39">
    <w:name w:val="Body Text Indent 2 Char"/>
    <w:semiHidden/>
    <w:qFormat/>
    <w:uiPriority w:val="0"/>
    <w:rPr>
      <w:kern w:val="2"/>
      <w:sz w:val="21"/>
      <w:szCs w:val="24"/>
    </w:rPr>
  </w:style>
  <w:style w:type="character" w:customStyle="1" w:styleId="40">
    <w:name w:val="Body Text 3 Char"/>
    <w:semiHidden/>
    <w:uiPriority w:val="0"/>
    <w:rPr>
      <w:kern w:val="2"/>
      <w:sz w:val="16"/>
      <w:szCs w:val="16"/>
      <w:lang w:val="en-US"/>
    </w:rPr>
  </w:style>
  <w:style w:type="character" w:customStyle="1" w:styleId="41">
    <w:name w:val="Plain Text Char"/>
    <w:link w:val="10"/>
    <w:semiHidden/>
    <w:qFormat/>
    <w:uiPriority w:val="99"/>
    <w:rPr>
      <w:rFonts w:ascii="Arial" w:hAnsi="Arial" w:eastAsia="Times New Roman"/>
      <w:szCs w:val="21"/>
    </w:rPr>
  </w:style>
  <w:style w:type="paragraph" w:customStyle="1" w:styleId="42">
    <w:name w:val="Char Char Char Char"/>
    <w:basedOn w:val="1"/>
    <w:qFormat/>
    <w:uiPriority w:val="0"/>
    <w:pPr>
      <w:widowControl/>
      <w:spacing w:after="160" w:line="240" w:lineRule="exact"/>
      <w:jc w:val="left"/>
    </w:pPr>
    <w:rPr>
      <w:kern w:val="0"/>
      <w:sz w:val="20"/>
      <w:szCs w:val="20"/>
      <w:lang w:eastAsia="zh-TW"/>
    </w:rPr>
  </w:style>
  <w:style w:type="paragraph" w:customStyle="1" w:styleId="43">
    <w:name w:val="修订"/>
    <w:semiHidden/>
    <w:qFormat/>
    <w:uiPriority w:val="0"/>
    <w:rPr>
      <w:rFonts w:ascii="Times New Roman" w:hAnsi="Times New Roman" w:eastAsia="宋体" w:cs="Times New Roman"/>
      <w:kern w:val="2"/>
      <w:sz w:val="21"/>
      <w:szCs w:val="24"/>
      <w:lang w:val="en-US" w:eastAsia="zh-CN" w:bidi="ar-SA"/>
    </w:rPr>
  </w:style>
  <w:style w:type="paragraph" w:customStyle="1" w:styleId="44">
    <w:name w:val="Default"/>
    <w:qFormat/>
    <w:uiPriority w:val="0"/>
    <w:pPr>
      <w:widowControl w:val="0"/>
      <w:autoSpaceDE w:val="0"/>
      <w:autoSpaceDN w:val="0"/>
      <w:adjustRightInd w:val="0"/>
    </w:pPr>
    <w:rPr>
      <w:rFonts w:ascii="PMCHM I+ Times" w:hAnsi="Times New Roman" w:eastAsia="PMCHM I+ Times" w:cs="PMCHM I+ Times"/>
      <w:color w:val="000000"/>
      <w:sz w:val="24"/>
      <w:szCs w:val="24"/>
      <w:lang w:val="en-US" w:eastAsia="zh-CN" w:bidi="ar-SA"/>
    </w:rPr>
  </w:style>
  <w:style w:type="paragraph" w:customStyle="1" w:styleId="45">
    <w:name w:val="Char1 Char Char"/>
    <w:basedOn w:val="1"/>
    <w:uiPriority w:val="0"/>
    <w:pPr>
      <w:widowControl/>
      <w:spacing w:after="160" w:line="240" w:lineRule="exact"/>
      <w:jc w:val="left"/>
    </w:pPr>
    <w:rPr>
      <w:rFonts w:ascii="Verdana" w:hAnsi="Verdana" w:eastAsia="Times New Roman"/>
      <w:kern w:val="0"/>
      <w:sz w:val="20"/>
      <w:szCs w:val="20"/>
      <w:lang w:eastAsia="en-US"/>
    </w:rPr>
  </w:style>
  <w:style w:type="paragraph" w:customStyle="1" w:styleId="46">
    <w:name w:val="列出段落"/>
    <w:basedOn w:val="1"/>
    <w:qFormat/>
    <w:uiPriority w:val="0"/>
    <w:pPr>
      <w:ind w:left="720"/>
    </w:pPr>
  </w:style>
  <w:style w:type="paragraph" w:customStyle="1" w:styleId="47">
    <w:name w:val="List Paragraph"/>
    <w:basedOn w:val="1"/>
    <w:qFormat/>
    <w:uiPriority w:val="34"/>
    <w:pPr>
      <w:ind w:left="720"/>
    </w:pPr>
  </w:style>
  <w:style w:type="paragraph" w:customStyle="1" w:styleId="48">
    <w:name w:val="Revision"/>
    <w:hidden/>
    <w:unhideWhenUsed/>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my company</Company>
  <Pages>2</Pages>
  <Words>1146</Words>
  <Characters>179</Characters>
  <Lines>1</Lines>
  <Paragraphs>2</Paragraphs>
  <ScaleCrop>false</ScaleCrop>
  <LinksUpToDate>false</LinksUpToDate>
  <CharactersWithSpaces>1323</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2021-04-14T02:23:00Z</dcterms:created>
  <dc:creator>ALBERTWONG</dc:creator>
  <cp:lastModifiedBy>田建华</cp:lastModifiedBy>
  <cp:lastPrinted>2015-09-25T08:56:00Z</cp:lastPrinted>
  <dcterms:modified xsi:type="dcterms:W3CDTF">2021-06-01T04:12:31Z</dcterms:modified>
  <dc:title>Rider Katherine</dc:title>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