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
        <w:snapToGrid w:val="0"/>
        <w:jc w:val="both"/>
        <w:rPr>
          <w:rFonts w:ascii="Times New Roman" w:hAnsi="Times New Roman"/>
          <w:i/>
          <w:sz w:val="20"/>
          <w:szCs w:val="20"/>
        </w:rPr>
      </w:pPr>
      <w:r>
        <w:rPr>
          <w:rFonts w:hint="eastAsia" w:ascii="Times New Roman" w:hAnsi="Times New Roman"/>
          <w:i/>
          <w:sz w:val="20"/>
          <w:szCs w:val="20"/>
        </w:rPr>
        <w:t>香港交易及結算所有限公司及香港聯合交易所有限公司對本公告之內容概不負責，對其準確性或完整</w:t>
      </w:r>
    </w:p>
    <w:p>
      <w:pPr>
        <w:pStyle w:val="8"/>
        <w:snapToGrid w:val="0"/>
        <w:jc w:val="both"/>
        <w:rPr>
          <w:rFonts w:ascii="Times New Roman" w:hAnsi="Times New Roman"/>
          <w:i/>
          <w:sz w:val="20"/>
          <w:szCs w:val="20"/>
        </w:rPr>
      </w:pPr>
      <w:r>
        <w:rPr>
          <w:rFonts w:hint="eastAsia" w:ascii="Times New Roman" w:hAnsi="Times New Roman"/>
          <w:i/>
          <w:sz w:val="20"/>
          <w:szCs w:val="20"/>
        </w:rPr>
        <w:t>性亦不發表任何聲明，並明確表示概不就因本公告全部或任何部分內容而產生或因倚賴該等內容而引</w:t>
      </w:r>
    </w:p>
    <w:p>
      <w:pPr>
        <w:pStyle w:val="8"/>
        <w:snapToGrid w:val="0"/>
        <w:jc w:val="both"/>
        <w:rPr>
          <w:rFonts w:ascii="Times New Roman" w:hAnsi="Times New Roman"/>
          <w:i/>
          <w:sz w:val="20"/>
          <w:szCs w:val="20"/>
        </w:rPr>
      </w:pPr>
      <w:r>
        <w:rPr>
          <w:rFonts w:hint="eastAsia" w:ascii="Times New Roman" w:hAnsi="Times New Roman"/>
          <w:i/>
          <w:sz w:val="20"/>
          <w:szCs w:val="20"/>
        </w:rPr>
        <w:t>致之任何損失承擔任何責任。</w:t>
      </w:r>
    </w:p>
    <w:p>
      <w:pPr>
        <w:pStyle w:val="8"/>
        <w:snapToGrid w:val="0"/>
        <w:jc w:val="both"/>
        <w:rPr>
          <w:rFonts w:ascii="Times New Roman" w:hAnsi="Times New Roman"/>
          <w:sz w:val="20"/>
          <w:szCs w:val="20"/>
        </w:rPr>
      </w:pPr>
    </w:p>
    <w:p>
      <w:pPr>
        <w:pStyle w:val="8"/>
        <w:snapToGrid w:val="0"/>
        <w:jc w:val="both"/>
        <w:rPr>
          <w:rFonts w:ascii="Times New Roman" w:hAnsi="Times New Roman"/>
          <w:sz w:val="20"/>
          <w:szCs w:val="20"/>
        </w:rPr>
      </w:pPr>
      <w:r>
        <w:rPr>
          <w:rFonts w:ascii="Times New Roman" w:hAnsi="Times New Roman" w:eastAsia="MingLiU" w:cs="Times New Roman"/>
          <w:i/>
          <w:iCs/>
          <w:kern w:val="2"/>
          <w:sz w:val="20"/>
          <w:szCs w:val="22"/>
          <w:lang w:val="en-US" w:eastAsia="zh-TW" w:bidi="ar-SA"/>
        </w:rPr>
        <w:pict>
          <v:shape id="图片 2" o:spid="_x0000_s1026" type="#_x0000_t75" style="position:absolute;left:0;margin-left:200.45pt;margin-top:2.55pt;height:45.45pt;width:42pt;rotation:0f;z-index:251658240;" o:ole="f" fillcolor="#FFFFFF" filled="f" o:preferrelative="t" stroked="f" coordorigin="0,0" coordsize="21600,21600">
            <v:fill on="f" color2="#FFFFFF" focus="0%"/>
            <v:imagedata gain="65536f" blacklevel="0f" gamma="0" chromakey="#FFFFFF" o:title="" r:id="rId6"/>
            <o:lock v:ext="edit" position="f" selection="f" grouping="f" rotation="f" cropping="f" text="f" aspectratio="t"/>
          </v:shape>
        </w:pict>
      </w:r>
    </w:p>
    <w:p>
      <w:pPr>
        <w:pStyle w:val="8"/>
        <w:snapToGrid w:val="0"/>
        <w:spacing w:line="240" w:lineRule="atLeast"/>
        <w:jc w:val="center"/>
        <w:rPr>
          <w:rFonts w:ascii="Times New Roman" w:hAnsi="Times New Roman"/>
          <w:sz w:val="16"/>
        </w:rPr>
      </w:pPr>
      <w:r>
        <w:rPr>
          <w:rFonts w:ascii="Times New Roman" w:hAnsi="Times New Roman"/>
          <w:sz w:val="16"/>
        </w:rPr>
        <w:tab/>
      </w:r>
    </w:p>
    <w:p>
      <w:pPr>
        <w:pStyle w:val="8"/>
        <w:snapToGrid w:val="0"/>
        <w:spacing w:line="240" w:lineRule="atLeast"/>
        <w:jc w:val="center"/>
        <w:rPr>
          <w:rFonts w:ascii="Times New Roman" w:hAnsi="Times New Roman"/>
          <w:sz w:val="16"/>
        </w:rPr>
      </w:pPr>
    </w:p>
    <w:p>
      <w:pPr>
        <w:pStyle w:val="8"/>
        <w:snapToGrid w:val="0"/>
        <w:spacing w:line="240" w:lineRule="atLeast"/>
        <w:jc w:val="center"/>
        <w:rPr>
          <w:rFonts w:ascii="Times New Roman" w:hAnsi="Times New Roman"/>
          <w:b/>
          <w:sz w:val="22"/>
        </w:rPr>
      </w:pPr>
      <w:r>
        <w:rPr>
          <w:rFonts w:hint="eastAsia"/>
          <w:b/>
          <w:bCs/>
          <w:sz w:val="22"/>
        </w:rPr>
        <w:t>山東新華製藥股份有限公司</w:t>
      </w:r>
    </w:p>
    <w:p>
      <w:pPr>
        <w:pStyle w:val="15"/>
        <w:widowControl w:val="0"/>
        <w:tabs>
          <w:tab w:val="left" w:pos="709"/>
          <w:tab w:val="left" w:pos="1418"/>
          <w:tab w:val="left" w:pos="2126"/>
          <w:tab w:val="left" w:pos="2835"/>
          <w:tab w:val="left" w:pos="3544"/>
          <w:tab w:val="left" w:pos="4253"/>
        </w:tabs>
        <w:kinsoku w:val="0"/>
        <w:adjustRightInd w:val="0"/>
        <w:snapToGrid w:val="0"/>
        <w:spacing w:line="240" w:lineRule="atLeast"/>
        <w:rPr>
          <w:kern w:val="2"/>
          <w:sz w:val="22"/>
          <w:szCs w:val="22"/>
        </w:rPr>
      </w:pPr>
      <w:r>
        <w:rPr>
          <w:kern w:val="2"/>
          <w:sz w:val="22"/>
          <w:szCs w:val="22"/>
          <w:lang w:eastAsia="zh-TW"/>
        </w:rPr>
        <w:t>Shandong Xinhua Pharmaceutical Company Limited</w:t>
      </w:r>
    </w:p>
    <w:p>
      <w:pPr>
        <w:pStyle w:val="8"/>
        <w:snapToGrid w:val="0"/>
        <w:spacing w:before="80"/>
        <w:jc w:val="center"/>
        <w:rPr>
          <w:rFonts w:ascii="Times New Roman" w:hAnsi="Times New Roman"/>
          <w:i/>
          <w:sz w:val="22"/>
        </w:rPr>
      </w:pPr>
      <w:r>
        <w:rPr>
          <w:rFonts w:hint="eastAsia" w:ascii="Times New Roman" w:hAnsi="Times New Roman"/>
          <w:i/>
          <w:sz w:val="22"/>
        </w:rPr>
        <w:t>（於中華人民共和國註冊成立的股份有限公司）</w:t>
      </w:r>
    </w:p>
    <w:p>
      <w:pPr>
        <w:jc w:val="center"/>
        <w:rPr>
          <w:b/>
          <w:bCs/>
          <w:sz w:val="22"/>
          <w:szCs w:val="22"/>
        </w:rPr>
      </w:pPr>
      <w:r>
        <w:rPr>
          <w:rFonts w:hint="eastAsia"/>
          <w:b/>
          <w:bCs/>
          <w:sz w:val="22"/>
          <w:szCs w:val="22"/>
        </w:rPr>
        <w:t>（股份代號：</w:t>
      </w:r>
      <w:r>
        <w:rPr>
          <w:b/>
          <w:bCs/>
          <w:sz w:val="22"/>
          <w:szCs w:val="22"/>
        </w:rPr>
        <w:t>00719</w:t>
      </w:r>
      <w:r>
        <w:rPr>
          <w:rFonts w:hint="eastAsia"/>
          <w:b/>
          <w:bCs/>
          <w:sz w:val="22"/>
          <w:szCs w:val="22"/>
        </w:rPr>
        <w:t>）</w:t>
      </w:r>
    </w:p>
    <w:p>
      <w:pPr>
        <w:rPr>
          <w:sz w:val="22"/>
          <w:szCs w:val="22"/>
        </w:rPr>
      </w:pPr>
      <w:r>
        <w:rPr>
          <w:sz w:val="22"/>
          <w:szCs w:val="22"/>
        </w:rPr>
        <w:t xml:space="preserve"> </w:t>
      </w:r>
    </w:p>
    <w:p>
      <w:pPr>
        <w:autoSpaceDE w:val="0"/>
        <w:autoSpaceDN w:val="0"/>
        <w:adjustRightInd w:val="0"/>
        <w:ind w:left="110" w:right="49"/>
        <w:jc w:val="center"/>
        <w:rPr>
          <w:rFonts w:eastAsia="DengXian"/>
          <w:b/>
          <w:bCs/>
          <w:color w:val="231F20"/>
          <w:spacing w:val="4"/>
          <w:sz w:val="22"/>
          <w:szCs w:val="22"/>
        </w:rPr>
      </w:pPr>
      <w:r>
        <w:rPr>
          <w:rFonts w:hint="eastAsia"/>
          <w:b/>
          <w:bCs/>
          <w:color w:val="231F20"/>
          <w:spacing w:val="4"/>
          <w:sz w:val="22"/>
          <w:szCs w:val="22"/>
        </w:rPr>
        <w:t>控股股東股權結構變更進展更新</w:t>
      </w:r>
      <w:r>
        <w:rPr>
          <w:b/>
          <w:color w:val="231F20"/>
          <w:spacing w:val="4"/>
          <w:sz w:val="22"/>
        </w:rPr>
        <w:t xml:space="preserve">: </w:t>
      </w:r>
      <w:r>
        <w:rPr>
          <w:rFonts w:hint="eastAsia"/>
          <w:b/>
          <w:color w:val="231F20"/>
          <w:spacing w:val="4"/>
          <w:sz w:val="22"/>
        </w:rPr>
        <w:t>過戶登記完成</w:t>
      </w:r>
    </w:p>
    <w:p>
      <w:pPr>
        <w:tabs>
          <w:tab w:val="left" w:pos="6900"/>
        </w:tabs>
        <w:autoSpaceDE w:val="0"/>
        <w:autoSpaceDN w:val="0"/>
        <w:adjustRightInd w:val="0"/>
        <w:ind w:left="110" w:right="49"/>
        <w:rPr>
          <w:color w:val="000000"/>
        </w:rPr>
      </w:pPr>
      <w:r>
        <w:rPr>
          <w:color w:val="000000"/>
        </w:rPr>
        <w:tab/>
      </w:r>
    </w:p>
    <w:p>
      <w:pPr>
        <w:pStyle w:val="8"/>
        <w:snapToGrid w:val="0"/>
        <w:jc w:val="both"/>
        <w:rPr>
          <w:rFonts w:ascii="PMingLiU" w:hAnsi="PMingLiU" w:eastAsia="PMingLiU"/>
          <w:sz w:val="22"/>
        </w:rPr>
      </w:pPr>
      <w:r>
        <w:rPr>
          <w:rFonts w:hint="eastAsia" w:ascii="PMingLiU" w:hAnsi="PMingLiU" w:eastAsia="PMingLiU"/>
          <w:sz w:val="22"/>
        </w:rPr>
        <w:t>茲提述本公司日期為二零一八年七月十八日、九月十八日及十一月二十六日以及二零一九年一月十四日有關本公司控股股東內部重組以及由華魯集團向新華集團接收建議轉讓的公告</w:t>
      </w:r>
      <w:r>
        <w:rPr>
          <w:rFonts w:ascii="PMingLiU" w:hAnsi="PMingLiU" w:eastAsia="PMingLiU"/>
          <w:sz w:val="22"/>
        </w:rPr>
        <w:t xml:space="preserve"> (</w:t>
      </w:r>
      <w:r>
        <w:rPr>
          <w:rFonts w:hint="eastAsia" w:ascii="PMingLiU" w:hAnsi="PMingLiU" w:eastAsia="PMingLiU"/>
          <w:sz w:val="22"/>
        </w:rPr>
        <w:t>「</w:t>
      </w:r>
      <w:r>
        <w:rPr>
          <w:rFonts w:hint="eastAsia" w:ascii="PMingLiU" w:hAnsi="PMingLiU" w:eastAsia="PMingLiU"/>
          <w:b/>
          <w:sz w:val="22"/>
        </w:rPr>
        <w:t>該等公告</w:t>
      </w:r>
      <w:r>
        <w:rPr>
          <w:rFonts w:hint="eastAsia" w:ascii="PMingLiU" w:hAnsi="PMingLiU" w:eastAsia="PMingLiU"/>
          <w:sz w:val="22"/>
        </w:rPr>
        <w:t>」</w:t>
      </w:r>
      <w:r>
        <w:rPr>
          <w:rFonts w:ascii="PMingLiU" w:hAnsi="PMingLiU" w:eastAsia="PMingLiU"/>
          <w:sz w:val="22"/>
        </w:rPr>
        <w:t>)</w:t>
      </w:r>
      <w:r>
        <w:rPr>
          <w:rFonts w:hint="eastAsia" w:ascii="PMingLiU" w:hAnsi="PMingLiU" w:eastAsia="PMingLiU"/>
          <w:sz w:val="22"/>
        </w:rPr>
        <w:t>。除非另有訂明</w:t>
      </w:r>
      <w:r>
        <w:rPr>
          <w:rFonts w:ascii="PMingLiU" w:hAnsi="PMingLiU" w:eastAsia="PMingLiU"/>
          <w:sz w:val="22"/>
        </w:rPr>
        <w:t xml:space="preserve">, </w:t>
      </w:r>
      <w:r>
        <w:rPr>
          <w:rFonts w:hint="eastAsia" w:ascii="PMingLiU" w:hAnsi="PMingLiU" w:eastAsia="PMingLiU"/>
          <w:sz w:val="22"/>
        </w:rPr>
        <w:t>本公告詞彙與該等公告定義相同。</w:t>
      </w:r>
    </w:p>
    <w:p>
      <w:pPr>
        <w:pStyle w:val="8"/>
        <w:snapToGrid w:val="0"/>
        <w:jc w:val="both"/>
        <w:rPr>
          <w:rFonts w:ascii="PMingLiU" w:hAnsi="PMingLiU" w:eastAsia="PMingLiU"/>
          <w:sz w:val="22"/>
        </w:rPr>
      </w:pPr>
    </w:p>
    <w:p>
      <w:pPr>
        <w:pStyle w:val="8"/>
        <w:snapToGrid w:val="0"/>
        <w:jc w:val="both"/>
        <w:rPr>
          <w:rFonts w:ascii="PMingLiU" w:hAnsi="PMingLiU" w:eastAsia="PMingLiU"/>
          <w:sz w:val="22"/>
        </w:rPr>
      </w:pPr>
      <w:r>
        <w:rPr>
          <w:rFonts w:hint="eastAsia" w:ascii="PMingLiU" w:hAnsi="PMingLiU" w:eastAsia="PMingLiU"/>
          <w:sz w:val="22"/>
        </w:rPr>
        <w:t>於本公告日期本公司獲告中國證券登記結算有限責任公司深圳分公司就建議轉讓向華魯集團出具《證券過戶登記確認書》,</w:t>
      </w:r>
      <w:r>
        <w:rPr>
          <w:rFonts w:ascii="PMingLiU" w:hAnsi="PMingLiU" w:eastAsia="PMingLiU"/>
          <w:sz w:val="22"/>
        </w:rPr>
        <w:t xml:space="preserve"> </w:t>
      </w:r>
      <w:r>
        <w:rPr>
          <w:rFonts w:hint="eastAsia" w:ascii="PMingLiU" w:hAnsi="PMingLiU" w:eastAsia="PMingLiU"/>
          <w:sz w:val="22"/>
        </w:rPr>
        <w:t>建議轉讓隨而完成。</w:t>
      </w:r>
    </w:p>
    <w:p>
      <w:pPr>
        <w:pStyle w:val="8"/>
        <w:snapToGrid w:val="0"/>
        <w:jc w:val="both"/>
        <w:rPr>
          <w:rFonts w:ascii="PMingLiU" w:hAnsi="PMingLiU" w:eastAsia="PMingLiU"/>
          <w:sz w:val="22"/>
        </w:rPr>
      </w:pPr>
    </w:p>
    <w:p>
      <w:pPr>
        <w:pStyle w:val="8"/>
        <w:snapToGrid w:val="0"/>
        <w:jc w:val="both"/>
        <w:rPr>
          <w:rFonts w:ascii="PMingLiU" w:hAnsi="PMingLiU" w:eastAsia="PMingLiU"/>
          <w:sz w:val="22"/>
        </w:rPr>
      </w:pPr>
      <w:r>
        <w:rPr>
          <w:rFonts w:hint="eastAsia" w:ascii="PMingLiU" w:hAnsi="PMingLiU" w:eastAsia="PMingLiU"/>
          <w:sz w:val="22"/>
        </w:rPr>
        <w:t>因該完成故,</w:t>
      </w:r>
      <w:r>
        <w:rPr>
          <w:rFonts w:ascii="PMingLiU" w:hAnsi="PMingLiU" w:eastAsia="PMingLiU"/>
          <w:sz w:val="22"/>
        </w:rPr>
        <w:t xml:space="preserve"> </w:t>
      </w:r>
      <w:r>
        <w:rPr>
          <w:rFonts w:hint="eastAsia" w:ascii="PMingLiU" w:hAnsi="PMingLiU"/>
          <w:kern w:val="0"/>
          <w:sz w:val="22"/>
        </w:rPr>
        <w:t>華魯控股持股百分比及其作為本公司控股股東的地位維持不變並成為本公司的</w:t>
      </w:r>
      <w:r>
        <w:rPr>
          <w:rFonts w:hint="eastAsia" w:ascii="PMingLiU" w:hAnsi="PMingLiU" w:eastAsia="PMingLiU"/>
          <w:sz w:val="22"/>
        </w:rPr>
        <w:t>直接控股股東,</w:t>
      </w:r>
      <w:r>
        <w:rPr>
          <w:rFonts w:ascii="PMingLiU" w:hAnsi="PMingLiU" w:eastAsia="PMingLiU"/>
          <w:sz w:val="22"/>
        </w:rPr>
        <w:t xml:space="preserve"> </w:t>
      </w:r>
      <w:r>
        <w:rPr>
          <w:rFonts w:hint="eastAsia" w:ascii="PMingLiU" w:hAnsi="PMingLiU" w:eastAsia="PMingLiU"/>
          <w:sz w:val="22"/>
        </w:rPr>
        <w:t>而作為華魯控股全資附屬公司以及於該完成前作為本公司直接控股股東的新華集團則不再對本公司擁有任何權益或負債。</w:t>
      </w:r>
    </w:p>
    <w:p>
      <w:pPr>
        <w:pStyle w:val="8"/>
        <w:snapToGrid w:val="0"/>
        <w:jc w:val="both"/>
        <w:rPr>
          <w:rFonts w:ascii="PMingLiU" w:hAnsi="PMingLiU" w:eastAsia="PMingLiU"/>
          <w:sz w:val="22"/>
        </w:rPr>
      </w:pPr>
    </w:p>
    <w:p>
      <w:pPr>
        <w:pStyle w:val="8"/>
        <w:snapToGrid w:val="0"/>
        <w:jc w:val="both"/>
        <w:rPr>
          <w:rFonts w:ascii="PMingLiU" w:hAnsi="PMingLiU" w:eastAsia="PMingLiU"/>
          <w:sz w:val="22"/>
        </w:rPr>
      </w:pPr>
      <w:r>
        <w:rPr>
          <w:rFonts w:hint="eastAsia" w:ascii="PMingLiU" w:hAnsi="PMingLiU" w:eastAsia="PMingLiU"/>
          <w:sz w:val="22"/>
        </w:rPr>
        <w:t>董事會認為，基於前述本公司所獲告知內容</w:t>
      </w:r>
      <w:r>
        <w:rPr>
          <w:rFonts w:ascii="PMingLiU" w:hAnsi="PMingLiU" w:eastAsia="PMingLiU"/>
          <w:sz w:val="22"/>
        </w:rPr>
        <w:t xml:space="preserve">, </w:t>
      </w:r>
      <w:r>
        <w:rPr>
          <w:rFonts w:hint="eastAsia" w:ascii="PMingLiU" w:hAnsi="PMingLiU" w:eastAsia="PMingLiU"/>
          <w:sz w:val="22"/>
        </w:rPr>
        <w:t>建議轉讓的完成對本公司及其附屬公司的財務狀況及經營並不構成任何重大影響。</w:t>
      </w:r>
    </w:p>
    <w:p>
      <w:pPr>
        <w:pStyle w:val="8"/>
        <w:snapToGrid w:val="0"/>
        <w:jc w:val="both"/>
        <w:rPr>
          <w:rFonts w:ascii="PMingLiU" w:hAnsi="PMingLiU" w:eastAsia="PMingLiU"/>
          <w:sz w:val="22"/>
        </w:rPr>
      </w:pPr>
    </w:p>
    <w:p>
      <w:pPr>
        <w:pStyle w:val="8"/>
        <w:snapToGrid w:val="0"/>
        <w:jc w:val="both"/>
        <w:rPr>
          <w:rFonts w:ascii="PMingLiU" w:hAnsi="PMingLiU" w:eastAsia="PMingLiU"/>
          <w:sz w:val="22"/>
        </w:rPr>
      </w:pPr>
      <w:r>
        <w:rPr>
          <w:rFonts w:hint="eastAsia" w:ascii="PMingLiU" w:hAnsi="PMingLiU" w:eastAsia="PMingLiU"/>
          <w:sz w:val="22"/>
        </w:rPr>
        <w:t>董事共同及個別地就本公告內資料的準確程度承擔全部責任，且經作出所有合理查詢後，確認據其所深知本公告中表達的意見乃經適當及審慎的考慮後達致，並確認本公告並無遺漏其他事實，足以導致本公告任何聲明具誤導成分。</w:t>
      </w:r>
    </w:p>
    <w:p>
      <w:pPr>
        <w:pStyle w:val="8"/>
        <w:snapToGrid w:val="0"/>
        <w:jc w:val="both"/>
        <w:rPr>
          <w:rFonts w:ascii="PMingLiU" w:hAnsi="PMingLiU" w:eastAsia="PMingLiU"/>
          <w:sz w:val="22"/>
        </w:rPr>
      </w:pPr>
    </w:p>
    <w:p>
      <w:pPr>
        <w:jc w:val="both"/>
        <w:rPr>
          <w:rFonts w:ascii="PMingLiU" w:hAnsi="PMingLiU"/>
          <w:sz w:val="22"/>
          <w:szCs w:val="22"/>
        </w:rPr>
      </w:pPr>
      <w:r>
        <w:rPr>
          <w:rFonts w:hint="eastAsia" w:ascii="PMingLiU" w:hAnsi="PMingLiU"/>
          <w:sz w:val="22"/>
          <w:szCs w:val="22"/>
        </w:rPr>
        <w:t xml:space="preserve">    </w:t>
      </w:r>
    </w:p>
    <w:tbl>
      <w:tblPr>
        <w:tblW w:w="86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3448"/>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3448" w:type="dxa"/>
            <w:vAlign w:val="top"/>
          </w:tcPr>
          <w:p>
            <w:pPr>
              <w:pStyle w:val="8"/>
              <w:snapToGrid w:val="0"/>
              <w:rPr>
                <w:rFonts w:ascii="PMingLiU" w:hAnsi="PMingLiU" w:eastAsia="PMingLiU"/>
                <w:sz w:val="22"/>
              </w:rPr>
            </w:pPr>
          </w:p>
        </w:tc>
        <w:tc>
          <w:tcPr>
            <w:tcW w:w="5220" w:type="dxa"/>
            <w:vAlign w:val="top"/>
          </w:tcPr>
          <w:p>
            <w:pPr>
              <w:pStyle w:val="18"/>
              <w:spacing w:line="240" w:lineRule="auto"/>
              <w:ind w:left="110" w:right="1200"/>
              <w:jc w:val="right"/>
              <w:rPr>
                <w:rFonts w:ascii="PMingLiU" w:hAnsi="PMingLiU"/>
                <w:color w:val="auto"/>
                <w:sz w:val="22"/>
                <w:szCs w:val="22"/>
              </w:rPr>
            </w:pPr>
            <w:r>
              <w:rPr>
                <w:rFonts w:hint="eastAsia" w:ascii="PMingLiU" w:hAnsi="PMingLiU"/>
                <w:color w:val="auto"/>
                <w:sz w:val="22"/>
                <w:szCs w:val="22"/>
                <w:lang w:eastAsia="zh-TW"/>
              </w:rPr>
              <w:t>承董事會命</w:t>
            </w:r>
          </w:p>
          <w:p>
            <w:pPr>
              <w:pStyle w:val="18"/>
              <w:tabs>
                <w:tab w:val="center" w:pos="3969"/>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40" w:lineRule="auto"/>
              <w:ind w:left="110" w:right="389" w:rightChars="162"/>
              <w:jc w:val="right"/>
              <w:rPr>
                <w:rFonts w:ascii="PMingLiU" w:hAnsi="PMingLiU"/>
                <w:color w:val="auto"/>
                <w:sz w:val="22"/>
                <w:szCs w:val="22"/>
              </w:rPr>
            </w:pPr>
            <w:r>
              <w:rPr>
                <w:rFonts w:hint="eastAsia" w:ascii="PMingLiU" w:hAnsi="PMingLiU"/>
                <w:b/>
                <w:bCs/>
                <w:color w:val="auto"/>
                <w:sz w:val="22"/>
                <w:szCs w:val="22"/>
                <w:lang w:eastAsia="zh-TW"/>
              </w:rPr>
              <w:t>山東新華製藥股份有限公司</w:t>
            </w:r>
          </w:p>
          <w:p>
            <w:pPr>
              <w:pStyle w:val="18"/>
              <w:tabs>
                <w:tab w:val="center" w:pos="3969"/>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40" w:lineRule="auto"/>
              <w:ind w:left="110" w:right="1241"/>
              <w:jc w:val="right"/>
              <w:rPr>
                <w:rFonts w:ascii="PMingLiU" w:hAnsi="PMingLiU"/>
                <w:b/>
                <w:bCs/>
                <w:color w:val="auto"/>
                <w:sz w:val="22"/>
                <w:szCs w:val="22"/>
              </w:rPr>
            </w:pPr>
            <w:r>
              <w:rPr>
                <w:rFonts w:hint="eastAsia" w:ascii="PMingLiU" w:hAnsi="PMingLiU"/>
                <w:b/>
                <w:bCs/>
                <w:color w:val="auto"/>
                <w:sz w:val="22"/>
                <w:szCs w:val="22"/>
                <w:lang w:eastAsia="zh-TW"/>
              </w:rPr>
              <w:t>張代銘先生</w:t>
            </w:r>
          </w:p>
          <w:p>
            <w:pPr>
              <w:pStyle w:val="18"/>
              <w:tabs>
                <w:tab w:val="clear" w:pos="3400"/>
              </w:tabs>
              <w:spacing w:line="240" w:lineRule="auto"/>
              <w:ind w:left="110" w:right="1502"/>
              <w:jc w:val="right"/>
              <w:rPr>
                <w:rFonts w:ascii="PMingLiU" w:hAnsi="PMingLiU"/>
                <w:i/>
                <w:iCs/>
                <w:color w:val="auto"/>
                <w:sz w:val="22"/>
                <w:szCs w:val="22"/>
              </w:rPr>
            </w:pPr>
            <w:r>
              <w:rPr>
                <w:rFonts w:hint="eastAsia" w:ascii="PMingLiU" w:hAnsi="PMingLiU"/>
                <w:i/>
                <w:iCs/>
                <w:color w:val="auto"/>
                <w:sz w:val="22"/>
                <w:szCs w:val="22"/>
                <w:lang w:eastAsia="zh-TW"/>
              </w:rPr>
              <w:t>董事長</w:t>
            </w:r>
          </w:p>
          <w:p>
            <w:pPr>
              <w:pStyle w:val="8"/>
              <w:snapToGrid w:val="0"/>
              <w:jc w:val="center"/>
              <w:rPr>
                <w:rFonts w:ascii="PMingLiU" w:hAnsi="PMingLiU" w:eastAsia="PMingLiU"/>
                <w:sz w:val="22"/>
              </w:rPr>
            </w:pPr>
          </w:p>
        </w:tc>
      </w:tr>
    </w:tbl>
    <w:p>
      <w:pPr>
        <w:pStyle w:val="8"/>
        <w:snapToGrid w:val="0"/>
        <w:rPr>
          <w:rFonts w:ascii="PMingLiU" w:hAnsi="PMingLiU" w:eastAsia="PMingLiU"/>
          <w:sz w:val="22"/>
        </w:rPr>
      </w:pPr>
      <w:r>
        <w:rPr>
          <w:rFonts w:ascii="PMingLiU" w:hAnsi="PMingLiU" w:eastAsia="PMingLiU"/>
          <w:sz w:val="22"/>
        </w:rPr>
        <w:t xml:space="preserve"> </w:t>
      </w:r>
    </w:p>
    <w:p>
      <w:pPr>
        <w:pStyle w:val="8"/>
        <w:snapToGrid w:val="0"/>
        <w:rPr>
          <w:rFonts w:hint="eastAsia" w:ascii="PMingLiU" w:hAnsi="PMingLiU" w:eastAsia="PMingLiU"/>
          <w:sz w:val="22"/>
        </w:rPr>
      </w:pPr>
      <w:r>
        <w:rPr>
          <w:rFonts w:hint="eastAsia" w:ascii="PMingLiU" w:hAnsi="PMingLiU" w:eastAsia="PMingLiU"/>
          <w:sz w:val="22"/>
        </w:rPr>
        <w:t>中國</w:t>
      </w:r>
      <w:r>
        <w:rPr>
          <w:rFonts w:ascii="PMingLiU" w:hAnsi="PMingLiU" w:eastAsia="PMingLiU"/>
          <w:sz w:val="22"/>
        </w:rPr>
        <w:t xml:space="preserve"> </w:t>
      </w:r>
      <w:r>
        <w:rPr>
          <w:rFonts w:hint="eastAsia" w:ascii="PMingLiU" w:hAnsi="PMingLiU" w:eastAsia="宋体"/>
          <w:sz w:val="22"/>
        </w:rPr>
        <w:t>淄博，二零一九年</w:t>
      </w:r>
      <w:r>
        <w:rPr>
          <w:rFonts w:hint="eastAsia" w:ascii="PMingLiU" w:hAnsi="PMingLiU" w:eastAsia="宋体"/>
          <w:sz w:val="22"/>
          <w:lang w:eastAsia="zh-CN"/>
        </w:rPr>
        <w:t>四</w:t>
      </w:r>
      <w:r>
        <w:rPr>
          <w:rFonts w:hint="eastAsia" w:ascii="PMingLiU" w:hAnsi="PMingLiU" w:eastAsia="宋体"/>
          <w:sz w:val="22"/>
        </w:rPr>
        <w:t>月</w:t>
      </w:r>
      <w:r>
        <w:rPr>
          <w:rFonts w:hint="eastAsia" w:ascii="PMingLiU" w:hAnsi="PMingLiU" w:eastAsia="宋体"/>
          <w:sz w:val="22"/>
          <w:lang w:eastAsia="zh-CN"/>
        </w:rPr>
        <w:t>四</w:t>
      </w:r>
      <w:r>
        <w:rPr>
          <w:rFonts w:hint="eastAsia" w:ascii="PMingLiU" w:hAnsi="PMingLiU" w:eastAsia="宋体"/>
          <w:sz w:val="22"/>
        </w:rPr>
        <w:t>日</w:t>
      </w:r>
    </w:p>
    <w:p>
      <w:pPr>
        <w:pStyle w:val="8"/>
        <w:snapToGrid w:val="0"/>
        <w:rPr>
          <w:rFonts w:ascii="Times New Roman" w:hAnsi="Times New Roman"/>
          <w:sz w:val="22"/>
        </w:rPr>
      </w:pPr>
      <w:r>
        <w:rPr>
          <w:rFonts w:ascii="Times New Roman" w:hAnsi="Times New Roman"/>
          <w:sz w:val="22"/>
        </w:rPr>
        <w:t xml:space="preserve"> </w:t>
      </w:r>
      <w:bookmarkStart w:id="0" w:name="_GoBack"/>
      <w:bookmarkEnd w:id="0"/>
    </w:p>
    <w:p>
      <w:pPr>
        <w:pStyle w:val="8"/>
        <w:snapToGrid w:val="0"/>
        <w:ind w:left="630" w:hanging="630"/>
        <w:jc w:val="both"/>
        <w:rPr>
          <w:rFonts w:ascii="Times New Roman" w:hAnsi="Times New Roman"/>
          <w:i/>
          <w:sz w:val="22"/>
        </w:rPr>
      </w:pPr>
    </w:p>
    <w:p>
      <w:pPr>
        <w:snapToGrid w:val="0"/>
        <w:ind w:left="110"/>
        <w:jc w:val="both"/>
        <w:rPr>
          <w:color w:val="231F20"/>
          <w:spacing w:val="4"/>
          <w:sz w:val="22"/>
          <w:szCs w:val="22"/>
        </w:rPr>
      </w:pPr>
      <w:r>
        <w:rPr>
          <w:rFonts w:hint="eastAsia"/>
          <w:color w:val="231F20"/>
          <w:spacing w:val="4"/>
          <w:sz w:val="22"/>
          <w:szCs w:val="22"/>
        </w:rPr>
        <w:t>於本公告日期，董事會由下列董事組成：</w:t>
      </w:r>
    </w:p>
    <w:p>
      <w:pPr>
        <w:snapToGrid w:val="0"/>
        <w:ind w:left="110"/>
        <w:jc w:val="both"/>
        <w:rPr>
          <w:color w:val="231F20"/>
          <w:spacing w:val="4"/>
          <w:sz w:val="22"/>
          <w:szCs w:val="22"/>
        </w:rPr>
      </w:pPr>
    </w:p>
    <w:tbl>
      <w:tblPr>
        <w:tblW w:w="8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4348"/>
        <w:gridCol w:w="4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4348" w:type="dxa"/>
            <w:vAlign w:val="top"/>
          </w:tcPr>
          <w:p>
            <w:pPr>
              <w:snapToGrid w:val="0"/>
              <w:ind w:left="110"/>
              <w:jc w:val="both"/>
              <w:rPr>
                <w:color w:val="231F20"/>
                <w:spacing w:val="4"/>
                <w:sz w:val="22"/>
                <w:szCs w:val="22"/>
                <w:u w:val="single"/>
              </w:rPr>
            </w:pPr>
            <w:r>
              <w:rPr>
                <w:rFonts w:hint="eastAsia"/>
                <w:color w:val="231F20"/>
                <w:spacing w:val="4"/>
                <w:sz w:val="22"/>
                <w:szCs w:val="22"/>
                <w:u w:val="single"/>
              </w:rPr>
              <w:t>執行董事：</w:t>
            </w:r>
          </w:p>
          <w:p>
            <w:pPr>
              <w:snapToGrid w:val="0"/>
              <w:ind w:left="110"/>
              <w:jc w:val="both"/>
              <w:rPr>
                <w:color w:val="231F20"/>
                <w:spacing w:val="4"/>
                <w:sz w:val="22"/>
                <w:szCs w:val="22"/>
              </w:rPr>
            </w:pPr>
            <w:r>
              <w:rPr>
                <w:rFonts w:hint="eastAsia"/>
                <w:color w:val="231F20"/>
                <w:spacing w:val="4"/>
                <w:sz w:val="22"/>
                <w:szCs w:val="22"/>
              </w:rPr>
              <w:t>張代銘先生（董事長）</w:t>
            </w:r>
          </w:p>
          <w:p>
            <w:pPr>
              <w:snapToGrid w:val="0"/>
              <w:ind w:left="110"/>
              <w:jc w:val="both"/>
              <w:rPr>
                <w:color w:val="231F20"/>
                <w:spacing w:val="4"/>
                <w:sz w:val="22"/>
                <w:szCs w:val="22"/>
              </w:rPr>
            </w:pPr>
            <w:r>
              <w:rPr>
                <w:rFonts w:hint="eastAsia"/>
                <w:color w:val="231F20"/>
                <w:spacing w:val="4"/>
                <w:sz w:val="22"/>
                <w:szCs w:val="22"/>
              </w:rPr>
              <w:t>杜德平先生</w:t>
            </w:r>
          </w:p>
          <w:p>
            <w:pPr>
              <w:snapToGrid w:val="0"/>
              <w:ind w:left="110"/>
              <w:jc w:val="both"/>
              <w:rPr>
                <w:color w:val="231F20"/>
                <w:spacing w:val="4"/>
                <w:sz w:val="22"/>
                <w:szCs w:val="22"/>
              </w:rPr>
            </w:pPr>
          </w:p>
        </w:tc>
        <w:tc>
          <w:tcPr>
            <w:tcW w:w="4472" w:type="dxa"/>
            <w:vAlign w:val="top"/>
          </w:tcPr>
          <w:p>
            <w:pPr>
              <w:snapToGrid w:val="0"/>
              <w:ind w:left="110"/>
              <w:jc w:val="both"/>
              <w:rPr>
                <w:color w:val="231F20"/>
                <w:spacing w:val="4"/>
                <w:sz w:val="22"/>
                <w:szCs w:val="22"/>
                <w:u w:val="single"/>
              </w:rPr>
            </w:pPr>
            <w:r>
              <w:rPr>
                <w:rFonts w:hint="eastAsia"/>
                <w:color w:val="231F20"/>
                <w:spacing w:val="4"/>
                <w:sz w:val="22"/>
                <w:szCs w:val="22"/>
                <w:u w:val="single"/>
              </w:rPr>
              <w:t>獨立非執行董事：</w:t>
            </w:r>
          </w:p>
          <w:p>
            <w:pPr>
              <w:snapToGrid w:val="0"/>
              <w:ind w:left="110"/>
              <w:jc w:val="both"/>
              <w:rPr>
                <w:color w:val="231F20"/>
                <w:spacing w:val="4"/>
                <w:sz w:val="22"/>
                <w:szCs w:val="22"/>
              </w:rPr>
            </w:pPr>
            <w:r>
              <w:rPr>
                <w:rFonts w:hint="eastAsia"/>
                <w:color w:val="231F20"/>
                <w:spacing w:val="4"/>
                <w:sz w:val="22"/>
                <w:szCs w:val="22"/>
              </w:rPr>
              <w:t>李文明先生</w:t>
            </w:r>
            <w:r>
              <w:rPr>
                <w:color w:val="231F20"/>
                <w:spacing w:val="4"/>
                <w:sz w:val="22"/>
                <w:szCs w:val="22"/>
              </w:rPr>
              <w:t xml:space="preserve"> </w:t>
            </w:r>
          </w:p>
          <w:p>
            <w:pPr>
              <w:snapToGrid w:val="0"/>
              <w:ind w:left="110"/>
              <w:jc w:val="both"/>
              <w:rPr>
                <w:color w:val="231F20"/>
                <w:spacing w:val="4"/>
                <w:sz w:val="22"/>
                <w:szCs w:val="22"/>
              </w:rPr>
            </w:pPr>
            <w:r>
              <w:rPr>
                <w:rFonts w:hint="eastAsia"/>
                <w:color w:val="231F20"/>
                <w:spacing w:val="4"/>
                <w:sz w:val="22"/>
                <w:szCs w:val="22"/>
              </w:rPr>
              <w:t>杜冠華先生</w:t>
            </w:r>
            <w:r>
              <w:rPr>
                <w:color w:val="231F20"/>
                <w:spacing w:val="4"/>
                <w:sz w:val="22"/>
                <w:szCs w:val="22"/>
              </w:rPr>
              <w:t xml:space="preserve"> </w:t>
            </w:r>
          </w:p>
          <w:p>
            <w:pPr>
              <w:snapToGrid w:val="0"/>
              <w:ind w:left="110"/>
              <w:jc w:val="both"/>
              <w:rPr>
                <w:color w:val="231F20"/>
                <w:spacing w:val="4"/>
                <w:sz w:val="22"/>
                <w:szCs w:val="22"/>
              </w:rPr>
            </w:pPr>
            <w:r>
              <w:rPr>
                <w:rFonts w:hint="eastAsia"/>
                <w:color w:val="231F20"/>
                <w:spacing w:val="4"/>
                <w:sz w:val="22"/>
                <w:szCs w:val="22"/>
              </w:rPr>
              <w:t>盧華威先生</w:t>
            </w:r>
          </w:p>
          <w:p>
            <w:pPr>
              <w:snapToGrid w:val="0"/>
              <w:ind w:left="110"/>
              <w:jc w:val="both"/>
              <w:rPr>
                <w:color w:val="231F20"/>
                <w:spacing w:val="4"/>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4348" w:type="dxa"/>
            <w:vAlign w:val="top"/>
          </w:tcPr>
          <w:p>
            <w:pPr>
              <w:snapToGrid w:val="0"/>
              <w:ind w:left="110"/>
              <w:jc w:val="both"/>
              <w:rPr>
                <w:color w:val="231F20"/>
                <w:spacing w:val="4"/>
                <w:sz w:val="22"/>
                <w:szCs w:val="22"/>
                <w:u w:val="single"/>
              </w:rPr>
            </w:pPr>
            <w:r>
              <w:rPr>
                <w:rFonts w:hint="eastAsia"/>
                <w:color w:val="231F20"/>
                <w:spacing w:val="4"/>
                <w:sz w:val="22"/>
                <w:szCs w:val="22"/>
                <w:u w:val="single"/>
              </w:rPr>
              <w:t>非執行董事：</w:t>
            </w:r>
          </w:p>
          <w:p>
            <w:pPr>
              <w:snapToGrid w:val="0"/>
              <w:ind w:left="110"/>
              <w:jc w:val="both"/>
              <w:rPr>
                <w:color w:val="231F20"/>
                <w:spacing w:val="4"/>
                <w:sz w:val="22"/>
                <w:szCs w:val="22"/>
              </w:rPr>
            </w:pPr>
            <w:r>
              <w:rPr>
                <w:rFonts w:hint="eastAsia"/>
                <w:color w:val="231F20"/>
                <w:spacing w:val="4"/>
                <w:sz w:val="22"/>
                <w:szCs w:val="22"/>
              </w:rPr>
              <w:t>任福龍先生</w:t>
            </w:r>
          </w:p>
          <w:p>
            <w:pPr>
              <w:snapToGrid w:val="0"/>
              <w:ind w:left="110"/>
              <w:jc w:val="both"/>
              <w:rPr>
                <w:color w:val="231F20"/>
                <w:spacing w:val="4"/>
                <w:sz w:val="22"/>
                <w:szCs w:val="22"/>
              </w:rPr>
            </w:pPr>
            <w:r>
              <w:rPr>
                <w:rFonts w:hint="eastAsia"/>
                <w:color w:val="231F20"/>
                <w:spacing w:val="4"/>
                <w:sz w:val="22"/>
                <w:szCs w:val="22"/>
              </w:rPr>
              <w:t>徐</w:t>
            </w:r>
            <w:r>
              <w:rPr>
                <w:color w:val="231F20"/>
                <w:spacing w:val="4"/>
                <w:sz w:val="22"/>
                <w:szCs w:val="22"/>
              </w:rPr>
              <w:t xml:space="preserve"> </w:t>
            </w:r>
            <w:r>
              <w:rPr>
                <w:rFonts w:hint="eastAsia"/>
                <w:color w:val="231F20"/>
                <w:spacing w:val="4"/>
                <w:sz w:val="22"/>
                <w:szCs w:val="22"/>
              </w:rPr>
              <w:t>列先生</w:t>
            </w:r>
          </w:p>
          <w:p>
            <w:pPr>
              <w:snapToGrid w:val="0"/>
              <w:ind w:left="110"/>
              <w:jc w:val="both"/>
              <w:rPr>
                <w:color w:val="231F20"/>
                <w:spacing w:val="4"/>
                <w:sz w:val="22"/>
                <w:szCs w:val="22"/>
              </w:rPr>
            </w:pPr>
          </w:p>
        </w:tc>
        <w:tc>
          <w:tcPr>
            <w:tcW w:w="4472" w:type="dxa"/>
            <w:vAlign w:val="top"/>
          </w:tcPr>
          <w:p>
            <w:pPr>
              <w:snapToGrid w:val="0"/>
              <w:ind w:left="110"/>
              <w:jc w:val="both"/>
              <w:rPr>
                <w:color w:val="231F20"/>
                <w:spacing w:val="4"/>
                <w:sz w:val="22"/>
                <w:szCs w:val="22"/>
              </w:rPr>
            </w:pPr>
          </w:p>
        </w:tc>
      </w:tr>
    </w:tbl>
    <w:p>
      <w:pPr>
        <w:pStyle w:val="8"/>
        <w:snapToGrid w:val="0"/>
        <w:jc w:val="both"/>
        <w:rPr>
          <w:rFonts w:ascii="Times New Roman" w:hAnsi="Times New Roman"/>
          <w:iCs/>
          <w:sz w:val="22"/>
        </w:rPr>
      </w:pPr>
    </w:p>
    <w:sectPr>
      <w:footerReference r:id="rId4" w:type="default"/>
      <w:pgSz w:w="11906" w:h="16838"/>
      <w:pgMar w:top="1440" w:right="1286" w:bottom="1440" w:left="153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Calibri Light">
    <w:altName w:val="Calibri"/>
    <w:panose1 w:val="020F0302020204030204"/>
    <w:charset w:val="00"/>
    <w:family w:val="auto"/>
    <w:pitch w:val="default"/>
    <w:sig w:usb0="E0002AFF" w:usb1="C000247B" w:usb2="00000009" w:usb3="00000000" w:csb0="000001FF" w:csb1="00000000"/>
  </w:font>
  <w:font w:name="MingLiU">
    <w:panose1 w:val="02020509000000000000"/>
    <w:charset w:val="88"/>
    <w:family w:val="auto"/>
    <w:pitch w:val="default"/>
    <w:sig w:usb0="A00002FF" w:usb1="28CFFCFA" w:usb2="00000016" w:usb3="00000000" w:csb0="00100001" w:csb1="00000000"/>
  </w:font>
  <w:font w:name="Tahoma">
    <w:panose1 w:val="020B0604030504040204"/>
    <w:charset w:val="00"/>
    <w:family w:val="auto"/>
    <w:pitch w:val="default"/>
    <w:sig w:usb0="E1002EFF" w:usb1="C000605B" w:usb2="00000029" w:usb3="00000000" w:csb0="200101FF" w:csb1="20280000"/>
  </w:font>
  <w:font w:name="Times">
    <w:altName w:val="Times New Roman"/>
    <w:panose1 w:val="02020603050405020304"/>
    <w:charset w:val="00"/>
    <w:family w:val="auto"/>
    <w:pitch w:val="default"/>
    <w:sig w:usb0="E0002EFF" w:usb1="C000785B" w:usb2="00000009" w:usb3="00000000" w:csb0="000001FF" w:csb1="00000000"/>
  </w:font>
  <w:font w:name="DengXian">
    <w:altName w:val="宋体"/>
    <w:panose1 w:val="02010600030101010101"/>
    <w:charset w:val="86"/>
    <w:family w:val="auto"/>
    <w:pitch w:val="default"/>
    <w:sig w:usb0="A00002BF" w:usb1="38CF7CFA" w:usb2="00000016" w:usb3="00000000" w:csb0="0004000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pPr>
    <w:r>
      <w:fldChar w:fldCharType="begin"/>
    </w:r>
    <w:r>
      <w:instrText xml:space="preserve"> PAGE   \* MERGEFORMAT </w:instrText>
    </w:r>
    <w:r>
      <w:fldChar w:fldCharType="separate"/>
    </w:r>
    <w:r>
      <w:t>2</w:t>
    </w:r>
    <w:r>
      <w:fldChar w:fldCharType="end"/>
    </w:r>
  </w:p>
  <w:p>
    <w:pPr>
      <w:pStyle w:val="10"/>
      <w:jc w:val="right"/>
      <w:rPr>
        <w:sz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rawingGridHorizontalSpacing w:val="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nhideWhenUsed="0"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spacing w:after="160" w:line="259" w:lineRule="auto"/>
    </w:pPr>
    <w:rPr>
      <w:rFonts w:ascii="Times New Roman" w:hAnsi="Times New Roman" w:eastAsia="PMingLiU" w:cs="Times New Roman"/>
      <w:kern w:val="2"/>
      <w:sz w:val="24"/>
      <w:szCs w:val="24"/>
      <w:lang w:val="en-US" w:eastAsia="zh-TW" w:bidi="ar-SA"/>
    </w:rPr>
  </w:style>
  <w:style w:type="paragraph" w:styleId="2">
    <w:name w:val="heading 3"/>
    <w:basedOn w:val="1"/>
    <w:next w:val="1"/>
    <w:link w:val="28"/>
    <w:semiHidden/>
    <w:unhideWhenUsed/>
    <w:qFormat/>
    <w:uiPriority w:val="9"/>
    <w:pPr>
      <w:keepNext/>
      <w:spacing w:line="720" w:lineRule="auto"/>
      <w:outlineLvl w:val="2"/>
    </w:pPr>
    <w:rPr>
      <w:rFonts w:ascii="Calibri Light" w:hAnsi="Calibri Light"/>
      <w:b/>
      <w:bCs/>
      <w:sz w:val="36"/>
      <w:szCs w:val="36"/>
    </w:rPr>
  </w:style>
  <w:style w:type="paragraph" w:styleId="3">
    <w:name w:val="heading 8"/>
    <w:basedOn w:val="1"/>
    <w:next w:val="1"/>
    <w:qFormat/>
    <w:uiPriority w:val="0"/>
    <w:pPr>
      <w:keepNext/>
      <w:jc w:val="center"/>
      <w:outlineLvl w:val="7"/>
    </w:pPr>
    <w:rPr>
      <w:b/>
      <w:bCs/>
      <w:u w:val="single"/>
    </w:rPr>
  </w:style>
  <w:style w:type="paragraph" w:styleId="4">
    <w:name w:val="heading 9"/>
    <w:basedOn w:val="1"/>
    <w:next w:val="1"/>
    <w:qFormat/>
    <w:uiPriority w:val="0"/>
    <w:pPr>
      <w:keepNext/>
      <w:ind w:left="540" w:hanging="540" w:hangingChars="225"/>
      <w:outlineLvl w:val="8"/>
    </w:pPr>
    <w:rPr>
      <w:u w:val="single"/>
    </w:rPr>
  </w:style>
  <w:style w:type="character" w:default="1" w:styleId="13">
    <w:name w:val="Default Paragraph Font"/>
    <w:semiHidden/>
    <w:unhideWhenUsed/>
    <w:uiPriority w:val="1"/>
  </w:style>
  <w:style w:type="paragraph" w:styleId="5">
    <w:name w:val="annotation subject"/>
    <w:basedOn w:val="6"/>
    <w:next w:val="6"/>
    <w:link w:val="26"/>
    <w:semiHidden/>
    <w:unhideWhenUsed/>
    <w:uiPriority w:val="99"/>
    <w:rPr>
      <w:b/>
      <w:bCs/>
    </w:rPr>
  </w:style>
  <w:style w:type="paragraph" w:styleId="6">
    <w:name w:val="annotation text"/>
    <w:basedOn w:val="1"/>
    <w:link w:val="25"/>
    <w:semiHidden/>
    <w:unhideWhenUsed/>
    <w:uiPriority w:val="99"/>
    <w:rPr>
      <w:sz w:val="20"/>
      <w:szCs w:val="20"/>
    </w:rPr>
  </w:style>
  <w:style w:type="paragraph" w:styleId="7">
    <w:name w:val="Body Text"/>
    <w:basedOn w:val="1"/>
    <w:semiHidden/>
    <w:uiPriority w:val="0"/>
    <w:pPr>
      <w:jc w:val="both"/>
    </w:pPr>
  </w:style>
  <w:style w:type="paragraph" w:styleId="8">
    <w:name w:val="Plain Text"/>
    <w:basedOn w:val="1"/>
    <w:semiHidden/>
    <w:uiPriority w:val="0"/>
    <w:rPr>
      <w:rFonts w:ascii="MingLiU" w:hAnsi="Courier New" w:eastAsia="MingLiU"/>
      <w:szCs w:val="22"/>
    </w:rPr>
  </w:style>
  <w:style w:type="paragraph" w:styleId="9">
    <w:name w:val="Balloon Text"/>
    <w:basedOn w:val="1"/>
    <w:link w:val="27"/>
    <w:semiHidden/>
    <w:unhideWhenUsed/>
    <w:uiPriority w:val="99"/>
    <w:rPr>
      <w:rFonts w:ascii="Tahoma" w:hAnsi="Tahoma" w:cs="Tahoma"/>
      <w:sz w:val="16"/>
      <w:szCs w:val="16"/>
    </w:rPr>
  </w:style>
  <w:style w:type="paragraph" w:styleId="10">
    <w:name w:val="footer"/>
    <w:basedOn w:val="1"/>
    <w:link w:val="29"/>
    <w:uiPriority w:val="99"/>
    <w:pPr>
      <w:tabs>
        <w:tab w:val="center" w:pos="4153"/>
        <w:tab w:val="right" w:pos="8306"/>
      </w:tabs>
      <w:snapToGrid w:val="0"/>
    </w:pPr>
    <w:rPr>
      <w:sz w:val="20"/>
      <w:szCs w:val="20"/>
    </w:rPr>
  </w:style>
  <w:style w:type="paragraph" w:styleId="11">
    <w:name w:val="header"/>
    <w:basedOn w:val="1"/>
    <w:link w:val="24"/>
    <w:uiPriority w:val="99"/>
    <w:pPr>
      <w:tabs>
        <w:tab w:val="center" w:pos="4153"/>
        <w:tab w:val="right" w:pos="8306"/>
      </w:tabs>
      <w:snapToGrid w:val="0"/>
    </w:pPr>
    <w:rPr>
      <w:sz w:val="20"/>
      <w:szCs w:val="20"/>
    </w:rPr>
  </w:style>
  <w:style w:type="paragraph" w:styleId="12">
    <w:name w:val="Body Text 2"/>
    <w:basedOn w:val="1"/>
    <w:semiHidden/>
    <w:uiPriority w:val="0"/>
    <w:pPr>
      <w:jc w:val="center"/>
    </w:pPr>
  </w:style>
  <w:style w:type="character" w:styleId="14">
    <w:name w:val="annotation reference"/>
    <w:semiHidden/>
    <w:unhideWhenUsed/>
    <w:uiPriority w:val="99"/>
    <w:rPr>
      <w:sz w:val="16"/>
      <w:szCs w:val="16"/>
    </w:rPr>
  </w:style>
  <w:style w:type="paragraph" w:customStyle="1" w:styleId="15">
    <w:name w:val="題目"/>
    <w:uiPriority w:val="0"/>
    <w:pPr>
      <w:jc w:val="center"/>
    </w:pPr>
    <w:rPr>
      <w:rFonts w:eastAsia="MingLiU"/>
      <w:b/>
      <w:sz w:val="36"/>
    </w:rPr>
  </w:style>
  <w:style w:type="paragraph" w:customStyle="1" w:styleId="16">
    <w:name w:val="Leading 12"/>
    <w:uiPriority w:val="0"/>
    <w:pPr>
      <w:widowControl w:val="0"/>
      <w:tabs>
        <w:tab w:val="left" w:pos="340"/>
        <w:tab w:val="left" w:pos="680"/>
        <w:tab w:val="left" w:pos="1020"/>
        <w:tab w:val="left" w:pos="1361"/>
      </w:tabs>
      <w:autoSpaceDE w:val="0"/>
      <w:autoSpaceDN w:val="0"/>
      <w:adjustRightInd w:val="0"/>
      <w:spacing w:line="182" w:lineRule="atLeast"/>
      <w:jc w:val="both"/>
    </w:pPr>
    <w:rPr>
      <w:rFonts w:ascii="Times" w:hAnsi="Times"/>
      <w:sz w:val="10"/>
      <w:szCs w:val="10"/>
    </w:rPr>
  </w:style>
  <w:style w:type="paragraph" w:customStyle="1" w:styleId="17">
    <w:name w:val="Leading 06"/>
    <w:uiPriority w:val="0"/>
    <w:pPr>
      <w:widowControl w:val="0"/>
      <w:tabs>
        <w:tab w:val="left" w:pos="340"/>
        <w:tab w:val="left" w:pos="680"/>
        <w:tab w:val="left" w:pos="1020"/>
        <w:tab w:val="left" w:pos="1361"/>
      </w:tabs>
      <w:autoSpaceDE w:val="0"/>
      <w:autoSpaceDN w:val="0"/>
      <w:adjustRightInd w:val="0"/>
      <w:spacing w:line="180" w:lineRule="atLeast"/>
      <w:jc w:val="both"/>
    </w:pPr>
    <w:rPr>
      <w:rFonts w:ascii="Times" w:hAnsi="Times"/>
      <w:sz w:val="10"/>
      <w:szCs w:val="10"/>
    </w:rPr>
  </w:style>
  <w:style w:type="paragraph" w:customStyle="1" w:styleId="18">
    <w:name w:val="Body Text1"/>
    <w:uiPriority w:val="0"/>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line="200" w:lineRule="atLeast"/>
      <w:ind w:left="340"/>
      <w:jc w:val="both"/>
    </w:pPr>
    <w:rPr>
      <w:rFonts w:ascii="Times" w:hAnsi="Times"/>
      <w:color w:val="000000"/>
      <w:sz w:val="17"/>
      <w:szCs w:val="17"/>
    </w:rPr>
  </w:style>
  <w:style w:type="paragraph" w:customStyle="1" w:styleId="19">
    <w:name w:val="List Paragraph1"/>
    <w:basedOn w:val="1"/>
    <w:qFormat/>
    <w:uiPriority w:val="34"/>
    <w:pPr>
      <w:ind w:left="720"/>
    </w:pPr>
  </w:style>
  <w:style w:type="paragraph" w:customStyle="1" w:styleId="20">
    <w:name w:val="Revision1"/>
    <w:hidden/>
    <w:semiHidden/>
    <w:uiPriority w:val="99"/>
    <w:rPr>
      <w:kern w:val="2"/>
      <w:sz w:val="24"/>
      <w:szCs w:val="24"/>
    </w:rPr>
  </w:style>
  <w:style w:type="paragraph" w:customStyle="1" w:styleId="21">
    <w:name w:val="List Paragraph"/>
    <w:basedOn w:val="1"/>
    <w:qFormat/>
    <w:uiPriority w:val="34"/>
    <w:pPr>
      <w:spacing w:after="0" w:line="240" w:lineRule="auto"/>
      <w:ind w:left="720"/>
    </w:pPr>
  </w:style>
  <w:style w:type="paragraph" w:customStyle="1" w:styleId="22">
    <w:name w:val="Revision"/>
    <w:hidden/>
    <w:semiHidden/>
    <w:uiPriority w:val="99"/>
    <w:pPr>
      <w:spacing w:after="0" w:line="240" w:lineRule="auto"/>
    </w:pPr>
    <w:rPr>
      <w:kern w:val="2"/>
      <w:sz w:val="24"/>
      <w:szCs w:val="24"/>
      <w:lang w:eastAsia="zh-TW"/>
    </w:rPr>
  </w:style>
  <w:style w:type="character" w:customStyle="1" w:styleId="23">
    <w:name w:val="da"/>
    <w:basedOn w:val="13"/>
    <w:uiPriority w:val="0"/>
    <w:rPr/>
  </w:style>
  <w:style w:type="character" w:customStyle="1" w:styleId="24">
    <w:name w:val="Header Char"/>
    <w:link w:val="11"/>
    <w:locked/>
    <w:uiPriority w:val="99"/>
    <w:rPr>
      <w:kern w:val="2"/>
      <w:lang w:val="en-US"/>
    </w:rPr>
  </w:style>
  <w:style w:type="character" w:customStyle="1" w:styleId="25">
    <w:name w:val="Comment Text Char"/>
    <w:link w:val="6"/>
    <w:semiHidden/>
    <w:uiPriority w:val="99"/>
    <w:rPr>
      <w:kern w:val="2"/>
      <w:lang w:val="en-US"/>
    </w:rPr>
  </w:style>
  <w:style w:type="character" w:customStyle="1" w:styleId="26">
    <w:name w:val="Comment Subject Char"/>
    <w:link w:val="5"/>
    <w:semiHidden/>
    <w:uiPriority w:val="99"/>
    <w:rPr>
      <w:b/>
      <w:bCs/>
      <w:kern w:val="2"/>
      <w:lang w:val="en-US"/>
    </w:rPr>
  </w:style>
  <w:style w:type="character" w:customStyle="1" w:styleId="27">
    <w:name w:val="Balloon Text Char"/>
    <w:link w:val="9"/>
    <w:semiHidden/>
    <w:uiPriority w:val="99"/>
    <w:rPr>
      <w:rFonts w:ascii="Tahoma" w:hAnsi="Tahoma" w:cs="Tahoma"/>
      <w:kern w:val="2"/>
      <w:sz w:val="16"/>
      <w:szCs w:val="16"/>
      <w:lang w:val="en-US"/>
    </w:rPr>
  </w:style>
  <w:style w:type="character" w:customStyle="1" w:styleId="28">
    <w:name w:val="Heading 3 Char"/>
    <w:basedOn w:val="13"/>
    <w:link w:val="2"/>
    <w:semiHidden/>
    <w:uiPriority w:val="9"/>
    <w:rPr>
      <w:rFonts w:ascii="Calibri Light" w:hAnsi="Calibri Light"/>
      <w:b/>
      <w:bCs/>
      <w:kern w:val="2"/>
      <w:sz w:val="36"/>
      <w:szCs w:val="36"/>
      <w:lang w:eastAsia="zh-TW"/>
    </w:rPr>
  </w:style>
  <w:style w:type="character" w:customStyle="1" w:styleId="29">
    <w:name w:val="Footer Char"/>
    <w:basedOn w:val="13"/>
    <w:link w:val="10"/>
    <w:uiPriority w:val="99"/>
    <w:rPr>
      <w:kern w:val="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Charltons</Company>
  <Pages>2</Pages>
  <Words>125</Words>
  <Characters>714</Characters>
  <Lines>5</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2018-11-23T12:30:00Z</dcterms:created>
  <dc:creator>WChow</dc:creator>
  <cp:lastModifiedBy>曹长求</cp:lastModifiedBy>
  <cp:lastPrinted>2019-02-14T10:58:00Z</cp:lastPrinted>
  <dcterms:modified xsi:type="dcterms:W3CDTF">2019-04-04T01:53:43Z</dcterms:modified>
  <dc:title>The Stock Exchange of Hong Kong Limited takes no responsibility for the contents of this announcement, makes no representation</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