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both"/>
        <w:rPr>
          <w:rFonts w:ascii="宋体" w:hAnsi="宋体" w:eastAsia="宋体"/>
          <w:kern w:val="0"/>
          <w:sz w:val="22"/>
          <w:szCs w:val="22"/>
        </w:rPr>
      </w:pPr>
      <w:r>
        <w:rPr>
          <w:rFonts w:hint="eastAsia" w:ascii="宋体" w:hAnsi="宋体"/>
          <w:i/>
          <w:sz w:val="22"/>
          <w:szCs w:val="22"/>
        </w:rPr>
        <w:t>香港交</w:t>
      </w:r>
      <w:r>
        <w:rPr>
          <w:rFonts w:ascii="Batang" w:hAnsi="Batang" w:cs="Batang"/>
          <w:i/>
          <w:sz w:val="22"/>
          <w:szCs w:val="22"/>
        </w:rPr>
        <w:t>易</w:t>
      </w:r>
      <w:r>
        <w:rPr>
          <w:rFonts w:hint="eastAsia" w:ascii="宋体" w:hAnsi="宋体"/>
          <w:i/>
          <w:sz w:val="22"/>
          <w:szCs w:val="22"/>
        </w:rPr>
        <w:t>及結算所有限公司及香港</w:t>
      </w:r>
      <w:r>
        <w:rPr>
          <w:rFonts w:ascii="Batang" w:hAnsi="Batang" w:cs="Batang"/>
          <w:i/>
          <w:sz w:val="22"/>
          <w:szCs w:val="22"/>
        </w:rPr>
        <w:t>聯</w:t>
      </w:r>
      <w:r>
        <w:rPr>
          <w:rFonts w:hint="eastAsia" w:ascii="宋体" w:hAnsi="宋体"/>
          <w:i/>
          <w:sz w:val="22"/>
          <w:szCs w:val="22"/>
        </w:rPr>
        <w:t>合交</w:t>
      </w:r>
      <w:r>
        <w:rPr>
          <w:rFonts w:ascii="Batang" w:hAnsi="Batang" w:cs="Batang"/>
          <w:i/>
          <w:sz w:val="22"/>
          <w:szCs w:val="22"/>
        </w:rPr>
        <w:t>易</w:t>
      </w:r>
      <w:r>
        <w:rPr>
          <w:rFonts w:hint="eastAsia" w:ascii="宋体" w:hAnsi="宋体"/>
          <w:i/>
          <w:sz w:val="22"/>
          <w:szCs w:val="22"/>
        </w:rPr>
        <w:t>所有限公司對本公告之內容概</w:t>
      </w:r>
      <w:r>
        <w:rPr>
          <w:rFonts w:ascii="Batang" w:hAnsi="Batang" w:cs="Batang"/>
          <w:i/>
          <w:sz w:val="22"/>
          <w:szCs w:val="22"/>
        </w:rPr>
        <w:t>不</w:t>
      </w:r>
      <w:r>
        <w:rPr>
          <w:rFonts w:hint="eastAsia" w:ascii="宋体" w:hAnsi="宋体"/>
          <w:i/>
          <w:sz w:val="22"/>
          <w:szCs w:val="22"/>
        </w:rPr>
        <w:t>負責，對其準確性或完整性亦</w:t>
      </w:r>
      <w:r>
        <w:rPr>
          <w:rFonts w:ascii="Batang" w:hAnsi="Batang" w:cs="Batang"/>
          <w:i/>
          <w:sz w:val="22"/>
          <w:szCs w:val="22"/>
        </w:rPr>
        <w:t>不</w:t>
      </w:r>
      <w:r>
        <w:rPr>
          <w:rFonts w:hint="eastAsia" w:ascii="宋体" w:hAnsi="宋体"/>
          <w:i/>
          <w:sz w:val="22"/>
          <w:szCs w:val="22"/>
        </w:rPr>
        <w:t>發表任何聲明，並明確表示概</w:t>
      </w:r>
      <w:r>
        <w:rPr>
          <w:rFonts w:ascii="Batang" w:hAnsi="Batang" w:cs="Batang"/>
          <w:i/>
          <w:sz w:val="22"/>
          <w:szCs w:val="22"/>
        </w:rPr>
        <w:t>不</w:t>
      </w:r>
      <w:r>
        <w:rPr>
          <w:rFonts w:hint="eastAsia" w:ascii="宋体" w:hAnsi="宋体"/>
          <w:i/>
          <w:sz w:val="22"/>
          <w:szCs w:val="22"/>
        </w:rPr>
        <w:t>就因本公告全部或任何部分內容而產生或因倚賴該等內容而引致之任何損失承擔任何責任。</w:t>
      </w:r>
    </w:p>
    <w:p>
      <w:pPr>
        <w:autoSpaceDE w:val="0"/>
        <w:autoSpaceDN w:val="0"/>
        <w:adjustRightInd w:val="0"/>
        <w:jc w:val="both"/>
        <w:rPr>
          <w:rFonts w:ascii="宋体" w:hAnsi="宋体" w:eastAsia="宋体"/>
          <w:kern w:val="0"/>
          <w:sz w:val="22"/>
          <w:szCs w:val="22"/>
        </w:rPr>
      </w:pPr>
    </w:p>
    <w:p>
      <w:pPr>
        <w:autoSpaceDE w:val="0"/>
        <w:autoSpaceDN w:val="0"/>
        <w:adjustRightInd w:val="0"/>
        <w:jc w:val="both"/>
        <w:rPr>
          <w:rFonts w:ascii="宋体" w:hAnsi="宋体" w:eastAsia="宋体"/>
          <w:kern w:val="0"/>
          <w:sz w:val="22"/>
          <w:szCs w:val="22"/>
        </w:rPr>
      </w:pPr>
      <w:r>
        <w:rPr>
          <w:rFonts w:ascii="宋体" w:hAnsi="宋体" w:eastAsia="宋体" w:cs="Times New Roman"/>
          <w:kern w:val="0"/>
          <w:sz w:val="22"/>
          <w:szCs w:val="22"/>
          <w:lang w:val="en-US" w:eastAsia="zh-TW" w:bidi="ar-SA"/>
        </w:rPr>
        <w:pict>
          <v:shape id="图片 4" o:spid="_x0000_s1026" type="#_x0000_t75" style="position:absolute;left:0;margin-left:198pt;margin-top:1.8pt;height:48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jc w:val="both"/>
        <w:rPr>
          <w:rFonts w:ascii="宋体" w:hAnsi="宋体" w:eastAsia="宋体"/>
          <w:kern w:val="0"/>
          <w:sz w:val="22"/>
          <w:szCs w:val="22"/>
        </w:rPr>
      </w:pPr>
    </w:p>
    <w:p>
      <w:pPr>
        <w:autoSpaceDE w:val="0"/>
        <w:autoSpaceDN w:val="0"/>
        <w:adjustRightInd w:val="0"/>
        <w:jc w:val="both"/>
        <w:rPr>
          <w:rFonts w:ascii="宋体" w:hAnsi="宋体" w:eastAsia="宋体"/>
          <w:kern w:val="0"/>
          <w:sz w:val="22"/>
          <w:szCs w:val="22"/>
        </w:rPr>
      </w:pPr>
    </w:p>
    <w:p>
      <w:pPr>
        <w:autoSpaceDE w:val="0"/>
        <w:autoSpaceDN w:val="0"/>
        <w:adjustRightInd w:val="0"/>
        <w:jc w:val="both"/>
        <w:rPr>
          <w:rFonts w:ascii="宋体" w:hAnsi="宋体" w:eastAsia="宋体"/>
          <w:kern w:val="0"/>
          <w:sz w:val="22"/>
          <w:szCs w:val="22"/>
        </w:rPr>
      </w:pPr>
    </w:p>
    <w:p>
      <w:pPr>
        <w:autoSpaceDE w:val="0"/>
        <w:autoSpaceDN w:val="0"/>
        <w:adjustRightInd w:val="0"/>
        <w:jc w:val="center"/>
        <w:rPr>
          <w:rFonts w:eastAsia="宋体"/>
          <w:kern w:val="0"/>
        </w:rPr>
      </w:pPr>
      <w:r>
        <w:rPr>
          <w:rFonts w:hint="eastAsia"/>
          <w:kern w:val="0"/>
        </w:rPr>
        <w:t>山東新華製藥股份有限公司</w:t>
      </w:r>
    </w:p>
    <w:p>
      <w:pPr>
        <w:autoSpaceDE w:val="0"/>
        <w:autoSpaceDN w:val="0"/>
        <w:adjustRightInd w:val="0"/>
        <w:jc w:val="center"/>
        <w:rPr>
          <w:rFonts w:eastAsia="宋体"/>
          <w:b/>
          <w:kern w:val="0"/>
        </w:rPr>
      </w:pPr>
      <w:r>
        <w:rPr>
          <w:b/>
          <w:kern w:val="0"/>
        </w:rPr>
        <w:t>Shandong Xinhua Pharmaceutical Company Limited</w:t>
      </w:r>
    </w:p>
    <w:p>
      <w:pPr>
        <w:autoSpaceDE w:val="0"/>
        <w:autoSpaceDN w:val="0"/>
        <w:adjustRightInd w:val="0"/>
        <w:jc w:val="center"/>
        <w:rPr>
          <w:rFonts w:eastAsia="宋体"/>
          <w:i/>
          <w:iCs/>
          <w:kern w:val="0"/>
        </w:rPr>
      </w:pPr>
      <w:r>
        <w:rPr>
          <w:rFonts w:hint="eastAsia"/>
          <w:i/>
          <w:iCs/>
          <w:kern w:val="0"/>
        </w:rPr>
        <w:t>（於中華人民共和國註冊成立的股份有限公司）</w:t>
      </w:r>
    </w:p>
    <w:p>
      <w:pPr>
        <w:autoSpaceDE w:val="0"/>
        <w:autoSpaceDN w:val="0"/>
        <w:adjustRightInd w:val="0"/>
        <w:jc w:val="center"/>
        <w:rPr>
          <w:rFonts w:ascii="PMingLiU" w:hAnsi="PMingLiU"/>
          <w:i/>
          <w:iCs/>
          <w:kern w:val="0"/>
        </w:rPr>
      </w:pPr>
    </w:p>
    <w:p>
      <w:pPr>
        <w:autoSpaceDE w:val="0"/>
        <w:autoSpaceDN w:val="0"/>
        <w:adjustRightInd w:val="0"/>
        <w:jc w:val="center"/>
        <w:rPr>
          <w:rFonts w:ascii="PMingLiU" w:hAnsi="PMingLiU"/>
          <w:kern w:val="0"/>
          <w:lang w:eastAsia="zh-CN"/>
        </w:rPr>
      </w:pPr>
      <w:r>
        <w:rPr>
          <w:rFonts w:hint="eastAsia" w:ascii="PMingLiU" w:hAnsi="PMingLiU"/>
          <w:kern w:val="0"/>
        </w:rPr>
        <w:t>（股份代碼：</w:t>
      </w:r>
      <w:r>
        <w:rPr>
          <w:kern w:val="0"/>
        </w:rPr>
        <w:t>0719</w:t>
      </w:r>
      <w:r>
        <w:rPr>
          <w:rFonts w:hint="eastAsia" w:ascii="PMingLiU" w:hAnsi="PMingLiU"/>
          <w:kern w:val="0"/>
        </w:rPr>
        <w:t>）</w:t>
      </w:r>
      <w:r>
        <w:rPr>
          <w:rFonts w:hint="eastAsia" w:ascii="PMingLiU" w:hAnsi="PMingLiU" w:eastAsia="宋体"/>
          <w:kern w:val="0"/>
          <w:lang w:val="en-US" w:eastAsia="zh-CN"/>
        </w:rPr>
        <w:t xml:space="preserve"> </w:t>
      </w:r>
    </w:p>
    <w:p>
      <w:pPr>
        <w:autoSpaceDE w:val="0"/>
        <w:autoSpaceDN w:val="0"/>
        <w:adjustRightInd w:val="0"/>
        <w:jc w:val="center"/>
        <w:rPr>
          <w:rFonts w:ascii="PMingLiU" w:hAnsi="PMingLiU"/>
          <w:kern w:val="0"/>
          <w:lang w:eastAsia="zh-CN"/>
        </w:rPr>
      </w:pPr>
    </w:p>
    <w:p>
      <w:pPr>
        <w:autoSpaceDE w:val="0"/>
        <w:autoSpaceDN w:val="0"/>
        <w:adjustRightInd w:val="0"/>
        <w:jc w:val="center"/>
        <w:rPr>
          <w:rFonts w:ascii="PMingLiU" w:hAnsi="PMingLiU"/>
          <w:b/>
          <w:kern w:val="0"/>
        </w:rPr>
      </w:pPr>
      <w:r>
        <w:rPr>
          <w:rFonts w:hint="eastAsia" w:ascii="PMingLiU" w:hAnsi="PMingLiU"/>
          <w:b/>
          <w:kern w:val="0"/>
        </w:rPr>
        <w:t>2018年度未經審核業績數據快報</w:t>
      </w:r>
    </w:p>
    <w:p>
      <w:pPr>
        <w:autoSpaceDE w:val="0"/>
        <w:autoSpaceDN w:val="0"/>
        <w:adjustRightInd w:val="0"/>
        <w:jc w:val="both"/>
        <w:rPr>
          <w:rFonts w:ascii="PMingLiU" w:hAnsi="PMingLiU"/>
        </w:rPr>
      </w:pPr>
    </w:p>
    <w:p>
      <w:pPr>
        <w:autoSpaceDE w:val="0"/>
        <w:autoSpaceDN w:val="0"/>
        <w:adjustRightInd w:val="0"/>
        <w:jc w:val="both"/>
        <w:rPr>
          <w:rFonts w:ascii="PMingLiU" w:hAnsi="PMingLiU"/>
        </w:rPr>
      </w:pPr>
    </w:p>
    <w:p>
      <w:pPr>
        <w:autoSpaceDE w:val="0"/>
        <w:autoSpaceDN w:val="0"/>
        <w:adjustRightInd w:val="0"/>
        <w:jc w:val="both"/>
        <w:rPr>
          <w:rFonts w:ascii="PMingLiU" w:hAnsi="PMingLiU" w:cs="PMingLiU"/>
        </w:rPr>
      </w:pPr>
      <w:r>
        <w:rPr>
          <w:rFonts w:hint="eastAsia" w:ascii="PMingLiU" w:hAnsi="PMingLiU"/>
        </w:rPr>
        <w:t>本公告乃由山東新華製藥股份有限公司（「</w:t>
      </w:r>
      <w:r>
        <w:rPr>
          <w:rFonts w:hint="eastAsia" w:ascii="PMingLiU" w:hAnsi="PMingLiU"/>
          <w:b/>
        </w:rPr>
        <w:t>本公司</w:t>
      </w:r>
      <w:r>
        <w:rPr>
          <w:rFonts w:hint="eastAsia" w:ascii="PMingLiU" w:hAnsi="PMingLiU"/>
        </w:rPr>
        <w:t>」，連同其附屬公司統稱「</w:t>
      </w:r>
      <w:r>
        <w:rPr>
          <w:rFonts w:hint="eastAsia" w:ascii="PMingLiU" w:hAnsi="PMingLiU"/>
          <w:b/>
        </w:rPr>
        <w:t>本集團</w:t>
      </w:r>
      <w:r>
        <w:rPr>
          <w:rFonts w:hint="eastAsia" w:ascii="PMingLiU" w:hAnsi="PMingLiU"/>
        </w:rPr>
        <w:t>」）</w:t>
      </w:r>
      <w:r>
        <w:rPr>
          <w:rFonts w:ascii="PMingLiU" w:hAnsi="PMingLiU"/>
        </w:rPr>
        <w:t xml:space="preserve"> </w:t>
      </w:r>
      <w:r>
        <w:rPr>
          <w:rFonts w:hint="eastAsia" w:ascii="PMingLiU" w:hAnsi="PMingLiU"/>
        </w:rPr>
        <w:t>根據香港聯合交易所有限公司證券上市規則（「</w:t>
      </w:r>
      <w:r>
        <w:rPr>
          <w:rFonts w:hint="eastAsia" w:ascii="PMingLiU" w:hAnsi="PMingLiU"/>
          <w:b/>
        </w:rPr>
        <w:t>上市規則</w:t>
      </w:r>
      <w:r>
        <w:rPr>
          <w:rFonts w:hint="eastAsia" w:ascii="PMingLiU" w:hAnsi="PMingLiU"/>
        </w:rPr>
        <w:t>」）第</w:t>
      </w:r>
      <w:r>
        <w:t>13.09</w:t>
      </w:r>
      <w:r>
        <w:rPr>
          <w:rFonts w:hint="eastAsia" w:ascii="PMingLiU" w:hAnsi="PMingLiU"/>
        </w:rPr>
        <w:t>條及證券及期貨條</w:t>
      </w:r>
      <w:r>
        <w:rPr>
          <w:rFonts w:ascii="PMingLiU" w:hAnsi="PMingLiU"/>
        </w:rPr>
        <w:t xml:space="preserve"> </w:t>
      </w:r>
      <w:r>
        <w:rPr>
          <w:rFonts w:hint="eastAsia" w:ascii="PMingLiU" w:hAnsi="PMingLiU"/>
        </w:rPr>
        <w:t>例（香港法例第</w:t>
      </w:r>
      <w:r>
        <w:t>571</w:t>
      </w:r>
      <w:r>
        <w:rPr>
          <w:rFonts w:hint="eastAsia" w:ascii="PMingLiU" w:hAnsi="PMingLiU"/>
        </w:rPr>
        <w:t>章）（「</w:t>
      </w:r>
      <w:r>
        <w:rPr>
          <w:rFonts w:hint="eastAsia" w:ascii="PMingLiU" w:hAnsi="PMingLiU"/>
          <w:b/>
        </w:rPr>
        <w:t>證券及期貨條例</w:t>
      </w:r>
      <w:r>
        <w:rPr>
          <w:rFonts w:hint="eastAsia" w:ascii="PMingLiU" w:hAnsi="PMingLiU"/>
        </w:rPr>
        <w:t>」）第</w:t>
      </w:r>
      <w:r>
        <w:t>XIVA</w:t>
      </w:r>
      <w:r>
        <w:rPr>
          <w:rFonts w:hint="eastAsia" w:ascii="PMingLiU" w:hAnsi="PMingLiU"/>
        </w:rPr>
        <w:t>部項下的內幕消息條文（定義見上市規則）而作出</w:t>
      </w:r>
      <w:r>
        <w:rPr>
          <w:rFonts w:hint="eastAsia" w:ascii="PMingLiU" w:hAnsi="PMingLiU" w:cs="PMingLiU"/>
        </w:rPr>
        <w:t>。</w:t>
      </w:r>
    </w:p>
    <w:p>
      <w:pPr>
        <w:autoSpaceDE w:val="0"/>
        <w:autoSpaceDN w:val="0"/>
        <w:adjustRightInd w:val="0"/>
        <w:jc w:val="both"/>
        <w:rPr>
          <w:rFonts w:ascii="PMingLiU" w:hAnsi="PMingLiU" w:cs="PMingLiU"/>
        </w:rPr>
      </w:pPr>
    </w:p>
    <w:p>
      <w:pPr>
        <w:autoSpaceDE w:val="0"/>
        <w:autoSpaceDN w:val="0"/>
        <w:adjustRightInd w:val="0"/>
        <w:jc w:val="both"/>
        <w:rPr>
          <w:rFonts w:ascii="PMingLiU" w:hAnsi="PMingLiU" w:cs="PMingLiU"/>
          <w:b/>
        </w:rPr>
      </w:pPr>
      <w:r>
        <w:rPr>
          <w:rFonts w:hint="eastAsia" w:ascii="PMingLiU" w:hAnsi="PMingLiU" w:cs="PMingLiU"/>
          <w:b/>
        </w:rPr>
        <w:t>一、該報告期未經審核財務數據</w:t>
      </w:r>
    </w:p>
    <w:p>
      <w:pPr>
        <w:autoSpaceDE w:val="0"/>
        <w:autoSpaceDN w:val="0"/>
        <w:adjustRightInd w:val="0"/>
        <w:jc w:val="both"/>
        <w:rPr>
          <w:rFonts w:ascii="PMingLiU" w:hAnsi="PMingLiU" w:cs="PMingLiU"/>
        </w:rPr>
      </w:pPr>
    </w:p>
    <w:p>
      <w:pPr>
        <w:autoSpaceDE w:val="0"/>
        <w:autoSpaceDN w:val="0"/>
        <w:adjustRightInd w:val="0"/>
        <w:jc w:val="both"/>
        <w:rPr>
          <w:rFonts w:ascii="PMingLiU" w:hAnsi="PMingLiU" w:cs="宋体"/>
        </w:rPr>
      </w:pPr>
      <w:r>
        <w:rPr>
          <w:rFonts w:hint="eastAsia" w:ascii="PMingLiU" w:hAnsi="PMingLiU"/>
        </w:rPr>
        <w:t>本公司董事會（「</w:t>
      </w:r>
      <w:r>
        <w:rPr>
          <w:rFonts w:hint="eastAsia" w:ascii="PMingLiU" w:hAnsi="PMingLiU"/>
          <w:b/>
        </w:rPr>
        <w:t>董事會</w:t>
      </w:r>
      <w:r>
        <w:rPr>
          <w:rFonts w:hint="eastAsia" w:ascii="PMingLiU" w:hAnsi="PMingLiU"/>
        </w:rPr>
        <w:t>」）謹此通知本公司股東（「</w:t>
      </w:r>
      <w:r>
        <w:rPr>
          <w:rFonts w:hint="eastAsia" w:ascii="PMingLiU" w:hAnsi="PMingLiU"/>
          <w:b/>
        </w:rPr>
        <w:t>股東</w:t>
      </w:r>
      <w:r>
        <w:rPr>
          <w:rFonts w:hint="eastAsia" w:ascii="PMingLiU" w:hAnsi="PMingLiU"/>
        </w:rPr>
        <w:t>」）及潛在投資者</w:t>
      </w:r>
      <w:r>
        <w:rPr>
          <w:rFonts w:hint="eastAsia" w:ascii="PMingLiU" w:hAnsi="PMingLiU" w:cs="PMingLiU"/>
        </w:rPr>
        <w:t>，根據董事會對本集團截至</w:t>
      </w:r>
      <w:r>
        <w:rPr>
          <w:rFonts w:hint="eastAsia"/>
        </w:rPr>
        <w:t>201</w:t>
      </w:r>
      <w:r>
        <w:t>8</w:t>
      </w:r>
      <w:r>
        <w:rPr>
          <w:rFonts w:hint="eastAsia" w:ascii="PMingLiU" w:hAnsi="PMingLiU" w:cs="PMingLiU"/>
        </w:rPr>
        <w:t>年</w:t>
      </w:r>
      <w:r>
        <w:rPr>
          <w:rFonts w:hint="eastAsia"/>
        </w:rPr>
        <w:t>12</w:t>
      </w:r>
      <w:r>
        <w:rPr>
          <w:rFonts w:hint="eastAsia" w:ascii="PMingLiU" w:hAnsi="PMingLiU" w:cs="PMingLiU"/>
        </w:rPr>
        <w:t>月</w:t>
      </w:r>
      <w:r>
        <w:rPr>
          <w:rFonts w:hint="eastAsia"/>
        </w:rPr>
        <w:t>31</w:t>
      </w:r>
      <w:r>
        <w:rPr>
          <w:rFonts w:hint="eastAsia" w:ascii="PMingLiU" w:hAnsi="PMingLiU" w:cs="PMingLiU"/>
        </w:rPr>
        <w:t>日止年度未經審計綜合管理賬目的初步評估及集團業務表現，</w:t>
      </w:r>
      <w:r>
        <w:rPr>
          <w:rFonts w:hint="eastAsia" w:ascii="PMingLiU" w:hAnsi="PMingLiU"/>
        </w:rPr>
        <w:t>本集團預期</w:t>
      </w:r>
      <w:r>
        <w:t>2018</w:t>
      </w:r>
      <w:r>
        <w:rPr>
          <w:rFonts w:hint="eastAsia" w:ascii="PMingLiU" w:hAnsi="PMingLiU" w:cs="PMingLiU"/>
        </w:rPr>
        <w:t>年</w:t>
      </w:r>
      <w:r>
        <w:t>1</w:t>
      </w:r>
      <w:r>
        <w:rPr>
          <w:rFonts w:hint="eastAsia" w:ascii="PMingLiU" w:hAnsi="PMingLiU"/>
        </w:rPr>
        <w:t>月</w:t>
      </w:r>
      <w:r>
        <w:t>1</w:t>
      </w:r>
      <w:r>
        <w:rPr>
          <w:rFonts w:hint="eastAsia" w:ascii="PMingLiU" w:hAnsi="PMingLiU"/>
        </w:rPr>
        <w:t>日至</w:t>
      </w:r>
      <w:r>
        <w:rPr>
          <w:rFonts w:hint="eastAsia"/>
        </w:rPr>
        <w:t>2</w:t>
      </w:r>
      <w:r>
        <w:t>018</w:t>
      </w:r>
      <w:r>
        <w:rPr>
          <w:rFonts w:hint="eastAsia" w:ascii="PMingLiU" w:hAnsi="PMingLiU"/>
        </w:rPr>
        <w:t>年</w:t>
      </w:r>
      <w:r>
        <w:t>12</w:t>
      </w:r>
      <w:r>
        <w:rPr>
          <w:rFonts w:hint="eastAsia" w:ascii="PMingLiU" w:hAnsi="PMingLiU"/>
        </w:rPr>
        <w:t>月</w:t>
      </w:r>
      <w:r>
        <w:t>31</w:t>
      </w:r>
      <w:r>
        <w:rPr>
          <w:rFonts w:hint="eastAsia" w:ascii="PMingLiU" w:hAnsi="PMingLiU"/>
        </w:rPr>
        <w:t>日期間（「</w:t>
      </w:r>
      <w:r>
        <w:rPr>
          <w:rFonts w:hint="eastAsia" w:ascii="PMingLiU" w:hAnsi="PMingLiU"/>
          <w:b/>
        </w:rPr>
        <w:t>該報告期</w:t>
      </w:r>
      <w:r>
        <w:rPr>
          <w:rFonts w:hint="eastAsia" w:ascii="PMingLiU" w:hAnsi="PMingLiU"/>
        </w:rPr>
        <w:t>」）將錄得以下初步數據</w:t>
      </w:r>
      <w:r>
        <w:rPr>
          <w:rFonts w:hint="eastAsia" w:ascii="PMingLiU" w:hAnsi="PMingLiU" w:cs="宋体"/>
        </w:rPr>
        <w:t>：</w:t>
      </w:r>
      <w:r>
        <w:rPr>
          <w:rFonts w:hint="eastAsia" w:ascii="PMingLiU" w:hAnsi="PMingLiU" w:eastAsia="宋体" w:cs="宋体"/>
          <w:lang w:eastAsia="zh-CN"/>
        </w:rPr>
        <w:t>（人民幣千元）</w:t>
      </w:r>
    </w:p>
    <w:p>
      <w:pPr>
        <w:autoSpaceDE w:val="0"/>
        <w:autoSpaceDN w:val="0"/>
        <w:adjustRightInd w:val="0"/>
        <w:jc w:val="both"/>
        <w:rPr>
          <w:rFonts w:ascii="PMingLiU" w:hAnsi="PMingLiU" w:cs="宋体"/>
        </w:rPr>
      </w:pPr>
    </w:p>
    <w:tbl>
      <w:tblPr>
        <w:tblW w:w="8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4"/>
        <w:gridCol w:w="2271"/>
        <w:gridCol w:w="2134"/>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eastAsia="MingLiU"/>
                <w:b/>
                <w:color w:val="000000"/>
              </w:rPr>
            </w:pPr>
            <w:r>
              <w:rPr>
                <w:rFonts w:hint="eastAsia" w:eastAsia="MingLiU"/>
                <w:b/>
                <w:color w:val="000000"/>
              </w:rPr>
              <w:t>項目</w:t>
            </w:r>
          </w:p>
        </w:tc>
        <w:tc>
          <w:tcPr>
            <w:tcW w:w="2271"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b/>
                <w:color w:val="000000"/>
              </w:rPr>
            </w:pPr>
            <w:r>
              <w:rPr>
                <w:rFonts w:hint="eastAsia" w:eastAsia="MingLiU"/>
                <w:b/>
                <w:color w:val="000000"/>
              </w:rPr>
              <w:t>該報告期</w:t>
            </w:r>
          </w:p>
        </w:tc>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b/>
                <w:color w:val="000000"/>
                <w:lang w:eastAsia="zh-CN"/>
              </w:rPr>
            </w:pPr>
            <w:r>
              <w:rPr>
                <w:rFonts w:hint="eastAsia" w:eastAsia="MingLiU"/>
                <w:b/>
                <w:color w:val="000000"/>
              </w:rPr>
              <w:t>上年度同期</w:t>
            </w:r>
          </w:p>
        </w:tc>
        <w:tc>
          <w:tcPr>
            <w:tcW w:w="2134" w:type="dxa"/>
            <w:tcBorders>
              <w:top w:val="single" w:color="auto" w:sz="4" w:space="0"/>
              <w:left w:val="single" w:color="auto" w:sz="4" w:space="0"/>
              <w:bottom w:val="single" w:color="auto" w:sz="4" w:space="0"/>
              <w:right w:val="single" w:color="auto" w:sz="4" w:space="0"/>
            </w:tcBorders>
            <w:shd w:val="clear" w:color="auto" w:fill="E6E6E6"/>
            <w:vAlign w:val="top"/>
          </w:tcPr>
          <w:p>
            <w:pPr>
              <w:jc w:val="center"/>
              <w:rPr>
                <w:rFonts w:eastAsia="MingLiU"/>
                <w:b/>
                <w:color w:val="000000"/>
              </w:rPr>
            </w:pPr>
            <w:r>
              <w:rPr>
                <w:rFonts w:hint="eastAsia" w:eastAsia="MingLiU"/>
                <w:b/>
                <w:color w:val="000000"/>
              </w:rPr>
              <w:t>變動幅度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eastAsia="MingLiU"/>
                <w:color w:val="000000"/>
              </w:rPr>
            </w:pPr>
            <w:r>
              <w:rPr>
                <w:rFonts w:hint="eastAsia" w:eastAsia="MingLiU"/>
                <w:color w:val="000000"/>
              </w:rPr>
              <w:t>營業總收入</w:t>
            </w:r>
          </w:p>
        </w:tc>
        <w:tc>
          <w:tcPr>
            <w:tcW w:w="2271"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lang w:eastAsia="zh-CN"/>
              </w:rPr>
            </w:pPr>
            <w:r>
              <w:rPr>
                <w:rFonts w:eastAsia="仿宋"/>
                <w:color w:val="000000"/>
                <w:szCs w:val="21"/>
              </w:rPr>
              <w:t xml:space="preserve"> 5,231,634 </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lang w:eastAsia="zh-CN"/>
              </w:rPr>
            </w:pPr>
            <w:r>
              <w:rPr>
                <w:rFonts w:eastAsia="MingLiU"/>
                <w:color w:val="000000"/>
                <w:lang w:eastAsia="zh-CN"/>
              </w:rPr>
              <w:t>4,515,717</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rFonts w:eastAsia="仿宋"/>
                <w:color w:val="000000"/>
                <w:szCs w:val="21"/>
              </w:rPr>
              <w:t>15.85%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eastAsia="MingLiU"/>
                <w:color w:val="000000"/>
              </w:rPr>
            </w:pPr>
            <w:r>
              <w:rPr>
                <w:rFonts w:hint="eastAsia" w:eastAsia="MingLiU"/>
                <w:color w:val="000000"/>
              </w:rPr>
              <w:t>營業利潤</w:t>
            </w:r>
          </w:p>
        </w:tc>
        <w:tc>
          <w:tcPr>
            <w:tcW w:w="2271"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rFonts w:eastAsia="仿宋"/>
                <w:color w:val="000000"/>
                <w:szCs w:val="21"/>
              </w:rPr>
              <w:t xml:space="preserve"> 341,652 </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lang w:eastAsia="zh-CN"/>
              </w:rPr>
            </w:pPr>
            <w:r>
              <w:rPr>
                <w:rFonts w:eastAsia="MingLiU"/>
                <w:color w:val="000000"/>
                <w:lang w:eastAsia="zh-CN"/>
              </w:rPr>
              <w:t>281,681</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rFonts w:eastAsia="仿宋"/>
                <w:color w:val="000000"/>
                <w:szCs w:val="21"/>
              </w:rPr>
              <w:t>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eastAsia="MingLiU"/>
                <w:color w:val="000000"/>
              </w:rPr>
            </w:pPr>
            <w:r>
              <w:rPr>
                <w:rFonts w:hint="eastAsia" w:eastAsia="MingLiU"/>
                <w:color w:val="000000"/>
              </w:rPr>
              <w:t>利潤總額</w:t>
            </w:r>
          </w:p>
        </w:tc>
        <w:tc>
          <w:tcPr>
            <w:tcW w:w="2271"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lang w:eastAsia="zh-CN"/>
              </w:rPr>
            </w:pPr>
            <w:r>
              <w:rPr>
                <w:rFonts w:eastAsia="仿宋"/>
                <w:color w:val="000000"/>
                <w:szCs w:val="21"/>
              </w:rPr>
              <w:t xml:space="preserve"> 326,951 </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rFonts w:eastAsia="MingLiU"/>
                <w:color w:val="000000"/>
                <w:lang w:eastAsia="zh-CN"/>
              </w:rPr>
              <w:t>268,17</w:t>
            </w:r>
            <w:r>
              <w:rPr>
                <w:rFonts w:hint="eastAsia" w:eastAsia="MingLiU"/>
                <w:color w:val="000000"/>
                <w:lang w:val="en-US" w:eastAsia="zh-CN"/>
              </w:rPr>
              <w:t>4</w:t>
            </w:r>
            <w:bookmarkStart w:id="0" w:name="_GoBack"/>
            <w:bookmarkEnd w:id="0"/>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rFonts w:eastAsia="仿宋"/>
                <w:color w:val="000000"/>
                <w:szCs w:val="21"/>
              </w:rPr>
              <w:t>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eastAsia="MingLiU"/>
                <w:color w:val="000000"/>
              </w:rPr>
            </w:pPr>
            <w:r>
              <w:rPr>
                <w:rFonts w:hint="eastAsia" w:eastAsia="MingLiU"/>
                <w:color w:val="000000"/>
              </w:rPr>
              <w:t>歸屬</w:t>
            </w:r>
            <w:r>
              <w:rPr>
                <w:rFonts w:hint="eastAsia" w:eastAsia="宋体"/>
                <w:color w:val="000000"/>
              </w:rPr>
              <w:t>於</w:t>
            </w:r>
            <w:r>
              <w:rPr>
                <w:rFonts w:hint="eastAsia" w:eastAsia="宋体"/>
                <w:color w:val="000000"/>
                <w:lang w:eastAsia="zh-CN"/>
              </w:rPr>
              <w:t>上市公司</w:t>
            </w:r>
            <w:r>
              <w:rPr>
                <w:rFonts w:hint="eastAsia" w:eastAsia="MingLiU"/>
                <w:color w:val="000000"/>
              </w:rPr>
              <w:t>股東的淨利潤</w:t>
            </w:r>
          </w:p>
        </w:tc>
        <w:tc>
          <w:tcPr>
            <w:tcW w:w="2271"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rFonts w:eastAsia="仿宋"/>
                <w:color w:val="000000"/>
                <w:szCs w:val="21"/>
              </w:rPr>
              <w:t xml:space="preserve"> 251,194 </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lang w:eastAsia="zh-CN"/>
              </w:rPr>
            </w:pPr>
            <w:r>
              <w:rPr>
                <w:rFonts w:eastAsia="MingLiU"/>
                <w:color w:val="000000"/>
                <w:lang w:eastAsia="zh-CN"/>
              </w:rPr>
              <w:t>209,592</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rFonts w:eastAsia="仿宋"/>
                <w:color w:val="000000"/>
                <w:szCs w:val="21"/>
              </w:rPr>
              <w:t>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eastAsia="MingLiU"/>
                <w:color w:val="000000"/>
              </w:rPr>
            </w:pPr>
            <w:r>
              <w:rPr>
                <w:rFonts w:hint="eastAsia" w:eastAsia="MingLiU"/>
                <w:color w:val="000000"/>
              </w:rPr>
              <w:t>基本每股收益</w:t>
            </w:r>
            <w:r>
              <w:rPr>
                <w:rFonts w:hint="eastAsia" w:eastAsia="宋体"/>
                <w:color w:val="000000"/>
                <w:lang w:eastAsia="zh-CN"/>
              </w:rPr>
              <w:t>（元）</w:t>
            </w:r>
          </w:p>
        </w:tc>
        <w:tc>
          <w:tcPr>
            <w:tcW w:w="2271"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rFonts w:eastAsia="仿宋"/>
                <w:color w:val="000000"/>
                <w:szCs w:val="21"/>
              </w:rPr>
              <w:t xml:space="preserve"> 0.40 </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color w:val="000000"/>
              </w:rPr>
            </w:pPr>
            <w:r>
              <w:rPr>
                <w:rFonts w:eastAsia="MingLiU"/>
                <w:color w:val="000000"/>
                <w:lang w:eastAsia="zh-CN"/>
              </w:rPr>
              <w:t>0.35</w:t>
            </w:r>
            <w:r>
              <w:rPr>
                <w:rFonts w:hint="eastAsia" w:eastAsia="MingLiU"/>
                <w:color w:val="000000"/>
                <w:vertAlign w:val="superscript"/>
                <w:lang w:eastAsia="zh-CN"/>
              </w:rPr>
              <w:t>附註</w:t>
            </w:r>
            <w:r>
              <w:rPr>
                <w:rFonts w:hint="eastAsia"/>
                <w:color w:val="000000"/>
                <w:vertAlign w:val="superscript"/>
              </w:rPr>
              <w:t>三</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rFonts w:eastAsia="仿宋"/>
                <w:color w:val="000000"/>
                <w:szCs w:val="21"/>
              </w:rPr>
              <w:t>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eastAsia="MingLiU"/>
                <w:color w:val="000000"/>
                <w:lang w:eastAsia="zh-CN"/>
              </w:rPr>
            </w:pPr>
            <w:r>
              <w:rPr>
                <w:rFonts w:hint="eastAsia" w:eastAsia="MingLiU"/>
                <w:color w:val="000000"/>
              </w:rPr>
              <w:t>淨資產收益率</w:t>
            </w:r>
            <w:r>
              <w:rPr>
                <w:rFonts w:eastAsia="MingLiU"/>
                <w:i/>
                <w:color w:val="000000"/>
              </w:rPr>
              <w:t>(%)</w:t>
            </w:r>
          </w:p>
        </w:tc>
        <w:tc>
          <w:tcPr>
            <w:tcW w:w="2271"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lang w:eastAsia="zh-CN"/>
              </w:rPr>
            </w:pPr>
            <w:r>
              <w:rPr>
                <w:color w:val="000000"/>
                <w:szCs w:val="21"/>
              </w:rPr>
              <w:t>9.78%</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lang w:eastAsia="zh-CN"/>
              </w:rPr>
            </w:pPr>
            <w:r>
              <w:rPr>
                <w:rFonts w:eastAsia="MingLiU"/>
                <w:color w:val="000000"/>
                <w:lang w:eastAsia="zh-CN"/>
              </w:rPr>
              <w:t>9.70%</w:t>
            </w:r>
          </w:p>
        </w:tc>
        <w:tc>
          <w:tcPr>
            <w:tcW w:w="2134" w:type="dxa"/>
            <w:tcBorders>
              <w:top w:val="single" w:color="auto" w:sz="4" w:space="0"/>
              <w:left w:val="single" w:color="auto" w:sz="4" w:space="0"/>
              <w:bottom w:val="single" w:color="auto" w:sz="4" w:space="0"/>
              <w:right w:val="single" w:color="auto" w:sz="4" w:space="0"/>
            </w:tcBorders>
            <w:vAlign w:val="top"/>
          </w:tcPr>
          <w:p>
            <w:pPr>
              <w:jc w:val="right"/>
              <w:rPr>
                <w:color w:val="000000"/>
                <w:sz w:val="22"/>
                <w:szCs w:val="22"/>
              </w:rPr>
            </w:pPr>
            <w:r>
              <w:rPr>
                <w:rFonts w:hint="eastAsia" w:eastAsia="MingLiU"/>
                <w:sz w:val="22"/>
                <w:szCs w:val="22"/>
              </w:rPr>
              <w:t>上升</w:t>
            </w:r>
            <w:r>
              <w:rPr>
                <w:rFonts w:eastAsia="MingLiU"/>
                <w:sz w:val="22"/>
                <w:szCs w:val="22"/>
              </w:rPr>
              <w:t>0.08</w:t>
            </w:r>
            <w:r>
              <w:rPr>
                <w:rFonts w:hint="eastAsia" w:eastAsia="MingLiU"/>
                <w:sz w:val="22"/>
                <w:szCs w:val="22"/>
              </w:rPr>
              <w:t>個百分點</w:t>
            </w:r>
          </w:p>
        </w:tc>
      </w:tr>
    </w:tbl>
    <w:p>
      <w:pPr>
        <w:autoSpaceDE w:val="0"/>
        <w:autoSpaceDN w:val="0"/>
        <w:adjustRightInd w:val="0"/>
        <w:jc w:val="both"/>
      </w:pPr>
    </w:p>
    <w:p>
      <w:pPr>
        <w:widowControl/>
      </w:pPr>
      <w:r>
        <w:br w:type="page"/>
      </w:r>
    </w:p>
    <w:tbl>
      <w:tblPr>
        <w:tblW w:w="8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4"/>
        <w:gridCol w:w="2134"/>
        <w:gridCol w:w="2134"/>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eastAsia="MingLiU"/>
                <w:b/>
                <w:color w:val="000000"/>
                <w:lang w:eastAsia="zh-CN"/>
              </w:rPr>
            </w:pPr>
            <w:r>
              <w:rPr>
                <w:rFonts w:hint="eastAsia" w:eastAsia="MingLiU"/>
                <w:b/>
                <w:color w:val="000000"/>
                <w:lang w:eastAsia="zh-CN"/>
              </w:rPr>
              <w:t>項目</w:t>
            </w:r>
          </w:p>
        </w:tc>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eastAsia="MingLiU"/>
                <w:b/>
                <w:color w:val="000000"/>
              </w:rPr>
            </w:pPr>
            <w:r>
              <w:rPr>
                <w:rFonts w:eastAsia="MingLiU"/>
                <w:b/>
                <w:color w:val="000000"/>
              </w:rPr>
              <w:t>該報告期</w:t>
            </w:r>
            <w:r>
              <w:rPr>
                <w:rFonts w:hint="eastAsia" w:eastAsia="MingLiU"/>
                <w:b/>
                <w:color w:val="000000"/>
              </w:rPr>
              <w:t>末</w:t>
            </w:r>
          </w:p>
        </w:tc>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eastAsia="MingLiU"/>
                <w:b/>
                <w:color w:val="000000"/>
              </w:rPr>
            </w:pPr>
            <w:r>
              <w:rPr>
                <w:rFonts w:eastAsia="MingLiU"/>
                <w:b/>
                <w:color w:val="000000"/>
              </w:rPr>
              <w:t>該報告期</w:t>
            </w:r>
            <w:r>
              <w:rPr>
                <w:rFonts w:hint="eastAsia" w:eastAsia="MingLiU"/>
                <w:b/>
                <w:color w:val="000000"/>
              </w:rPr>
              <w:t>初</w:t>
            </w:r>
          </w:p>
        </w:tc>
        <w:tc>
          <w:tcPr>
            <w:tcW w:w="2233" w:type="dxa"/>
            <w:tcBorders>
              <w:top w:val="single" w:color="auto" w:sz="4" w:space="0"/>
              <w:left w:val="single" w:color="auto" w:sz="4" w:space="0"/>
              <w:bottom w:val="single" w:color="auto" w:sz="4" w:space="0"/>
              <w:right w:val="single" w:color="auto" w:sz="4" w:space="0"/>
            </w:tcBorders>
            <w:shd w:val="clear" w:color="auto" w:fill="E6E6E6"/>
            <w:vAlign w:val="top"/>
          </w:tcPr>
          <w:p>
            <w:pPr>
              <w:jc w:val="center"/>
              <w:rPr>
                <w:rFonts w:eastAsia="MingLiU"/>
                <w:b/>
                <w:color w:val="000000"/>
              </w:rPr>
            </w:pPr>
            <w:r>
              <w:rPr>
                <w:rFonts w:hint="eastAsia" w:eastAsia="MingLiU"/>
                <w:b/>
                <w:color w:val="000000"/>
              </w:rPr>
              <w:t>變動幅度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eastAsia="MingLiU"/>
                <w:color w:val="000000"/>
              </w:rPr>
            </w:pPr>
            <w:r>
              <w:rPr>
                <w:rFonts w:hint="eastAsia" w:eastAsia="MingLiU"/>
                <w:color w:val="000000"/>
              </w:rPr>
              <w:t>總資產</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color w:val="000000"/>
                <w:szCs w:val="21"/>
              </w:rPr>
              <w:t>5,904,579</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lang w:eastAsia="zh-CN"/>
              </w:rPr>
            </w:pPr>
            <w:r>
              <w:rPr>
                <w:rFonts w:eastAsia="MingLiU"/>
                <w:color w:val="000000"/>
                <w:lang w:eastAsia="zh-CN"/>
              </w:rPr>
              <w:t>5,273,647</w:t>
            </w:r>
          </w:p>
        </w:tc>
        <w:tc>
          <w:tcPr>
            <w:tcW w:w="2233"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color w:val="000000"/>
                <w:szCs w:val="21"/>
              </w:rPr>
              <w:t>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eastAsia="MingLiU"/>
                <w:color w:val="000000"/>
              </w:rPr>
            </w:pPr>
            <w:r>
              <w:rPr>
                <w:rFonts w:hint="eastAsia" w:eastAsia="MingLiU"/>
                <w:color w:val="000000"/>
              </w:rPr>
              <w:t>歸</w:t>
            </w:r>
            <w:r>
              <w:rPr>
                <w:rFonts w:hint="eastAsia" w:eastAsia="宋体"/>
                <w:color w:val="000000"/>
              </w:rPr>
              <w:t>屬於</w:t>
            </w:r>
            <w:r>
              <w:rPr>
                <w:rFonts w:hint="eastAsia" w:eastAsia="宋体"/>
                <w:color w:val="000000"/>
                <w:lang w:eastAsia="zh-CN"/>
              </w:rPr>
              <w:t>上市公司</w:t>
            </w:r>
            <w:r>
              <w:rPr>
                <w:rFonts w:hint="eastAsia" w:eastAsia="宋体"/>
                <w:color w:val="000000"/>
              </w:rPr>
              <w:t>股東的權益總額</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color w:val="000000"/>
                <w:szCs w:val="21"/>
              </w:rPr>
              <w:t>2,689,445</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lang w:eastAsia="zh-CN"/>
              </w:rPr>
            </w:pPr>
            <w:r>
              <w:rPr>
                <w:rFonts w:eastAsia="MingLiU"/>
                <w:color w:val="000000"/>
                <w:lang w:eastAsia="zh-CN"/>
              </w:rPr>
              <w:t>2,480,024</w:t>
            </w:r>
          </w:p>
        </w:tc>
        <w:tc>
          <w:tcPr>
            <w:tcW w:w="2233"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color w:val="000000"/>
                <w:szCs w:val="21"/>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eastAsia="MingLiU"/>
                <w:color w:val="000000"/>
              </w:rPr>
            </w:pPr>
            <w:r>
              <w:rPr>
                <w:rFonts w:hint="eastAsia" w:eastAsia="MingLiU"/>
                <w:color w:val="000000"/>
                <w:lang w:eastAsia="zh-CN"/>
              </w:rPr>
              <w:t>已發行</w:t>
            </w:r>
            <w:r>
              <w:rPr>
                <w:rFonts w:hint="eastAsia" w:eastAsia="MingLiU"/>
                <w:color w:val="000000"/>
              </w:rPr>
              <w:t>股本</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lang w:eastAsia="zh-CN"/>
              </w:rPr>
            </w:pPr>
            <w:r>
              <w:rPr>
                <w:rFonts w:eastAsia="MingLiU"/>
                <w:color w:val="000000"/>
                <w:lang w:eastAsia="zh-CN"/>
              </w:rPr>
              <w:t>621,859</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lang w:eastAsia="zh-CN"/>
              </w:rPr>
            </w:pPr>
            <w:r>
              <w:rPr>
                <w:rFonts w:eastAsia="MingLiU"/>
                <w:color w:val="000000"/>
                <w:lang w:eastAsia="zh-CN"/>
              </w:rPr>
              <w:t>478,353</w:t>
            </w:r>
          </w:p>
        </w:tc>
        <w:tc>
          <w:tcPr>
            <w:tcW w:w="2233" w:type="dxa"/>
            <w:tcBorders>
              <w:top w:val="single" w:color="auto" w:sz="4" w:space="0"/>
              <w:left w:val="single" w:color="auto" w:sz="4" w:space="0"/>
              <w:bottom w:val="single" w:color="auto" w:sz="4" w:space="0"/>
              <w:right w:val="single" w:color="auto" w:sz="4" w:space="0"/>
            </w:tcBorders>
            <w:vAlign w:val="top"/>
          </w:tcPr>
          <w:p>
            <w:pPr>
              <w:jc w:val="right"/>
              <w:rPr>
                <w:rFonts w:eastAsia="MingLiU"/>
                <w:color w:val="000000"/>
              </w:rPr>
            </w:pPr>
            <w:r>
              <w:rPr>
                <w:rFonts w:eastAsia="MingLiU"/>
                <w:color w:val="000000"/>
                <w:lang w:eastAsia="zh-CN"/>
              </w:rPr>
              <w:t>30%</w:t>
            </w:r>
            <w:r>
              <w:rPr>
                <w:rFonts w:hint="eastAsia" w:eastAsia="MingLiU"/>
                <w:i/>
                <w:color w:val="000000"/>
                <w:vertAlign w:val="superscript"/>
                <w:lang w:eastAsia="zh-CN"/>
              </w:rPr>
              <w:t>附註</w:t>
            </w:r>
            <w:r>
              <w:rPr>
                <w:rFonts w:hint="eastAsia" w:eastAsia="MingLiU"/>
                <w:i/>
                <w:color w:val="000000"/>
                <w:vertAlign w:val="superscript"/>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13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eastAsia="MingLiU"/>
                <w:color w:val="000000"/>
              </w:rPr>
            </w:pPr>
            <w:r>
              <w:rPr>
                <w:rFonts w:hint="eastAsia" w:eastAsia="MingLiU"/>
                <w:color w:val="000000"/>
              </w:rPr>
              <w:t>歸屬</w:t>
            </w:r>
            <w:r>
              <w:rPr>
                <w:rFonts w:hint="eastAsia" w:eastAsia="宋体"/>
                <w:color w:val="000000"/>
              </w:rPr>
              <w:t>於</w:t>
            </w:r>
            <w:r>
              <w:rPr>
                <w:rFonts w:hint="eastAsia" w:eastAsia="宋体"/>
                <w:color w:val="000000"/>
                <w:lang w:eastAsia="zh-CN"/>
              </w:rPr>
              <w:t>上市公司</w:t>
            </w:r>
            <w:r>
              <w:rPr>
                <w:rFonts w:hint="eastAsia" w:eastAsia="MingLiU"/>
                <w:color w:val="000000"/>
              </w:rPr>
              <w:t>股東的每股淨資產</w:t>
            </w:r>
            <w:r>
              <w:rPr>
                <w:rFonts w:hint="eastAsia" w:eastAsia="宋体"/>
                <w:color w:val="000000"/>
                <w:lang w:eastAsia="zh-CN"/>
              </w:rPr>
              <w:t>（元）</w:t>
            </w:r>
          </w:p>
        </w:tc>
        <w:tc>
          <w:tcPr>
            <w:tcW w:w="2134" w:type="dxa"/>
            <w:tcBorders>
              <w:top w:val="single" w:color="auto" w:sz="4" w:space="0"/>
              <w:left w:val="single" w:color="auto" w:sz="4" w:space="0"/>
              <w:bottom w:val="single" w:color="auto" w:sz="4" w:space="0"/>
              <w:right w:val="single" w:color="auto" w:sz="4" w:space="0"/>
            </w:tcBorders>
            <w:vAlign w:val="top"/>
          </w:tcPr>
          <w:p>
            <w:pPr>
              <w:jc w:val="right"/>
              <w:rPr>
                <w:rFonts w:eastAsia="MingLiU"/>
                <w:color w:val="000000"/>
              </w:rPr>
            </w:pPr>
            <w:r>
              <w:rPr>
                <w:rFonts w:eastAsia="MingLiU"/>
                <w:lang w:eastAsia="zh-CN"/>
              </w:rPr>
              <w:t>4.32</w:t>
            </w:r>
          </w:p>
        </w:tc>
        <w:tc>
          <w:tcPr>
            <w:tcW w:w="2134" w:type="dxa"/>
            <w:tcBorders>
              <w:top w:val="single" w:color="auto" w:sz="4" w:space="0"/>
              <w:left w:val="single" w:color="auto" w:sz="4" w:space="0"/>
              <w:bottom w:val="single" w:color="auto" w:sz="4" w:space="0"/>
              <w:right w:val="single" w:color="auto" w:sz="4" w:space="0"/>
            </w:tcBorders>
            <w:vAlign w:val="center"/>
          </w:tcPr>
          <w:p>
            <w:pPr>
              <w:jc w:val="right"/>
              <w:rPr>
                <w:rFonts w:eastAsia="MingLiU"/>
                <w:color w:val="000000"/>
              </w:rPr>
            </w:pPr>
            <w:r>
              <w:rPr>
                <w:rFonts w:eastAsia="MingLiU"/>
                <w:color w:val="000000"/>
                <w:lang w:eastAsia="zh-CN"/>
              </w:rPr>
              <w:t>3.99</w:t>
            </w:r>
            <w:r>
              <w:rPr>
                <w:rFonts w:hint="eastAsia" w:eastAsia="MingLiU"/>
                <w:i/>
                <w:color w:val="000000"/>
                <w:vertAlign w:val="superscript"/>
                <w:lang w:eastAsia="zh-CN"/>
              </w:rPr>
              <w:t>附註</w:t>
            </w:r>
            <w:r>
              <w:rPr>
                <w:rFonts w:hint="eastAsia" w:eastAsia="MingLiU"/>
                <w:i/>
                <w:color w:val="000000"/>
                <w:vertAlign w:val="superscript"/>
              </w:rPr>
              <w:t>三</w:t>
            </w:r>
          </w:p>
        </w:tc>
        <w:tc>
          <w:tcPr>
            <w:tcW w:w="2233" w:type="dxa"/>
            <w:tcBorders>
              <w:top w:val="single" w:color="auto" w:sz="4" w:space="0"/>
              <w:left w:val="single" w:color="auto" w:sz="4" w:space="0"/>
              <w:bottom w:val="single" w:color="auto" w:sz="4" w:space="0"/>
              <w:right w:val="single" w:color="auto" w:sz="4" w:space="0"/>
            </w:tcBorders>
            <w:vAlign w:val="top"/>
          </w:tcPr>
          <w:p>
            <w:pPr>
              <w:jc w:val="right"/>
              <w:rPr>
                <w:rFonts w:eastAsia="MingLiU"/>
                <w:color w:val="000000"/>
              </w:rPr>
            </w:pPr>
            <w:r>
              <w:rPr>
                <w:rFonts w:eastAsia="MingLiU"/>
                <w:lang w:eastAsia="zh-CN"/>
              </w:rPr>
              <w:t>8.27%</w:t>
            </w:r>
          </w:p>
        </w:tc>
      </w:tr>
    </w:tbl>
    <w:p>
      <w:pPr>
        <w:autoSpaceDE w:val="0"/>
        <w:autoSpaceDN w:val="0"/>
        <w:adjustRightInd w:val="0"/>
        <w:jc w:val="both"/>
        <w:rPr>
          <w:rFonts w:ascii="PMingLiU" w:hAnsi="PMingLiU"/>
        </w:rPr>
      </w:pPr>
    </w:p>
    <w:p>
      <w:pPr>
        <w:autoSpaceDE w:val="0"/>
        <w:autoSpaceDN w:val="0"/>
        <w:adjustRightInd w:val="0"/>
        <w:jc w:val="both"/>
        <w:rPr>
          <w:rFonts w:ascii="PMingLiU" w:hAnsi="PMingLiU"/>
          <w:i/>
          <w:sz w:val="20"/>
          <w:szCs w:val="20"/>
        </w:rPr>
      </w:pPr>
      <w:r>
        <w:rPr>
          <w:rFonts w:hint="eastAsia" w:ascii="PMingLiU" w:hAnsi="PMingLiU"/>
          <w:i/>
          <w:sz w:val="20"/>
          <w:szCs w:val="20"/>
        </w:rPr>
        <w:t>附註：</w:t>
      </w:r>
    </w:p>
    <w:p>
      <w:pPr>
        <w:autoSpaceDE w:val="0"/>
        <w:autoSpaceDN w:val="0"/>
        <w:adjustRightInd w:val="0"/>
        <w:jc w:val="both"/>
        <w:rPr>
          <w:rFonts w:ascii="PMingLiU" w:hAnsi="PMingLiU"/>
          <w:i/>
          <w:sz w:val="20"/>
          <w:szCs w:val="20"/>
        </w:rPr>
      </w:pPr>
    </w:p>
    <w:p>
      <w:pPr>
        <w:pStyle w:val="20"/>
        <w:numPr>
          <w:ilvl w:val="0"/>
          <w:numId w:val="1"/>
        </w:numPr>
        <w:autoSpaceDE w:val="0"/>
        <w:autoSpaceDN w:val="0"/>
        <w:adjustRightInd w:val="0"/>
        <w:jc w:val="both"/>
        <w:rPr>
          <w:rFonts w:ascii="PMingLiU" w:hAnsi="PMingLiU"/>
          <w:sz w:val="20"/>
          <w:szCs w:val="20"/>
        </w:rPr>
      </w:pPr>
      <w:r>
        <w:rPr>
          <w:rFonts w:ascii="PMingLiU" w:hAnsi="PMingLiU"/>
          <w:sz w:val="20"/>
          <w:szCs w:val="20"/>
        </w:rPr>
        <w:tab/>
      </w:r>
      <w:r>
        <w:rPr>
          <w:rFonts w:ascii="PMingLiU" w:hAnsi="PMingLiU"/>
          <w:sz w:val="20"/>
          <w:szCs w:val="20"/>
        </w:rPr>
        <w:t xml:space="preserve"> </w:t>
      </w:r>
      <w:r>
        <w:rPr>
          <w:rFonts w:hint="eastAsia" w:ascii="PMingLiU" w:hAnsi="PMingLiU"/>
          <w:sz w:val="20"/>
          <w:szCs w:val="20"/>
        </w:rPr>
        <w:t>以上初步數據均根據中國企業會計準則編制。</w:t>
      </w:r>
    </w:p>
    <w:p>
      <w:pPr>
        <w:pStyle w:val="20"/>
        <w:numPr>
          <w:ilvl w:val="0"/>
          <w:numId w:val="1"/>
        </w:numPr>
        <w:autoSpaceDE w:val="0"/>
        <w:autoSpaceDN w:val="0"/>
        <w:adjustRightInd w:val="0"/>
        <w:jc w:val="both"/>
        <w:rPr>
          <w:rFonts w:ascii="PMingLiU" w:hAnsi="PMingLiU"/>
          <w:sz w:val="20"/>
          <w:szCs w:val="20"/>
        </w:rPr>
      </w:pPr>
      <w:r>
        <w:rPr>
          <w:rFonts w:hint="eastAsia" w:ascii="PMingLiU" w:hAnsi="PMingLiU"/>
          <w:sz w:val="20"/>
          <w:szCs w:val="20"/>
        </w:rPr>
        <w:t>該增加乃由於本公司於二零一八年六月二十九日經周年股東大會以及</w:t>
      </w:r>
      <w:r>
        <w:rPr>
          <w:sz w:val="20"/>
          <w:szCs w:val="20"/>
        </w:rPr>
        <w:t>H</w:t>
      </w:r>
      <w:r>
        <w:rPr>
          <w:rFonts w:hint="eastAsia" w:ascii="PMingLiU" w:hAnsi="PMingLiU"/>
          <w:sz w:val="20"/>
          <w:szCs w:val="20"/>
        </w:rPr>
        <w:t>股及</w:t>
      </w:r>
      <w:r>
        <w:rPr>
          <w:sz w:val="20"/>
          <w:szCs w:val="20"/>
        </w:rPr>
        <w:t>A</w:t>
      </w:r>
      <w:r>
        <w:rPr>
          <w:rFonts w:hint="eastAsia" w:ascii="PMingLiU" w:hAnsi="PMingLiU"/>
          <w:sz w:val="20"/>
          <w:szCs w:val="20"/>
        </w:rPr>
        <w:t>股股東類別會議所分別批准而實施之資本公積金轉增股本（每</w:t>
      </w:r>
      <w:r>
        <w:rPr>
          <w:sz w:val="20"/>
          <w:szCs w:val="20"/>
        </w:rPr>
        <w:t>10</w:t>
      </w:r>
      <w:r>
        <w:rPr>
          <w:rFonts w:hint="eastAsia" w:ascii="PMingLiU" w:hAnsi="PMingLiU"/>
          <w:sz w:val="20"/>
          <w:szCs w:val="20"/>
        </w:rPr>
        <w:t>股轉增</w:t>
      </w:r>
      <w:r>
        <w:rPr>
          <w:sz w:val="20"/>
          <w:szCs w:val="20"/>
        </w:rPr>
        <w:t>3</w:t>
      </w:r>
      <w:r>
        <w:rPr>
          <w:rFonts w:hint="eastAsia" w:ascii="PMingLiU" w:hAnsi="PMingLiU"/>
          <w:sz w:val="20"/>
          <w:szCs w:val="20"/>
        </w:rPr>
        <w:t>股）</w:t>
      </w:r>
      <w:r>
        <w:rPr>
          <w:rFonts w:ascii="PMingLiU" w:hAnsi="PMingLiU"/>
          <w:sz w:val="20"/>
          <w:szCs w:val="20"/>
        </w:rPr>
        <w:t>(</w:t>
      </w:r>
      <w:r>
        <w:rPr>
          <w:rFonts w:hint="eastAsia" w:ascii="PMingLiU" w:hAnsi="PMingLiU"/>
          <w:sz w:val="20"/>
          <w:szCs w:val="20"/>
        </w:rPr>
        <w:t>「</w:t>
      </w:r>
      <w:r>
        <w:rPr>
          <w:rFonts w:hint="eastAsia" w:ascii="PMingLiU" w:hAnsi="PMingLiU"/>
          <w:b/>
          <w:sz w:val="20"/>
          <w:szCs w:val="20"/>
        </w:rPr>
        <w:t>公積金轉增股本</w:t>
      </w:r>
      <w:r>
        <w:rPr>
          <w:rFonts w:hint="eastAsia" w:ascii="PMingLiU" w:hAnsi="PMingLiU"/>
          <w:sz w:val="20"/>
          <w:szCs w:val="20"/>
        </w:rPr>
        <w:t>」</w:t>
      </w:r>
      <w:r>
        <w:rPr>
          <w:rFonts w:ascii="PMingLiU" w:hAnsi="PMingLiU"/>
          <w:sz w:val="20"/>
          <w:szCs w:val="20"/>
        </w:rPr>
        <w:t>)</w:t>
      </w:r>
      <w:r>
        <w:rPr>
          <w:rFonts w:hint="eastAsia" w:ascii="PMingLiU" w:hAnsi="PMingLiU"/>
          <w:sz w:val="20"/>
          <w:szCs w:val="20"/>
        </w:rPr>
        <w:t>所致，詳情刊載於與上述會議日期為同日之本公司公告。</w:t>
      </w:r>
    </w:p>
    <w:p>
      <w:pPr>
        <w:pStyle w:val="20"/>
        <w:autoSpaceDE w:val="0"/>
        <w:autoSpaceDN w:val="0"/>
        <w:adjustRightInd w:val="0"/>
        <w:jc w:val="both"/>
        <w:rPr>
          <w:rFonts w:ascii="PMingLiU" w:hAnsi="PMingLiU"/>
          <w:sz w:val="20"/>
          <w:szCs w:val="20"/>
        </w:rPr>
      </w:pPr>
    </w:p>
    <w:p>
      <w:pPr>
        <w:pStyle w:val="20"/>
        <w:numPr>
          <w:ilvl w:val="0"/>
          <w:numId w:val="1"/>
        </w:numPr>
        <w:autoSpaceDE w:val="0"/>
        <w:autoSpaceDN w:val="0"/>
        <w:adjustRightInd w:val="0"/>
        <w:jc w:val="both"/>
        <w:rPr>
          <w:rFonts w:ascii="PMingLiU" w:hAnsi="PMingLiU"/>
          <w:sz w:val="20"/>
          <w:szCs w:val="20"/>
        </w:rPr>
      </w:pPr>
      <w:r>
        <w:rPr>
          <w:rFonts w:ascii="PMingLiU" w:hAnsi="PMingLiU"/>
          <w:sz w:val="20"/>
          <w:szCs w:val="20"/>
        </w:rPr>
        <w:t xml:space="preserve">  </w:t>
      </w:r>
      <w:r>
        <w:rPr>
          <w:rFonts w:hint="eastAsia" w:ascii="PMingLiU" w:hAnsi="PMingLiU"/>
          <w:sz w:val="20"/>
          <w:szCs w:val="20"/>
        </w:rPr>
        <w:t>根據中國企業會計準則調整數據以反映公積金轉增股本。</w:t>
      </w:r>
    </w:p>
    <w:p>
      <w:pPr>
        <w:autoSpaceDE w:val="0"/>
        <w:autoSpaceDN w:val="0"/>
        <w:adjustRightInd w:val="0"/>
        <w:jc w:val="both"/>
        <w:rPr>
          <w:rFonts w:ascii="PMingLiU" w:hAnsi="PMingLiU"/>
        </w:rPr>
      </w:pPr>
    </w:p>
    <w:p>
      <w:pPr>
        <w:autoSpaceDE w:val="0"/>
        <w:autoSpaceDN w:val="0"/>
        <w:adjustRightInd w:val="0"/>
        <w:jc w:val="both"/>
        <w:rPr>
          <w:rFonts w:ascii="PMingLiU" w:hAnsi="PMingLiU"/>
        </w:rPr>
      </w:pPr>
    </w:p>
    <w:p>
      <w:pPr>
        <w:autoSpaceDE w:val="0"/>
        <w:autoSpaceDN w:val="0"/>
        <w:adjustRightInd w:val="0"/>
        <w:jc w:val="both"/>
        <w:rPr>
          <w:rFonts w:ascii="PMingLiU" w:hAnsi="PMingLiU"/>
        </w:rPr>
      </w:pPr>
    </w:p>
    <w:p>
      <w:pPr>
        <w:autoSpaceDE w:val="0"/>
        <w:autoSpaceDN w:val="0"/>
        <w:adjustRightInd w:val="0"/>
        <w:jc w:val="both"/>
        <w:rPr>
          <w:rFonts w:ascii="PMingLiU" w:hAnsi="PMingLiU"/>
        </w:rPr>
      </w:pPr>
      <w:r>
        <w:rPr>
          <w:rFonts w:hint="eastAsia" w:ascii="PMingLiU" w:hAnsi="PMingLiU"/>
          <w:b/>
        </w:rPr>
        <w:t>二、說明</w:t>
      </w:r>
    </w:p>
    <w:p>
      <w:pPr>
        <w:jc w:val="both"/>
      </w:pPr>
    </w:p>
    <w:p>
      <w:pPr>
        <w:jc w:val="both"/>
        <w:rPr>
          <w:rFonts w:ascii="PMingLiU" w:hAnsi="PMingLiU"/>
        </w:rPr>
      </w:pPr>
      <w:r>
        <w:rPr>
          <w:rFonts w:hint="eastAsia" w:ascii="PMingLiU" w:hAnsi="PMingLiU"/>
        </w:rPr>
        <w:t>於該報告期內，本集</w:t>
      </w:r>
      <w:r>
        <w:rPr>
          <w:rFonts w:ascii="PMingLiU" w:hAnsi="PMingLiU"/>
        </w:rPr>
        <w:t>團</w:t>
      </w:r>
      <w:r>
        <w:rPr>
          <w:rFonts w:hint="eastAsia" w:ascii="PMingLiU" w:hAnsi="PMingLiU"/>
        </w:rPr>
        <w:t>繼續實施創新驅動</w:t>
      </w:r>
      <w:r>
        <w:rPr>
          <w:rFonts w:hint="eastAsia" w:ascii="PMingLiU" w:hAnsi="PMingLiU"/>
          <w:lang w:eastAsia="zh-CN"/>
        </w:rPr>
        <w:t>、國際化引領戰略，積極推進</w:t>
      </w:r>
      <w:r>
        <w:rPr>
          <w:rFonts w:hint="eastAsia" w:ascii="PMingLiU" w:hAnsi="PMingLiU"/>
        </w:rPr>
        <w:t>大製劑發展戰略，進一步夯實</w:t>
      </w:r>
      <w:r>
        <w:rPr>
          <w:rFonts w:hint="eastAsia" w:ascii="PMingLiU" w:hAnsi="PMingLiU"/>
          <w:lang w:eastAsia="zh-CN"/>
        </w:rPr>
        <w:t>基礎</w:t>
      </w:r>
      <w:r>
        <w:rPr>
          <w:rFonts w:hint="eastAsia" w:ascii="PMingLiU" w:hAnsi="PMingLiU"/>
        </w:rPr>
        <w:t>管理工作</w:t>
      </w:r>
      <w:r>
        <w:rPr>
          <w:rFonts w:hint="eastAsia" w:ascii="PMingLiU" w:hAnsi="PMingLiU"/>
          <w:lang w:eastAsia="zh-CN"/>
        </w:rPr>
        <w:t>，強化生命線</w:t>
      </w:r>
      <w:r>
        <w:rPr>
          <w:rFonts w:hint="eastAsia" w:ascii="PMingLiU" w:hAnsi="PMingLiU"/>
        </w:rPr>
        <w:t>工程建設，努力克服激烈市場競爭等諸</w:t>
      </w:r>
      <w:r>
        <w:rPr>
          <w:rFonts w:ascii="PMingLiU" w:hAnsi="PMingLiU"/>
        </w:rPr>
        <w:t>多</w:t>
      </w:r>
      <w:r>
        <w:rPr>
          <w:rFonts w:hint="eastAsia" w:ascii="PMingLiU" w:hAnsi="PMingLiU"/>
        </w:rPr>
        <w:t>不利因素影響，搶抓市場機遇，注重產品結構，以達致上述業績表現。</w:t>
      </w:r>
    </w:p>
    <w:p>
      <w:pPr>
        <w:autoSpaceDE w:val="0"/>
        <w:autoSpaceDN w:val="0"/>
        <w:adjustRightInd w:val="0"/>
        <w:jc w:val="both"/>
        <w:rPr>
          <w:rFonts w:ascii="PMingLiU" w:hAnsi="PMingLiU"/>
        </w:rPr>
      </w:pPr>
    </w:p>
    <w:p>
      <w:pPr>
        <w:autoSpaceDE w:val="0"/>
        <w:autoSpaceDN w:val="0"/>
        <w:adjustRightInd w:val="0"/>
        <w:jc w:val="both"/>
        <w:rPr>
          <w:rFonts w:ascii="PMingLiU" w:hAnsi="PMingLiU"/>
          <w:b/>
        </w:rPr>
      </w:pPr>
      <w:r>
        <w:rPr>
          <w:rFonts w:hint="eastAsia" w:ascii="PMingLiU" w:hAnsi="PMingLiU"/>
          <w:b/>
        </w:rPr>
        <w:t>三、其他</w:t>
      </w:r>
    </w:p>
    <w:p>
      <w:pPr>
        <w:autoSpaceDE w:val="0"/>
        <w:autoSpaceDN w:val="0"/>
        <w:adjustRightInd w:val="0"/>
        <w:jc w:val="both"/>
        <w:rPr>
          <w:rFonts w:ascii="PMingLiU" w:hAnsi="PMingLiU"/>
        </w:rPr>
      </w:pPr>
    </w:p>
    <w:p>
      <w:pPr>
        <w:autoSpaceDE w:val="0"/>
        <w:autoSpaceDN w:val="0"/>
        <w:adjustRightInd w:val="0"/>
        <w:jc w:val="both"/>
        <w:rPr>
          <w:rFonts w:ascii="PMingLiU" w:hAnsi="PMingLiU" w:cs="PMingLiU"/>
        </w:rPr>
      </w:pPr>
      <w:r>
        <w:rPr>
          <w:rFonts w:hint="eastAsia" w:ascii="PMingLiU" w:hAnsi="PMingLiU" w:cs="PMingLiU"/>
        </w:rPr>
        <w:t>由於本公司仍在準備本集團該報告期綜合業績，本公告所載資料僅為董事會基於本集團綜合管理帳目和其他現有資料作初步審查和評估後而得出，未經本公司核數師審閱或審核。有關本集團財務資料的詳情將於本集團該報告期之業績公告內披露，而本公告內披露的初步數據或會與之不同，於此情況下，應以本集團業績公告所披露之經審核數據為準。</w:t>
      </w:r>
    </w:p>
    <w:p>
      <w:pPr>
        <w:autoSpaceDE w:val="0"/>
        <w:autoSpaceDN w:val="0"/>
        <w:adjustRightInd w:val="0"/>
        <w:jc w:val="both"/>
        <w:rPr>
          <w:rFonts w:ascii="PMingLiU" w:hAnsi="PMingLiU" w:cs="PMingLiU"/>
        </w:rPr>
      </w:pPr>
    </w:p>
    <w:p>
      <w:pPr>
        <w:autoSpaceDE w:val="0"/>
        <w:autoSpaceDN w:val="0"/>
        <w:adjustRightInd w:val="0"/>
        <w:jc w:val="both"/>
        <w:rPr>
          <w:rFonts w:ascii="PMingLiU" w:hAnsi="PMingLiU"/>
          <w:b/>
        </w:rPr>
      </w:pPr>
      <w:r>
        <w:rPr>
          <w:rFonts w:hint="eastAsia" w:ascii="PMingLiU" w:hAnsi="PMingLiU"/>
          <w:b/>
        </w:rPr>
        <w:t>股東及潛在投資者在買賣本公司股票時務必審慎行事。</w:t>
      </w:r>
    </w:p>
    <w:p>
      <w:pPr>
        <w:autoSpaceDE w:val="0"/>
        <w:autoSpaceDN w:val="0"/>
        <w:adjustRightInd w:val="0"/>
        <w:jc w:val="both"/>
        <w:rPr>
          <w:rFonts w:ascii="PMingLiU" w:hAnsi="PMingLiU"/>
          <w:b/>
        </w:rPr>
      </w:pPr>
    </w:p>
    <w:p>
      <w:pPr>
        <w:autoSpaceDE w:val="0"/>
        <w:autoSpaceDN w:val="0"/>
        <w:adjustRightInd w:val="0"/>
        <w:jc w:val="both"/>
        <w:rPr>
          <w:rFonts w:ascii="PMingLiU" w:hAnsi="PMingLiU"/>
          <w:b/>
        </w:rPr>
      </w:pPr>
      <w:r>
        <w:rPr>
          <w:rFonts w:hint="eastAsia" w:ascii="PMingLiU" w:hAnsi="PMingLiU"/>
          <w:b/>
        </w:rPr>
        <w:t>四、備查文件</w:t>
      </w:r>
    </w:p>
    <w:p>
      <w:pPr>
        <w:autoSpaceDE w:val="0"/>
        <w:autoSpaceDN w:val="0"/>
        <w:adjustRightInd w:val="0"/>
        <w:jc w:val="both"/>
        <w:rPr>
          <w:rFonts w:ascii="PMingLiU" w:hAnsi="PMingLiU"/>
          <w:b/>
        </w:rPr>
      </w:pPr>
    </w:p>
    <w:p>
      <w:pPr>
        <w:autoSpaceDE w:val="0"/>
        <w:autoSpaceDN w:val="0"/>
        <w:adjustRightInd w:val="0"/>
        <w:jc w:val="both"/>
        <w:rPr>
          <w:rFonts w:ascii="PMingLiU" w:hAnsi="PMingLiU"/>
        </w:rPr>
      </w:pPr>
      <w:r>
        <w:rPr>
          <w:rFonts w:hint="eastAsia" w:ascii="PMingLiU" w:hAnsi="PMingLiU"/>
        </w:rPr>
        <w:t>經公司董事長、財務負責人、財務資產部經理簽字並蓋章的按照中國企業會計準則編制的有關上述數據的比較式資產負債表和利潤表。</w:t>
      </w:r>
    </w:p>
    <w:p>
      <w:pPr>
        <w:autoSpaceDE w:val="0"/>
        <w:autoSpaceDN w:val="0"/>
        <w:adjustRightInd w:val="0"/>
        <w:jc w:val="both"/>
        <w:rPr>
          <w:rFonts w:ascii="PMingLiU" w:hAnsi="PMingLiU"/>
          <w:b/>
        </w:rPr>
      </w:pPr>
    </w:p>
    <w:p>
      <w:pPr>
        <w:autoSpaceDE w:val="0"/>
        <w:autoSpaceDN w:val="0"/>
        <w:adjustRightInd w:val="0"/>
        <w:jc w:val="both"/>
        <w:rPr>
          <w:rFonts w:ascii="PMingLiU" w:hAnsi="PMingLiU" w:cs="PMingLiU"/>
        </w:rPr>
      </w:pPr>
    </w:p>
    <w:p>
      <w:pPr>
        <w:widowControl/>
        <w:rPr>
          <w:rFonts w:ascii="PMingLiU" w:hAnsi="PMingLiU" w:cs="PMingLiU"/>
        </w:rPr>
      </w:pPr>
    </w:p>
    <w:p>
      <w:pPr>
        <w:autoSpaceDE w:val="0"/>
        <w:autoSpaceDN w:val="0"/>
        <w:adjustRightInd w:val="0"/>
        <w:jc w:val="center"/>
        <w:rPr>
          <w:rFonts w:ascii="PMingLiU" w:hAnsi="PMingLiU" w:cs="PMingLiU"/>
        </w:rPr>
      </w:pP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hint="eastAsia" w:ascii="PMingLiU" w:hAnsi="PMingLiU" w:cs="PMingLiU"/>
        </w:rPr>
        <w:t>承董事會命</w:t>
      </w:r>
    </w:p>
    <w:p>
      <w:pPr>
        <w:autoSpaceDE w:val="0"/>
        <w:autoSpaceDN w:val="0"/>
        <w:adjustRightInd w:val="0"/>
        <w:ind w:firstLine="4324" w:firstLineChars="1800"/>
        <w:jc w:val="both"/>
        <w:rPr>
          <w:rFonts w:ascii="PMingLiU" w:hAnsi="PMingLiU"/>
          <w:b/>
          <w:kern w:val="0"/>
        </w:rPr>
      </w:pPr>
      <w:r>
        <w:rPr>
          <w:rFonts w:hint="eastAsia" w:ascii="PMingLiU" w:hAnsi="PMingLiU"/>
          <w:b/>
          <w:kern w:val="0"/>
        </w:rPr>
        <w:t>山東新華製藥股份有限公司</w:t>
      </w:r>
    </w:p>
    <w:p>
      <w:pPr>
        <w:autoSpaceDE w:val="0"/>
        <w:autoSpaceDN w:val="0"/>
        <w:adjustRightInd w:val="0"/>
        <w:ind w:left="5460" w:firstLine="120" w:firstLineChars="50"/>
        <w:jc w:val="both"/>
        <w:rPr>
          <w:rFonts w:ascii="PMingLiU" w:hAnsi="PMingLiU"/>
          <w:b/>
          <w:kern w:val="0"/>
        </w:rPr>
      </w:pPr>
      <w:r>
        <w:rPr>
          <w:rFonts w:hint="eastAsia" w:ascii="PMingLiU" w:hAnsi="PMingLiU"/>
          <w:b/>
          <w:kern w:val="0"/>
        </w:rPr>
        <w:t>張代銘</w:t>
      </w:r>
    </w:p>
    <w:p>
      <w:pPr>
        <w:autoSpaceDE w:val="0"/>
        <w:autoSpaceDN w:val="0"/>
        <w:adjustRightInd w:val="0"/>
        <w:ind w:left="5460" w:firstLine="120" w:firstLineChars="50"/>
        <w:jc w:val="both"/>
        <w:rPr>
          <w:rFonts w:ascii="PMingLiU" w:hAnsi="PMingLiU"/>
          <w:i/>
          <w:iCs/>
          <w:kern w:val="0"/>
        </w:rPr>
      </w:pPr>
      <w:r>
        <w:rPr>
          <w:rFonts w:hint="eastAsia" w:ascii="PMingLiU" w:hAnsi="PMingLiU"/>
          <w:i/>
          <w:kern w:val="0"/>
        </w:rPr>
        <w:t>董事長</w:t>
      </w:r>
    </w:p>
    <w:p>
      <w:pPr>
        <w:autoSpaceDE w:val="0"/>
        <w:autoSpaceDN w:val="0"/>
        <w:adjustRightInd w:val="0"/>
        <w:jc w:val="both"/>
        <w:rPr>
          <w:rFonts w:ascii="PMingLiU" w:hAnsi="PMingLiU"/>
          <w:kern w:val="0"/>
          <w:sz w:val="22"/>
          <w:szCs w:val="22"/>
        </w:rPr>
      </w:pPr>
    </w:p>
    <w:p>
      <w:pPr>
        <w:autoSpaceDE w:val="0"/>
        <w:autoSpaceDN w:val="0"/>
        <w:adjustRightInd w:val="0"/>
        <w:jc w:val="both"/>
        <w:rPr>
          <w:rFonts w:ascii="PMingLiU" w:hAnsi="PMingLiU"/>
          <w:kern w:val="0"/>
        </w:rPr>
      </w:pPr>
      <w:r>
        <w:rPr>
          <w:rFonts w:hint="eastAsia" w:ascii="PMingLiU" w:hAnsi="PMingLiU"/>
          <w:kern w:val="0"/>
        </w:rPr>
        <w:t>中華</w:t>
      </w:r>
      <w:r>
        <w:rPr>
          <w:rFonts w:ascii="PMingLiU" w:hAnsi="PMingLiU"/>
          <w:kern w:val="0"/>
        </w:rPr>
        <w:t>人民共和</w:t>
      </w:r>
      <w:r>
        <w:rPr>
          <w:rFonts w:hint="eastAsia" w:ascii="PMingLiU" w:hAnsi="PMingLiU"/>
          <w:kern w:val="0"/>
        </w:rPr>
        <w:t>國，淄博，二</w:t>
      </w:r>
      <w:r>
        <w:rPr>
          <w:rFonts w:ascii="PMingLiU" w:hAnsi="PMingLiU" w:cs="Batang"/>
          <w:kern w:val="0"/>
        </w:rPr>
        <w:t>零</w:t>
      </w:r>
      <w:r>
        <w:rPr>
          <w:rFonts w:hint="eastAsia" w:ascii="PMingLiU" w:hAnsi="PMingLiU"/>
          <w:kern w:val="0"/>
        </w:rPr>
        <w:t>一</w:t>
      </w:r>
      <w:r>
        <w:rPr>
          <w:rFonts w:hint="eastAsia" w:ascii="PMingLiU" w:hAnsi="PMingLiU" w:cs="Batang"/>
          <w:kern w:val="0"/>
        </w:rPr>
        <w:t>九</w:t>
      </w:r>
      <w:r>
        <w:rPr>
          <w:rFonts w:ascii="PMingLiU" w:hAnsi="PMingLiU" w:cs="Batang"/>
          <w:kern w:val="0"/>
        </w:rPr>
        <w:t>年</w:t>
      </w:r>
      <w:r>
        <w:rPr>
          <w:rFonts w:hint="eastAsia" w:ascii="PMingLiU" w:hAnsi="PMingLiU"/>
          <w:kern w:val="0"/>
        </w:rPr>
        <w:t>一月十四日</w:t>
      </w:r>
    </w:p>
    <w:p>
      <w:pPr>
        <w:autoSpaceDE w:val="0"/>
        <w:autoSpaceDN w:val="0"/>
        <w:adjustRightInd w:val="0"/>
        <w:jc w:val="both"/>
        <w:rPr>
          <w:rFonts w:ascii="PMingLiU" w:hAnsi="PMingLiU"/>
          <w:kern w:val="0"/>
        </w:rPr>
      </w:pPr>
    </w:p>
    <w:p>
      <w:pPr>
        <w:autoSpaceDE w:val="0"/>
        <w:autoSpaceDN w:val="0"/>
        <w:adjustRightInd w:val="0"/>
        <w:jc w:val="both"/>
        <w:rPr>
          <w:rFonts w:ascii="PMingLiU" w:hAnsi="PMingLiU"/>
          <w:kern w:val="0"/>
        </w:rPr>
      </w:pPr>
    </w:p>
    <w:p>
      <w:pPr>
        <w:autoSpaceDE w:val="0"/>
        <w:autoSpaceDN w:val="0"/>
        <w:adjustRightInd w:val="0"/>
        <w:jc w:val="both"/>
        <w:rPr>
          <w:rFonts w:ascii="PMingLiU" w:hAnsi="PMingLiU"/>
          <w:kern w:val="0"/>
        </w:rPr>
      </w:pPr>
      <w:r>
        <w:rPr>
          <w:rFonts w:hint="eastAsia" w:ascii="PMingLiU" w:hAnsi="PMingLiU"/>
          <w:kern w:val="0"/>
        </w:rPr>
        <w:t>於本公告日期，董事會由下</w:t>
      </w:r>
      <w:r>
        <w:rPr>
          <w:rFonts w:ascii="PMingLiU" w:hAnsi="PMingLiU" w:cs="Batang"/>
          <w:kern w:val="0"/>
        </w:rPr>
        <w:t>列</w:t>
      </w:r>
      <w:r>
        <w:rPr>
          <w:rFonts w:hint="eastAsia" w:ascii="PMingLiU" w:hAnsi="PMingLiU"/>
          <w:kern w:val="0"/>
        </w:rPr>
        <w:t>董事組成：</w:t>
      </w:r>
    </w:p>
    <w:p>
      <w:pPr>
        <w:autoSpaceDE w:val="0"/>
        <w:autoSpaceDN w:val="0"/>
        <w:adjustRightInd w:val="0"/>
        <w:jc w:val="both"/>
        <w:rPr>
          <w:rFonts w:ascii="PMingLiU" w:hAnsi="PMingLiU"/>
          <w:kern w:val="0"/>
        </w:rPr>
      </w:pPr>
    </w:p>
    <w:p>
      <w:pPr>
        <w:autoSpaceDE w:val="0"/>
        <w:autoSpaceDN w:val="0"/>
        <w:adjustRightInd w:val="0"/>
        <w:jc w:val="both"/>
        <w:rPr>
          <w:rFonts w:ascii="PMingLiU" w:hAnsi="PMingLiU"/>
          <w:kern w:val="0"/>
          <w:u w:val="single"/>
        </w:rPr>
      </w:pPr>
      <w:r>
        <w:rPr>
          <w:rFonts w:hint="eastAsia" w:ascii="PMingLiU" w:hAnsi="PMingLiU"/>
          <w:kern w:val="0"/>
          <w:u w:val="single"/>
        </w:rPr>
        <w:t>執</w:t>
      </w:r>
      <w:r>
        <w:rPr>
          <w:rFonts w:ascii="PMingLiU" w:hAnsi="PMingLiU" w:cs="Batang"/>
          <w:kern w:val="0"/>
          <w:u w:val="single"/>
        </w:rPr>
        <w:t>行</w:t>
      </w:r>
      <w:r>
        <w:rPr>
          <w:rFonts w:hint="eastAsia" w:ascii="PMingLiU" w:hAnsi="PMingLiU"/>
          <w:kern w:val="0"/>
          <w:u w:val="single"/>
        </w:rPr>
        <w:t>董事：</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u w:val="single"/>
        </w:rPr>
        <w:t>非執</w:t>
      </w:r>
      <w:r>
        <w:rPr>
          <w:rFonts w:ascii="PMingLiU" w:hAnsi="PMingLiU" w:cs="Batang"/>
          <w:kern w:val="0"/>
          <w:u w:val="single"/>
        </w:rPr>
        <w:t>行</w:t>
      </w:r>
      <w:r>
        <w:rPr>
          <w:rFonts w:hint="eastAsia" w:ascii="PMingLiU" w:hAnsi="PMingLiU"/>
          <w:kern w:val="0"/>
          <w:u w:val="single"/>
        </w:rPr>
        <w:t>董事：</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u w:val="single"/>
        </w:rPr>
        <w:t>獨</w:t>
      </w:r>
      <w:r>
        <w:rPr>
          <w:rFonts w:ascii="PMingLiU" w:hAnsi="PMingLiU" w:cs="Batang"/>
          <w:kern w:val="0"/>
          <w:u w:val="single"/>
        </w:rPr>
        <w:t>立</w:t>
      </w:r>
      <w:r>
        <w:rPr>
          <w:rFonts w:hint="eastAsia" w:ascii="PMingLiU" w:hAnsi="PMingLiU"/>
          <w:kern w:val="0"/>
          <w:u w:val="single"/>
        </w:rPr>
        <w:t>非執</w:t>
      </w:r>
      <w:r>
        <w:rPr>
          <w:rFonts w:ascii="PMingLiU" w:hAnsi="PMingLiU" w:cs="Batang"/>
          <w:kern w:val="0"/>
          <w:u w:val="single"/>
        </w:rPr>
        <w:t>行</w:t>
      </w:r>
      <w:r>
        <w:rPr>
          <w:rFonts w:hint="eastAsia" w:ascii="PMingLiU" w:hAnsi="PMingLiU"/>
          <w:kern w:val="0"/>
          <w:u w:val="single"/>
        </w:rPr>
        <w:t>董事：</w:t>
      </w:r>
    </w:p>
    <w:p>
      <w:pPr>
        <w:autoSpaceDE w:val="0"/>
        <w:autoSpaceDN w:val="0"/>
        <w:adjustRightInd w:val="0"/>
        <w:jc w:val="both"/>
        <w:rPr>
          <w:rFonts w:ascii="PMingLiU" w:hAnsi="PMingLiU"/>
          <w:kern w:val="0"/>
        </w:rPr>
      </w:pPr>
      <w:r>
        <w:rPr>
          <w:rFonts w:hint="eastAsia" w:ascii="PMingLiU" w:hAnsi="PMingLiU"/>
          <w:kern w:val="0"/>
        </w:rPr>
        <w:t>張代銘先生（董事長）</w:t>
      </w:r>
      <w:r>
        <w:rPr>
          <w:rFonts w:hint="eastAsia" w:ascii="PMingLiU" w:hAnsi="PMingLiU"/>
          <w:kern w:val="0"/>
        </w:rPr>
        <w:tab/>
      </w:r>
      <w:r>
        <w:rPr>
          <w:rFonts w:hint="eastAsia" w:ascii="PMingLiU" w:hAnsi="PMingLiU"/>
          <w:kern w:val="0"/>
        </w:rPr>
        <w:tab/>
      </w:r>
      <w:r>
        <w:rPr>
          <w:rFonts w:hint="eastAsia" w:ascii="PMingLiU" w:hAnsi="PMingLiU"/>
          <w:kern w:val="0"/>
        </w:rPr>
        <w:t>任福</w:t>
      </w:r>
      <w:r>
        <w:rPr>
          <w:rFonts w:ascii="PMingLiU" w:hAnsi="PMingLiU" w:cs="Batang"/>
          <w:kern w:val="0"/>
        </w:rPr>
        <w:t>龍</w:t>
      </w:r>
      <w:r>
        <w:rPr>
          <w:rFonts w:hint="eastAsia" w:ascii="PMingLiU" w:hAnsi="PMingLiU"/>
          <w:kern w:val="0"/>
        </w:rPr>
        <w:t>先生</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杜冠華先生</w:t>
      </w:r>
    </w:p>
    <w:p>
      <w:pPr>
        <w:autoSpaceDE w:val="0"/>
        <w:autoSpaceDN w:val="0"/>
        <w:adjustRightInd w:val="0"/>
        <w:jc w:val="both"/>
        <w:rPr>
          <w:rFonts w:ascii="PMingLiU" w:hAnsi="PMingLiU"/>
          <w:kern w:val="0"/>
        </w:rPr>
      </w:pPr>
      <w:r>
        <w:rPr>
          <w:rFonts w:hint="eastAsia" w:ascii="PMingLiU" w:hAnsi="PMingLiU"/>
          <w:kern w:val="0"/>
        </w:rPr>
        <w:t>杜德平先生</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徐</w:t>
      </w:r>
      <w:r>
        <w:rPr>
          <w:rFonts w:ascii="PMingLiU" w:hAnsi="PMingLiU" w:cs="Batang"/>
          <w:kern w:val="0"/>
        </w:rPr>
        <w:t>列</w:t>
      </w:r>
      <w:r>
        <w:rPr>
          <w:rFonts w:hint="eastAsia" w:ascii="PMingLiU" w:hAnsi="PMingLiU"/>
          <w:kern w:val="0"/>
        </w:rPr>
        <w:t>先生</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ascii="PMingLiU" w:hAnsi="PMingLiU" w:cs="Batang"/>
          <w:kern w:val="0"/>
        </w:rPr>
        <w:t>李</w:t>
      </w:r>
      <w:r>
        <w:rPr>
          <w:rFonts w:hint="eastAsia" w:ascii="PMingLiU" w:hAnsi="PMingLiU"/>
          <w:kern w:val="0"/>
        </w:rPr>
        <w:t>文明先生</w:t>
      </w:r>
    </w:p>
    <w:p>
      <w:pPr>
        <w:autoSpaceDE w:val="0"/>
        <w:autoSpaceDN w:val="0"/>
        <w:adjustRightInd w:val="0"/>
        <w:ind w:left="2520" w:firstLine="420"/>
        <w:jc w:val="both"/>
        <w:rPr>
          <w:rFonts w:ascii="PMingLiU" w:hAnsi="PMingLiU"/>
          <w:kern w:val="0"/>
          <w:lang w:eastAsia="zh-CN"/>
        </w:rPr>
      </w:pPr>
      <w:r>
        <w:rPr>
          <w:rFonts w:hint="eastAsia" w:ascii="PMingLiU" w:hAnsi="PMingLiU"/>
          <w:kern w:val="0"/>
        </w:rPr>
        <w:t>趙斌先生</w:t>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ab/>
      </w:r>
      <w:r>
        <w:rPr>
          <w:rFonts w:hint="eastAsia" w:ascii="PMingLiU" w:hAnsi="PMingLiU"/>
          <w:kern w:val="0"/>
        </w:rPr>
        <w:t>盧華威先生</w:t>
      </w:r>
    </w:p>
    <w:p>
      <w:pPr>
        <w:autoSpaceDE w:val="0"/>
        <w:autoSpaceDN w:val="0"/>
        <w:adjustRightInd w:val="0"/>
        <w:jc w:val="both"/>
        <w:rPr>
          <w:rFonts w:ascii="PMingLiU" w:hAnsi="PMingLiU"/>
          <w:kern w:val="0"/>
          <w:sz w:val="22"/>
          <w:szCs w:val="22"/>
          <w:lang w:eastAsia="zh-CN"/>
        </w:rPr>
      </w:pPr>
    </w:p>
    <w:sectPr>
      <w:footerReference r:id="rId4" w:type="default"/>
      <w:footerReference r:id="rId5"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KaiTi_GB2312">
    <w:altName w:val="宋体"/>
    <w:panose1 w:val="00000000000000000000"/>
    <w:charset w:val="86"/>
    <w:family w:val="auto"/>
    <w:pitch w:val="default"/>
    <w:sig w:usb0="800002BF" w:usb1="38CF7CFA" w:usb2="00000016" w:usb3="00000000" w:csb0="00040001" w:csb1="00000000"/>
  </w:font>
  <w:font w:name="MSungHK-Light">
    <w:altName w:val="Microsoft JhengHei"/>
    <w:panose1 w:val="00000000000000000000"/>
    <w:charset w:val="88"/>
    <w:family w:val="auto"/>
    <w:pitch w:val="default"/>
    <w:sig w:usb0="00000001" w:usb1="3ACFFD7A" w:usb2="00000016" w:usb3="00000000" w:csb0="00100005" w:csb1="00000000"/>
  </w:font>
  <w:font w:name="Batang">
    <w:panose1 w:val="0203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hAnchor="margin" w:vAnchor="text" w:xAlign="center" w:y="1"/>
      <w:rPr>
        <w:rStyle w:val="12"/>
        <w:sz w:val="22"/>
      </w:rPr>
    </w:pPr>
    <w:r>
      <w:rPr>
        <w:rStyle w:val="12"/>
        <w:sz w:val="22"/>
      </w:rPr>
      <w:fldChar w:fldCharType="begin"/>
    </w:r>
    <w:r>
      <w:rPr>
        <w:rStyle w:val="12"/>
        <w:sz w:val="22"/>
      </w:rPr>
      <w:instrText xml:space="preserve">PAGE  </w:instrText>
    </w:r>
    <w:r>
      <w:rPr>
        <w:rStyle w:val="12"/>
        <w:sz w:val="22"/>
      </w:rPr>
      <w:fldChar w:fldCharType="separate"/>
    </w:r>
    <w:r>
      <w:rPr>
        <w:rStyle w:val="12"/>
        <w:sz w:val="22"/>
      </w:rPr>
      <w:t>1</w:t>
    </w:r>
    <w:r>
      <w:rPr>
        <w:rStyle w:val="12"/>
        <w:sz w:val="22"/>
      </w:rPr>
      <w:fldChar w:fldCharType="end"/>
    </w:r>
  </w:p>
  <w:p>
    <w:pPr>
      <w:pStyle w:val="8"/>
      <w:jc w:val="right"/>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hAnchor="margin" w:vAnchor="text" w:xAlign="center"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8"/>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85008525">
    <w:nsid w:val="2ECA478D"/>
    <w:multiLevelType w:val="multilevel"/>
    <w:tmpl w:val="2ECA478D"/>
    <w:lvl w:ilvl="0" w:tentative="1">
      <w:start w:val="1"/>
      <w:numFmt w:val="japaneseCounting"/>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850085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nhideWhenUsed="0" w:uiPriority="0" w:semiHidden="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nhideWhenUsed="0" w:uiPriority="0" w:name="Balloon Text"/>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character" w:default="1" w:styleId="11">
    <w:name w:val="Default Paragraph Font"/>
    <w:semiHidden/>
    <w:unhideWhenUsed/>
    <w:uiPriority w:val="1"/>
  </w:style>
  <w:style w:type="paragraph" w:styleId="2">
    <w:name w:val="Normal Indent"/>
    <w:basedOn w:val="1"/>
    <w:uiPriority w:val="0"/>
    <w:pPr>
      <w:ind w:left="200" w:leftChars="200"/>
    </w:pPr>
  </w:style>
  <w:style w:type="paragraph" w:styleId="3">
    <w:name w:val="Salutation"/>
    <w:basedOn w:val="1"/>
    <w:next w:val="1"/>
    <w:link w:val="22"/>
    <w:qFormat/>
    <w:uiPriority w:val="0"/>
  </w:style>
  <w:style w:type="paragraph" w:styleId="4">
    <w:name w:val="Closing"/>
    <w:basedOn w:val="1"/>
    <w:link w:val="23"/>
    <w:qFormat/>
    <w:uiPriority w:val="0"/>
    <w:pPr>
      <w:ind w:left="4320"/>
    </w:pPr>
  </w:style>
  <w:style w:type="paragraph" w:styleId="5">
    <w:name w:val="Body Text Indent"/>
    <w:basedOn w:val="1"/>
    <w:qFormat/>
    <w:uiPriority w:val="0"/>
    <w:pPr>
      <w:spacing w:line="440" w:lineRule="exact"/>
      <w:ind w:firstLine="480" w:firstLineChars="200"/>
      <w:jc w:val="both"/>
    </w:pPr>
    <w:rPr>
      <w:rFonts w:ascii="KaiTi_GB2312" w:eastAsia="KaiTi_GB2312"/>
      <w:lang w:eastAsia="zh-CN"/>
    </w:rPr>
  </w:style>
  <w:style w:type="paragraph" w:styleId="6">
    <w:name w:val="Plain Text"/>
    <w:basedOn w:val="1"/>
    <w:uiPriority w:val="0"/>
    <w:pPr>
      <w:jc w:val="both"/>
    </w:pPr>
    <w:rPr>
      <w:rFonts w:ascii="宋体" w:hAnsi="Courier New" w:eastAsia="宋体"/>
      <w:sz w:val="21"/>
      <w:szCs w:val="20"/>
      <w:lang w:eastAsia="zh-CN"/>
    </w:rPr>
  </w:style>
  <w:style w:type="paragraph" w:styleId="7">
    <w:name w:val="Balloon Text"/>
    <w:basedOn w:val="1"/>
    <w:semiHidden/>
    <w:qFormat/>
    <w:uiPriority w:val="0"/>
    <w:rPr>
      <w:sz w:val="18"/>
      <w:szCs w:val="18"/>
    </w:rPr>
  </w:style>
  <w:style w:type="paragraph" w:styleId="8">
    <w:name w:val="footer"/>
    <w:basedOn w:val="1"/>
    <w:uiPriority w:val="0"/>
    <w:pPr>
      <w:tabs>
        <w:tab w:val="center" w:pos="4320"/>
        <w:tab w:val="right" w:pos="8640"/>
      </w:tabs>
    </w:p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5"/>
    <w:uiPriority w:val="0"/>
    <w:rPr>
      <w:sz w:val="20"/>
      <w:szCs w:val="20"/>
    </w:rPr>
  </w:style>
  <w:style w:type="character" w:styleId="12">
    <w:name w:val="page number"/>
    <w:basedOn w:val="11"/>
    <w:uiPriority w:val="0"/>
    <w:rPr/>
  </w:style>
  <w:style w:type="character" w:styleId="13">
    <w:name w:val="footnote reference"/>
    <w:basedOn w:val="11"/>
    <w:qFormat/>
    <w:uiPriority w:val="0"/>
    <w:rPr>
      <w:vertAlign w:val="superscript"/>
    </w:rPr>
  </w:style>
  <w:style w:type="paragraph" w:customStyle="1" w:styleId="14">
    <w:name w:val="Char Char Char Char"/>
    <w:basedOn w:val="1"/>
    <w:uiPriority w:val="0"/>
    <w:pPr>
      <w:widowControl/>
      <w:spacing w:after="160" w:line="240" w:lineRule="exact"/>
    </w:pPr>
    <w:rPr>
      <w:rFonts w:eastAsia="宋体"/>
      <w:kern w:val="0"/>
      <w:sz w:val="20"/>
      <w:szCs w:val="20"/>
    </w:rPr>
  </w:style>
  <w:style w:type="paragraph" w:customStyle="1" w:styleId="15">
    <w:name w:val="Pa4"/>
    <w:basedOn w:val="1"/>
    <w:next w:val="1"/>
    <w:qFormat/>
    <w:uiPriority w:val="0"/>
    <w:pPr>
      <w:autoSpaceDE w:val="0"/>
      <w:autoSpaceDN w:val="0"/>
      <w:adjustRightInd w:val="0"/>
      <w:spacing w:line="281" w:lineRule="atLeast"/>
    </w:pPr>
    <w:rPr>
      <w:rFonts w:ascii="MSungHK-Light" w:eastAsia="MSungHK-Light"/>
      <w:kern w:val="0"/>
      <w:lang w:eastAsia="zh-CN"/>
    </w:rPr>
  </w:style>
  <w:style w:type="paragraph" w:customStyle="1" w:styleId="16">
    <w:name w:val="Pa6"/>
    <w:basedOn w:val="1"/>
    <w:next w:val="1"/>
    <w:qFormat/>
    <w:uiPriority w:val="0"/>
    <w:pPr>
      <w:autoSpaceDE w:val="0"/>
      <w:autoSpaceDN w:val="0"/>
      <w:adjustRightInd w:val="0"/>
      <w:spacing w:line="211" w:lineRule="atLeast"/>
    </w:pPr>
    <w:rPr>
      <w:rFonts w:ascii="MSungHK-Light" w:eastAsia="MSungHK-Light"/>
      <w:kern w:val="0"/>
      <w:lang w:eastAsia="zh-CN"/>
    </w:rPr>
  </w:style>
  <w:style w:type="paragraph" w:customStyle="1" w:styleId="17">
    <w:name w:val="Default"/>
    <w:uiPriority w:val="0"/>
    <w:pPr>
      <w:widowControl w:val="0"/>
      <w:autoSpaceDE w:val="0"/>
      <w:autoSpaceDN w:val="0"/>
      <w:adjustRightInd w:val="0"/>
    </w:pPr>
    <w:rPr>
      <w:rFonts w:ascii="MSungHK-Light" w:eastAsia="MSungHK-Light" w:cs="MSungHK-Light"/>
      <w:color w:val="000000"/>
      <w:sz w:val="24"/>
      <w:szCs w:val="24"/>
    </w:rPr>
  </w:style>
  <w:style w:type="paragraph" w:customStyle="1" w:styleId="18">
    <w:name w:val="列出段落1"/>
    <w:basedOn w:val="1"/>
    <w:qFormat/>
    <w:uiPriority w:val="34"/>
    <w:pPr>
      <w:ind w:left="720"/>
    </w:pPr>
  </w:style>
  <w:style w:type="paragraph" w:customStyle="1" w:styleId="19">
    <w:name w:val="修订1"/>
    <w:hidden/>
    <w:semiHidden/>
    <w:qFormat/>
    <w:uiPriority w:val="99"/>
    <w:rPr>
      <w:rFonts w:eastAsia="PMingLiU"/>
      <w:kern w:val="2"/>
      <w:sz w:val="24"/>
      <w:szCs w:val="24"/>
      <w:lang w:eastAsia="zh-TW"/>
    </w:rPr>
  </w:style>
  <w:style w:type="paragraph" w:customStyle="1" w:styleId="20">
    <w:name w:val="List Paragraph"/>
    <w:basedOn w:val="1"/>
    <w:unhideWhenUsed/>
    <w:uiPriority w:val="99"/>
    <w:pPr>
      <w:ind w:left="720"/>
      <w:contextualSpacing/>
    </w:pPr>
  </w:style>
  <w:style w:type="character" w:customStyle="1" w:styleId="21">
    <w:name w:val="short_text"/>
    <w:qFormat/>
    <w:uiPriority w:val="0"/>
  </w:style>
  <w:style w:type="character" w:customStyle="1" w:styleId="22">
    <w:name w:val="Salutation Char"/>
    <w:link w:val="3"/>
    <w:qFormat/>
    <w:uiPriority w:val="0"/>
    <w:rPr>
      <w:rFonts w:eastAsia="PMingLiU"/>
      <w:kern w:val="2"/>
      <w:sz w:val="24"/>
      <w:szCs w:val="24"/>
      <w:lang w:val="en-US"/>
    </w:rPr>
  </w:style>
  <w:style w:type="character" w:customStyle="1" w:styleId="23">
    <w:name w:val="Closing Char"/>
    <w:link w:val="4"/>
    <w:qFormat/>
    <w:uiPriority w:val="0"/>
    <w:rPr>
      <w:rFonts w:eastAsia="PMingLiU"/>
      <w:kern w:val="2"/>
      <w:sz w:val="24"/>
      <w:szCs w:val="24"/>
      <w:lang w:val="en-US"/>
    </w:rPr>
  </w:style>
  <w:style w:type="character" w:customStyle="1" w:styleId="24">
    <w:name w:val="占位符文本1"/>
    <w:basedOn w:val="11"/>
    <w:semiHidden/>
    <w:qFormat/>
    <w:uiPriority w:val="99"/>
    <w:rPr>
      <w:color w:val="808080"/>
    </w:rPr>
  </w:style>
  <w:style w:type="character" w:customStyle="1" w:styleId="25">
    <w:name w:val="Footnote Text Char"/>
    <w:basedOn w:val="11"/>
    <w:link w:val="10"/>
    <w:qFormat/>
    <w:uiPriority w:val="0"/>
    <w:rPr>
      <w:rFonts w:eastAsia="PMingLiU"/>
      <w:kern w:val="2"/>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x6x8.com</Company>
  <Pages>3</Pages>
  <Words>1192</Words>
  <Characters>1473</Characters>
  <Lines>3</Lines>
  <Paragraphs>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2019-01-11T08:08:00Z</dcterms:created>
  <dc:creator>vvvvvv</dc:creator>
  <cp:lastModifiedBy>曹长求</cp:lastModifiedBy>
  <cp:lastPrinted>2019-01-14T05:42:00Z</cp:lastPrinted>
  <dcterms:modified xsi:type="dcterms:W3CDTF">2019-01-14T08:22:12Z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