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napToGrid w:val="0"/>
        <w:jc w:val="both"/>
        <w:rPr>
          <w:rFonts w:ascii="Times New Roman" w:hAnsi="Times New Roman"/>
          <w:i/>
          <w:color w:val="000000"/>
          <w:sz w:val="20"/>
          <w:szCs w:val="20"/>
        </w:rPr>
      </w:pPr>
    </w:p>
    <w:p>
      <w:pPr>
        <w:pStyle w:val="4"/>
        <w:snapToGrid w:val="0"/>
        <w:jc w:val="both"/>
        <w:rPr>
          <w:rFonts w:ascii="Times New Roman" w:hAnsi="Times New Roman"/>
          <w:i/>
          <w:color w:val="000000"/>
          <w:sz w:val="20"/>
          <w:szCs w:val="20"/>
        </w:rPr>
      </w:pPr>
      <w:r>
        <w:rPr>
          <w:rFonts w:ascii="Times New Roman" w:hAnsi="Times New Roman" w:eastAsia="宋体"/>
          <w:i/>
          <w:color w:val="000000"/>
          <w:sz w:val="20"/>
          <w:szCs w:val="20"/>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4"/>
        <w:snapToGrid w:val="0"/>
        <w:jc w:val="both"/>
        <w:rPr>
          <w:rFonts w:ascii="Times New Roman" w:hAnsi="Times New Roman"/>
          <w:color w:val="000000"/>
          <w:sz w:val="20"/>
          <w:szCs w:val="20"/>
        </w:rPr>
      </w:pPr>
    </w:p>
    <w:p>
      <w:pPr>
        <w:pStyle w:val="4"/>
        <w:snapToGrid w:val="0"/>
        <w:jc w:val="both"/>
        <w:rPr>
          <w:rFonts w:ascii="Times New Roman" w:hAnsi="Times New Roman"/>
          <w:color w:val="000000"/>
          <w:sz w:val="20"/>
          <w:szCs w:val="20"/>
        </w:rPr>
      </w:pPr>
      <w:r>
        <w:rPr>
          <w:rFonts w:ascii="Times New Roman" w:hAnsi="Times New Roman" w:eastAsia="MingLiU" w:cs="Times New Roman"/>
          <w:i/>
          <w:iCs/>
          <w:color w:val="000000"/>
          <w:kern w:val="2"/>
          <w:sz w:val="20"/>
          <w:szCs w:val="22"/>
          <w:lang w:val="en-US" w:eastAsia="zh-TW" w:bidi="ar-SA"/>
        </w:rPr>
        <w:pict>
          <v:shape id="Picture 1" o:spid="_x0000_s1026" type="#_x0000_t75" style="position:absolute;left:0;margin-left:203.25pt;margin-top:2.5pt;height:47.25pt;width:43.65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4"/>
        <w:snapToGrid w:val="0"/>
        <w:spacing w:line="240" w:lineRule="atLeast"/>
        <w:jc w:val="center"/>
        <w:rPr>
          <w:rFonts w:ascii="Times New Roman" w:hAnsi="Times New Roman"/>
          <w:color w:val="000000"/>
          <w:sz w:val="16"/>
        </w:rPr>
      </w:pPr>
      <w:r>
        <w:rPr>
          <w:rFonts w:ascii="Times New Roman" w:hAnsi="Times New Roman"/>
          <w:color w:val="000000"/>
          <w:sz w:val="16"/>
        </w:rPr>
        <w:tab/>
      </w:r>
    </w:p>
    <w:p>
      <w:pPr>
        <w:pStyle w:val="4"/>
        <w:snapToGrid w:val="0"/>
        <w:spacing w:line="240" w:lineRule="atLeast"/>
        <w:jc w:val="center"/>
        <w:rPr>
          <w:rFonts w:ascii="Times New Roman" w:hAnsi="Times New Roman"/>
          <w:color w:val="000000"/>
          <w:sz w:val="16"/>
        </w:rPr>
      </w:pPr>
    </w:p>
    <w:p>
      <w:pPr>
        <w:pStyle w:val="4"/>
        <w:snapToGrid w:val="0"/>
        <w:spacing w:line="240" w:lineRule="atLeast"/>
        <w:jc w:val="center"/>
        <w:rPr>
          <w:rFonts w:ascii="Times New Roman" w:hAnsi="Times New Roman"/>
          <w:i/>
          <w:iCs/>
          <w:color w:val="000000"/>
          <w:sz w:val="20"/>
        </w:rPr>
      </w:pPr>
    </w:p>
    <w:p>
      <w:pPr>
        <w:pStyle w:val="4"/>
        <w:snapToGrid w:val="0"/>
        <w:spacing w:line="240" w:lineRule="atLeast"/>
        <w:jc w:val="center"/>
        <w:rPr>
          <w:rFonts w:ascii="Times New Roman" w:hAnsi="Times New Roman"/>
          <w:b/>
          <w:bCs/>
          <w:color w:val="000000"/>
          <w:sz w:val="22"/>
        </w:rPr>
      </w:pPr>
    </w:p>
    <w:p>
      <w:pPr>
        <w:pStyle w:val="4"/>
        <w:snapToGrid w:val="0"/>
        <w:spacing w:line="240" w:lineRule="atLeast"/>
        <w:jc w:val="center"/>
        <w:rPr>
          <w:rFonts w:ascii="Times New Roman" w:hAnsi="Times New Roman"/>
          <w:b/>
          <w:color w:val="000000"/>
          <w:sz w:val="22"/>
        </w:rPr>
      </w:pPr>
      <w:r>
        <w:rPr>
          <w:rFonts w:ascii="Times New Roman" w:hAnsi="Times New Roman" w:eastAsia="宋体"/>
          <w:b/>
          <w:bCs/>
          <w:color w:val="000000"/>
          <w:sz w:val="22"/>
        </w:rPr>
        <w:t>山東新華製藥股份有限公司</w:t>
      </w:r>
    </w:p>
    <w:p>
      <w:pPr>
        <w:pStyle w:val="11"/>
        <w:widowControl w:val="0"/>
        <w:tabs>
          <w:tab w:val="left" w:pos="709"/>
          <w:tab w:val="left" w:pos="1418"/>
          <w:tab w:val="left" w:pos="2126"/>
          <w:tab w:val="left" w:pos="2835"/>
          <w:tab w:val="left" w:pos="3544"/>
          <w:tab w:val="left" w:pos="4253"/>
        </w:tabs>
        <w:kinsoku w:val="0"/>
        <w:adjustRightInd w:val="0"/>
        <w:snapToGrid w:val="0"/>
        <w:spacing w:line="240" w:lineRule="atLeast"/>
        <w:rPr>
          <w:color w:val="000000"/>
          <w:kern w:val="2"/>
          <w:sz w:val="22"/>
          <w:szCs w:val="22"/>
        </w:rPr>
      </w:pPr>
      <w:r>
        <w:rPr>
          <w:color w:val="000000"/>
          <w:kern w:val="2"/>
          <w:sz w:val="22"/>
          <w:szCs w:val="22"/>
        </w:rPr>
        <w:t>Shandong Xinhua Pharmaceutical Company Limited</w:t>
      </w:r>
    </w:p>
    <w:p>
      <w:pPr>
        <w:pStyle w:val="4"/>
        <w:snapToGrid w:val="0"/>
        <w:spacing w:before="80"/>
        <w:jc w:val="center"/>
        <w:rPr>
          <w:rFonts w:ascii="Times New Roman" w:hAnsi="Times New Roman"/>
          <w:i/>
          <w:color w:val="000000"/>
          <w:sz w:val="22"/>
        </w:rPr>
      </w:pPr>
      <w:r>
        <w:rPr>
          <w:rFonts w:ascii="Times New Roman" w:hAnsi="Times New Roman" w:eastAsia="宋体"/>
          <w:i/>
          <w:color w:val="000000"/>
          <w:sz w:val="22"/>
        </w:rPr>
        <w:t>（於中華人民共和國註冊成立之股份有限公司）</w:t>
      </w:r>
    </w:p>
    <w:p>
      <w:pPr>
        <w:jc w:val="center"/>
        <w:rPr>
          <w:b/>
          <w:bCs/>
          <w:color w:val="000000"/>
          <w:sz w:val="22"/>
          <w:szCs w:val="22"/>
        </w:rPr>
      </w:pPr>
      <w:r>
        <w:rPr>
          <w:rFonts w:eastAsia="宋体"/>
          <w:b/>
          <w:bCs/>
          <w:color w:val="000000"/>
          <w:sz w:val="22"/>
          <w:szCs w:val="22"/>
        </w:rPr>
        <w:t>（股份代號：0719）</w:t>
      </w:r>
    </w:p>
    <w:p>
      <w:pPr>
        <w:rPr>
          <w:color w:val="000000"/>
          <w:sz w:val="22"/>
          <w:szCs w:val="22"/>
        </w:rPr>
      </w:pPr>
    </w:p>
    <w:p>
      <w:pPr>
        <w:autoSpaceDE w:val="0"/>
        <w:autoSpaceDN w:val="0"/>
        <w:adjustRightInd w:val="0"/>
        <w:ind w:left="110" w:right="49"/>
        <w:jc w:val="center"/>
        <w:rPr>
          <w:b/>
          <w:bCs/>
          <w:color w:val="000000"/>
          <w:spacing w:val="4"/>
          <w:sz w:val="22"/>
          <w:szCs w:val="22"/>
        </w:rPr>
      </w:pPr>
      <w:r>
        <w:rPr>
          <w:rFonts w:eastAsia="宋体"/>
          <w:b/>
          <w:bCs/>
          <w:color w:val="000000"/>
          <w:spacing w:val="4"/>
          <w:sz w:val="22"/>
          <w:szCs w:val="22"/>
        </w:rPr>
        <w:t>關連交易</w:t>
      </w:r>
    </w:p>
    <w:p>
      <w:pPr>
        <w:autoSpaceDE w:val="0"/>
        <w:autoSpaceDN w:val="0"/>
        <w:adjustRightInd w:val="0"/>
        <w:ind w:left="110" w:right="49"/>
        <w:jc w:val="center"/>
        <w:rPr>
          <w:b/>
          <w:bCs/>
          <w:color w:val="000000"/>
          <w:spacing w:val="4"/>
          <w:sz w:val="22"/>
          <w:szCs w:val="22"/>
        </w:rPr>
      </w:pPr>
      <w:r>
        <w:rPr>
          <w:rFonts w:hint="eastAsia" w:eastAsia="宋体"/>
          <w:b/>
          <w:bCs/>
          <w:color w:val="000000"/>
          <w:spacing w:val="4"/>
          <w:sz w:val="22"/>
          <w:szCs w:val="22"/>
        </w:rPr>
        <w:t>收購新達製藥標的權益</w:t>
      </w:r>
    </w:p>
    <w:p>
      <w:pPr>
        <w:autoSpaceDE w:val="0"/>
        <w:autoSpaceDN w:val="0"/>
        <w:adjustRightInd w:val="0"/>
        <w:ind w:left="110" w:right="49"/>
        <w:jc w:val="center"/>
        <w:rPr>
          <w:color w:val="000000"/>
        </w:rPr>
      </w:pPr>
    </w:p>
    <w:p>
      <w:pPr>
        <w:pStyle w:val="4"/>
        <w:snapToGrid w:val="0"/>
        <w:jc w:val="both"/>
        <w:rPr>
          <w:rFonts w:ascii="Times New Roman" w:hAnsi="Times New Roman"/>
          <w:color w:val="000000"/>
          <w:sz w:val="22"/>
        </w:rPr>
      </w:pPr>
      <w:r>
        <w:rPr>
          <w:rFonts w:ascii="Times New Roman" w:hAnsi="Times New Roman" w:eastAsia="宋体"/>
          <w:color w:val="000000"/>
          <w:sz w:val="22"/>
        </w:rPr>
        <w:t>茲提述本公司日期為2018年10月22日的公告。除非本公告另有界定，本公告所用詞彙與上述公告所界定者具有相同涵義。</w:t>
      </w:r>
    </w:p>
    <w:p>
      <w:pPr>
        <w:pStyle w:val="4"/>
        <w:snapToGrid w:val="0"/>
        <w:jc w:val="both"/>
        <w:rPr>
          <w:rFonts w:ascii="Times New Roman" w:hAnsi="Times New Roman"/>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本公司欣然宣佈，其獲通知就新達權益進行的競標（「</w:t>
      </w:r>
      <w:r>
        <w:rPr>
          <w:rFonts w:ascii="Times New Roman" w:hAnsi="Times New Roman" w:eastAsia="宋体"/>
          <w:b/>
          <w:color w:val="000000"/>
          <w:sz w:val="22"/>
        </w:rPr>
        <w:t>競標</w:t>
      </w:r>
      <w:r>
        <w:rPr>
          <w:rFonts w:ascii="Times New Roman" w:hAnsi="Times New Roman" w:eastAsia="宋体"/>
          <w:color w:val="000000"/>
          <w:sz w:val="22"/>
        </w:rPr>
        <w:t>」）經已完成，本公司以掛牌價人民幣70,673,800元中標。萬博化工的競標仍在進行，本公司將視乎競標發展，按照上市規則下關連交易及</w:t>
      </w:r>
      <w:r>
        <w:rPr>
          <w:rFonts w:hint="eastAsia" w:ascii="PMingLiU" w:hAnsi="PMingLiU" w:eastAsia="宋体" w:cs="PMingLiU"/>
          <w:color w:val="000000"/>
          <w:sz w:val="22"/>
        </w:rPr>
        <w:t>╱</w:t>
      </w:r>
      <w:r>
        <w:rPr>
          <w:rFonts w:ascii="Times New Roman" w:hAnsi="Times New Roman" w:eastAsia="宋体"/>
          <w:color w:val="000000"/>
          <w:sz w:val="22"/>
        </w:rPr>
        <w:t>或須予公佈交易之格式及適用規定適時作出進一步公告。</w:t>
      </w:r>
    </w:p>
    <w:p>
      <w:pPr>
        <w:pStyle w:val="4"/>
        <w:snapToGrid w:val="0"/>
        <w:jc w:val="both"/>
        <w:rPr>
          <w:rFonts w:ascii="Times New Roman" w:hAnsi="Times New Roman"/>
          <w:color w:val="000000"/>
          <w:sz w:val="22"/>
        </w:rPr>
      </w:pPr>
    </w:p>
    <w:p>
      <w:pPr>
        <w:pStyle w:val="4"/>
        <w:snapToGrid w:val="0"/>
        <w:jc w:val="both"/>
        <w:rPr>
          <w:rFonts w:ascii="Times New Roman" w:hAnsi="Times New Roman"/>
          <w:b/>
          <w:color w:val="000000"/>
          <w:sz w:val="22"/>
        </w:rPr>
      </w:pPr>
      <w:r>
        <w:rPr>
          <w:rFonts w:hint="eastAsia" w:ascii="Times New Roman" w:hAnsi="Times New Roman" w:eastAsia="宋体"/>
          <w:b/>
          <w:color w:val="000000"/>
          <w:sz w:val="22"/>
        </w:rPr>
        <w:t>股權轉讓</w:t>
      </w:r>
      <w:r>
        <w:rPr>
          <w:rFonts w:ascii="Times New Roman" w:hAnsi="Times New Roman" w:eastAsia="宋体"/>
          <w:b/>
          <w:color w:val="000000"/>
          <w:sz w:val="22"/>
        </w:rPr>
        <w:t>合同</w:t>
      </w:r>
    </w:p>
    <w:p>
      <w:pPr>
        <w:pStyle w:val="4"/>
        <w:snapToGrid w:val="0"/>
        <w:jc w:val="both"/>
        <w:rPr>
          <w:rFonts w:ascii="Times New Roman" w:hAnsi="Times New Roman"/>
          <w:b/>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隨著及鑒於本公司中標，本公司（作為買方）就新達權益與華魯控股集團（作為賣方）（「</w:t>
      </w:r>
      <w:r>
        <w:rPr>
          <w:rFonts w:ascii="Times New Roman" w:hAnsi="Times New Roman" w:eastAsia="宋体"/>
          <w:b/>
          <w:color w:val="000000"/>
          <w:sz w:val="22"/>
        </w:rPr>
        <w:t>賣方</w:t>
      </w:r>
      <w:r>
        <w:rPr>
          <w:rFonts w:ascii="Times New Roman" w:hAnsi="Times New Roman" w:eastAsia="宋体"/>
          <w:color w:val="000000"/>
          <w:sz w:val="22"/>
        </w:rPr>
        <w:t>」）訂立</w:t>
      </w:r>
      <w:r>
        <w:rPr>
          <w:rFonts w:hint="eastAsia" w:ascii="Times New Roman" w:hAnsi="Times New Roman" w:eastAsia="宋体"/>
          <w:color w:val="000000"/>
          <w:sz w:val="22"/>
        </w:rPr>
        <w:t>股權轉讓</w:t>
      </w:r>
      <w:r>
        <w:rPr>
          <w:rFonts w:ascii="Times New Roman" w:hAnsi="Times New Roman" w:eastAsia="宋体"/>
          <w:color w:val="000000"/>
          <w:sz w:val="22"/>
        </w:rPr>
        <w:t>合同（「</w:t>
      </w:r>
      <w:r>
        <w:rPr>
          <w:rFonts w:ascii="Times New Roman" w:hAnsi="Times New Roman" w:eastAsia="宋体"/>
          <w:b/>
          <w:color w:val="000000"/>
          <w:sz w:val="22"/>
        </w:rPr>
        <w:t>合同</w:t>
      </w:r>
      <w:r>
        <w:rPr>
          <w:rFonts w:ascii="Times New Roman" w:hAnsi="Times New Roman" w:eastAsia="宋体"/>
          <w:color w:val="000000"/>
          <w:sz w:val="22"/>
        </w:rPr>
        <w:t>」），主要條款載列如下：</w:t>
      </w:r>
    </w:p>
    <w:p>
      <w:pPr>
        <w:pStyle w:val="4"/>
        <w:snapToGrid w:val="0"/>
        <w:jc w:val="both"/>
        <w:rPr>
          <w:rFonts w:ascii="Times New Roman" w:hAnsi="Times New Roman"/>
          <w:color w:val="000000"/>
          <w:sz w:val="22"/>
        </w:rPr>
      </w:pPr>
    </w:p>
    <w:p>
      <w:pPr>
        <w:pStyle w:val="18"/>
        <w:rPr>
          <w:b/>
          <w:color w:val="000000"/>
        </w:rPr>
      </w:pPr>
      <w:r>
        <w:rPr>
          <w:rFonts w:eastAsia="宋体"/>
          <w:b/>
          <w:color w:val="000000"/>
        </w:rPr>
        <w:t>日期</w:t>
      </w:r>
    </w:p>
    <w:p>
      <w:pPr>
        <w:pStyle w:val="4"/>
        <w:snapToGrid w:val="0"/>
        <w:jc w:val="both"/>
        <w:rPr>
          <w:rFonts w:ascii="Times New Roman" w:hAnsi="Times New Roman"/>
          <w:color w:val="000000"/>
          <w:sz w:val="22"/>
        </w:rPr>
      </w:pPr>
      <w:r>
        <w:rPr>
          <w:rFonts w:ascii="Times New Roman" w:hAnsi="Times New Roman" w:eastAsia="宋体"/>
          <w:color w:val="000000"/>
          <w:sz w:val="22"/>
        </w:rPr>
        <w:t>2018年11月</w:t>
      </w:r>
      <w:r>
        <w:rPr>
          <w:rFonts w:hint="eastAsia" w:ascii="Times New Roman" w:hAnsi="Times New Roman" w:eastAsia="宋体"/>
          <w:color w:val="000000"/>
          <w:sz w:val="22"/>
          <w:lang w:val="en-US" w:eastAsia="zh-CN"/>
        </w:rPr>
        <w:t>6</w:t>
      </w:r>
      <w:r>
        <w:rPr>
          <w:rFonts w:ascii="Times New Roman" w:hAnsi="Times New Roman" w:eastAsia="宋体"/>
          <w:color w:val="000000"/>
          <w:sz w:val="22"/>
        </w:rPr>
        <w:t>日（於香港聯合交易所有限公司（「</w:t>
      </w:r>
      <w:r>
        <w:rPr>
          <w:rFonts w:ascii="Times New Roman" w:hAnsi="Times New Roman" w:eastAsia="宋体"/>
          <w:b/>
          <w:color w:val="000000"/>
          <w:sz w:val="22"/>
        </w:rPr>
        <w:t>聯交所</w:t>
      </w:r>
      <w:r>
        <w:rPr>
          <w:rFonts w:ascii="Times New Roman" w:hAnsi="Times New Roman" w:eastAsia="宋体"/>
          <w:color w:val="000000"/>
          <w:sz w:val="22"/>
        </w:rPr>
        <w:t>」）交易時段後）</w:t>
      </w:r>
    </w:p>
    <w:p>
      <w:pPr>
        <w:pStyle w:val="4"/>
        <w:snapToGrid w:val="0"/>
        <w:jc w:val="both"/>
        <w:rPr>
          <w:rFonts w:ascii="Times New Roman" w:hAnsi="Times New Roman"/>
          <w:color w:val="000000"/>
          <w:sz w:val="22"/>
        </w:rPr>
      </w:pPr>
    </w:p>
    <w:p>
      <w:pPr>
        <w:pStyle w:val="4"/>
        <w:snapToGrid w:val="0"/>
        <w:jc w:val="both"/>
        <w:rPr>
          <w:rFonts w:ascii="Times New Roman" w:hAnsi="Times New Roman"/>
          <w:b/>
          <w:color w:val="000000"/>
          <w:sz w:val="22"/>
        </w:rPr>
      </w:pPr>
      <w:r>
        <w:rPr>
          <w:rFonts w:ascii="Times New Roman" w:hAnsi="Times New Roman" w:eastAsia="宋体"/>
          <w:b/>
          <w:color w:val="000000"/>
          <w:sz w:val="22"/>
        </w:rPr>
        <w:t>訂約方</w:t>
      </w:r>
    </w:p>
    <w:p>
      <w:pPr>
        <w:pStyle w:val="4"/>
        <w:snapToGrid w:val="0"/>
        <w:jc w:val="both"/>
        <w:rPr>
          <w:rFonts w:ascii="Times New Roman" w:hAnsi="Times New Roman"/>
          <w:color w:val="000000"/>
          <w:sz w:val="22"/>
        </w:rPr>
      </w:pPr>
    </w:p>
    <w:p>
      <w:pPr>
        <w:pStyle w:val="4"/>
        <w:numPr>
          <w:ilvl w:val="0"/>
          <w:numId w:val="1"/>
        </w:numPr>
        <w:snapToGrid w:val="0"/>
        <w:ind w:left="360"/>
        <w:rPr>
          <w:rFonts w:ascii="Times New Roman" w:hAnsi="Times New Roman"/>
          <w:color w:val="000000"/>
          <w:sz w:val="22"/>
        </w:rPr>
      </w:pPr>
      <w:r>
        <w:rPr>
          <w:rFonts w:ascii="Times New Roman" w:hAnsi="Times New Roman" w:eastAsia="宋体"/>
          <w:color w:val="000000"/>
          <w:sz w:val="22"/>
        </w:rPr>
        <w:t>本公司（作為買方）；及</w:t>
      </w:r>
    </w:p>
    <w:p>
      <w:pPr>
        <w:pStyle w:val="4"/>
        <w:snapToGrid w:val="0"/>
        <w:rPr>
          <w:rFonts w:ascii="Times New Roman" w:hAnsi="Times New Roman"/>
          <w:color w:val="000000"/>
          <w:sz w:val="22"/>
        </w:rPr>
      </w:pPr>
    </w:p>
    <w:p>
      <w:pPr>
        <w:pStyle w:val="4"/>
        <w:numPr>
          <w:ilvl w:val="0"/>
          <w:numId w:val="1"/>
        </w:numPr>
        <w:snapToGrid w:val="0"/>
        <w:ind w:left="360"/>
        <w:rPr>
          <w:rFonts w:ascii="Times New Roman" w:hAnsi="Times New Roman"/>
          <w:color w:val="000000"/>
          <w:sz w:val="22"/>
        </w:rPr>
      </w:pPr>
      <w:r>
        <w:rPr>
          <w:rFonts w:ascii="Times New Roman" w:hAnsi="Times New Roman" w:eastAsia="宋体"/>
          <w:color w:val="000000"/>
          <w:sz w:val="22"/>
        </w:rPr>
        <w:t>賣方</w:t>
      </w:r>
    </w:p>
    <w:p>
      <w:pPr>
        <w:rPr>
          <w:color w:val="000000"/>
          <w:sz w:val="22"/>
        </w:rPr>
      </w:pPr>
    </w:p>
    <w:p>
      <w:pPr>
        <w:pStyle w:val="4"/>
        <w:snapToGrid w:val="0"/>
        <w:rPr>
          <w:rFonts w:ascii="Times New Roman" w:hAnsi="Times New Roman"/>
          <w:b/>
          <w:color w:val="000000"/>
          <w:sz w:val="22"/>
        </w:rPr>
      </w:pPr>
      <w:r>
        <w:rPr>
          <w:rFonts w:ascii="Times New Roman" w:hAnsi="Times New Roman" w:eastAsia="宋体"/>
          <w:b/>
          <w:color w:val="000000"/>
          <w:sz w:val="22"/>
        </w:rPr>
        <w:t>標的事項</w:t>
      </w:r>
    </w:p>
    <w:p>
      <w:pPr>
        <w:pStyle w:val="4"/>
        <w:snapToGrid w:val="0"/>
        <w:rPr>
          <w:rFonts w:ascii="Times New Roman" w:hAnsi="Times New Roman"/>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本公司同意購買且賣方同意出售新達權益，即於交易前賣方持有無產權負擔</w:t>
      </w:r>
      <w:r>
        <w:rPr>
          <w:rFonts w:hint="eastAsia" w:ascii="Times New Roman" w:hAnsi="Times New Roman" w:eastAsia="宋体"/>
          <w:color w:val="000000"/>
          <w:sz w:val="22"/>
        </w:rPr>
        <w:t>人民幣84.93百萬元</w:t>
      </w:r>
      <w:r>
        <w:rPr>
          <w:rFonts w:ascii="Times New Roman" w:hAnsi="Times New Roman" w:eastAsia="宋体"/>
          <w:color w:val="000000"/>
          <w:sz w:val="22"/>
        </w:rPr>
        <w:t>的新達製藥</w:t>
      </w:r>
      <w:r>
        <w:rPr>
          <w:rFonts w:hint="eastAsia" w:ascii="Times New Roman" w:hAnsi="Times New Roman" w:eastAsia="宋体"/>
          <w:color w:val="000000"/>
          <w:sz w:val="22"/>
        </w:rPr>
        <w:t>註冊及繳足</w:t>
      </w:r>
      <w:r>
        <w:rPr>
          <w:rFonts w:ascii="Times New Roman" w:hAnsi="Times New Roman" w:eastAsia="宋体"/>
          <w:color w:val="000000"/>
          <w:sz w:val="22"/>
        </w:rPr>
        <w:t>股權中40%權益。於下述的交割事項後，合同隨即生效，而新達製藥將成為本公司的</w:t>
      </w:r>
      <w:r>
        <w:rPr>
          <w:rFonts w:hint="eastAsia" w:ascii="Times New Roman" w:hAnsi="Times New Roman" w:eastAsia="宋体"/>
          <w:color w:val="000000"/>
          <w:sz w:val="22"/>
        </w:rPr>
        <w:t>直接</w:t>
      </w:r>
      <w:r>
        <w:rPr>
          <w:rFonts w:ascii="Times New Roman" w:hAnsi="Times New Roman" w:eastAsia="宋体"/>
          <w:color w:val="000000"/>
          <w:sz w:val="22"/>
        </w:rPr>
        <w:t xml:space="preserve">全資附屬公司。 </w:t>
      </w:r>
    </w:p>
    <w:p>
      <w:pPr>
        <w:pStyle w:val="4"/>
        <w:snapToGrid w:val="0"/>
        <w:jc w:val="both"/>
        <w:rPr>
          <w:rFonts w:ascii="Times New Roman" w:hAnsi="Times New Roman"/>
          <w:color w:val="000000"/>
          <w:sz w:val="22"/>
        </w:rPr>
      </w:pPr>
    </w:p>
    <w:p>
      <w:pPr>
        <w:pStyle w:val="4"/>
        <w:snapToGrid w:val="0"/>
        <w:jc w:val="both"/>
        <w:rPr>
          <w:rFonts w:ascii="Times New Roman" w:hAnsi="Times New Roman"/>
          <w:b/>
          <w:color w:val="000000"/>
          <w:sz w:val="22"/>
        </w:rPr>
      </w:pPr>
      <w:r>
        <w:rPr>
          <w:rFonts w:ascii="Times New Roman" w:hAnsi="Times New Roman" w:eastAsia="宋体"/>
          <w:b/>
          <w:color w:val="000000"/>
          <w:sz w:val="22"/>
        </w:rPr>
        <w:t>交割事項</w:t>
      </w:r>
    </w:p>
    <w:p>
      <w:pPr>
        <w:pStyle w:val="4"/>
        <w:snapToGrid w:val="0"/>
        <w:jc w:val="both"/>
        <w:rPr>
          <w:rFonts w:ascii="Times New Roman" w:hAnsi="Times New Roman"/>
          <w:b/>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賣方須於自山東產權交易中心取得《產權交易憑證》後10個營業日內，在本公司的必要合作下循序完成向主管機構註冊及／或申報。於註冊／申報完成後，賣方將向本公司交付所有及任何</w:t>
      </w:r>
      <w:r>
        <w:rPr>
          <w:rFonts w:hint="eastAsia" w:ascii="Times New Roman" w:hAnsi="Times New Roman" w:eastAsia="宋体"/>
          <w:color w:val="000000"/>
          <w:sz w:val="22"/>
        </w:rPr>
        <w:t>有關新達製藥</w:t>
      </w:r>
      <w:r>
        <w:rPr>
          <w:rFonts w:ascii="Times New Roman" w:hAnsi="Times New Roman" w:eastAsia="宋体"/>
          <w:color w:val="000000"/>
          <w:sz w:val="22"/>
        </w:rPr>
        <w:t>資產、所有權證、蓋章及印章、財務報表、列表、檔及資料。</w:t>
      </w:r>
    </w:p>
    <w:p>
      <w:pPr>
        <w:pStyle w:val="4"/>
        <w:snapToGrid w:val="0"/>
        <w:jc w:val="both"/>
        <w:rPr>
          <w:rFonts w:ascii="Times New Roman" w:hAnsi="Times New Roman"/>
          <w:color w:val="000000"/>
          <w:sz w:val="22"/>
        </w:rPr>
      </w:pPr>
    </w:p>
    <w:p>
      <w:pPr>
        <w:pStyle w:val="4"/>
        <w:snapToGrid w:val="0"/>
        <w:jc w:val="both"/>
        <w:rPr>
          <w:rFonts w:ascii="Times New Roman" w:hAnsi="Times New Roman"/>
          <w:b/>
          <w:color w:val="000000"/>
          <w:sz w:val="22"/>
        </w:rPr>
      </w:pPr>
      <w:r>
        <w:rPr>
          <w:rFonts w:ascii="Times New Roman" w:hAnsi="Times New Roman" w:eastAsia="宋体"/>
          <w:b/>
          <w:color w:val="000000"/>
          <w:sz w:val="22"/>
        </w:rPr>
        <w:t>代價及代價基準</w:t>
      </w:r>
    </w:p>
    <w:p>
      <w:pPr>
        <w:pStyle w:val="4"/>
        <w:snapToGrid w:val="0"/>
        <w:jc w:val="both"/>
        <w:rPr>
          <w:rFonts w:ascii="Times New Roman" w:hAnsi="Times New Roman"/>
          <w:b/>
          <w:color w:val="000000"/>
          <w:sz w:val="22"/>
        </w:rPr>
      </w:pPr>
    </w:p>
    <w:p>
      <w:pPr>
        <w:pStyle w:val="4"/>
        <w:snapToGrid w:val="0"/>
        <w:jc w:val="both"/>
        <w:rPr>
          <w:rFonts w:ascii="Times New Roman" w:hAnsi="Times New Roman"/>
          <w:color w:val="000000"/>
          <w:sz w:val="22"/>
        </w:rPr>
      </w:pPr>
      <w:r>
        <w:rPr>
          <w:rFonts w:hint="eastAsia" w:ascii="Times New Roman" w:hAnsi="Times New Roman" w:eastAsia="宋体"/>
          <w:color w:val="000000"/>
          <w:sz w:val="22"/>
        </w:rPr>
        <w:t>轉讓</w:t>
      </w:r>
      <w:r>
        <w:rPr>
          <w:rFonts w:ascii="Times New Roman" w:hAnsi="Times New Roman" w:eastAsia="宋体"/>
          <w:color w:val="000000"/>
          <w:sz w:val="22"/>
        </w:rPr>
        <w:t>新達權益的代價（「</w:t>
      </w:r>
      <w:r>
        <w:rPr>
          <w:rFonts w:ascii="Times New Roman" w:hAnsi="Times New Roman" w:eastAsia="宋体"/>
          <w:b/>
          <w:color w:val="000000"/>
          <w:sz w:val="22"/>
        </w:rPr>
        <w:t>代價</w:t>
      </w:r>
      <w:r>
        <w:rPr>
          <w:rFonts w:ascii="Times New Roman" w:hAnsi="Times New Roman" w:eastAsia="宋体"/>
          <w:color w:val="000000"/>
          <w:sz w:val="22"/>
        </w:rPr>
        <w:t>」）為人民幣70,673,800元。代價須於合同日期後5個營業日內一次性償付，而於提交競標申請時支付的人民幣7百萬元保證金</w:t>
      </w:r>
      <w:r>
        <w:rPr>
          <w:rFonts w:hint="eastAsia" w:ascii="Times New Roman" w:hAnsi="Times New Roman" w:eastAsia="宋体"/>
          <w:color w:val="000000"/>
          <w:sz w:val="22"/>
        </w:rPr>
        <w:t>（「</w:t>
      </w:r>
      <w:r>
        <w:rPr>
          <w:rFonts w:hint="eastAsia" w:ascii="Times New Roman" w:hAnsi="Times New Roman" w:eastAsia="宋体"/>
          <w:b/>
          <w:color w:val="000000"/>
          <w:sz w:val="22"/>
        </w:rPr>
        <w:t>保證金</w:t>
      </w:r>
      <w:r>
        <w:rPr>
          <w:rFonts w:hint="eastAsia" w:ascii="Times New Roman" w:hAnsi="Times New Roman" w:eastAsia="宋体"/>
          <w:color w:val="000000"/>
          <w:sz w:val="22"/>
        </w:rPr>
        <w:t>」）</w:t>
      </w:r>
      <w:r>
        <w:rPr>
          <w:rFonts w:ascii="Times New Roman" w:hAnsi="Times New Roman" w:eastAsia="宋体"/>
          <w:color w:val="000000"/>
          <w:sz w:val="22"/>
        </w:rPr>
        <w:t>將計入，並用作抵銷部分代價。代價將以本集團的內部資源作一次性償付。</w:t>
      </w:r>
    </w:p>
    <w:p>
      <w:pPr>
        <w:pStyle w:val="4"/>
        <w:snapToGrid w:val="0"/>
        <w:jc w:val="both"/>
        <w:rPr>
          <w:rFonts w:ascii="Times New Roman" w:hAnsi="Times New Roman"/>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代價為競標開始時的掛牌價。據本公司所知，掛牌價乃經參考山東天健興業資產評估有限公司（</w:t>
      </w:r>
      <w:r>
        <w:rPr>
          <w:rFonts w:hint="eastAsia" w:ascii="Times New Roman" w:hAnsi="Times New Roman" w:eastAsia="宋体"/>
          <w:color w:val="000000"/>
          <w:sz w:val="22"/>
        </w:rPr>
        <w:t>「</w:t>
      </w:r>
      <w:r>
        <w:rPr>
          <w:rFonts w:hint="eastAsia" w:ascii="Times New Roman" w:hAnsi="Times New Roman" w:eastAsia="宋体"/>
          <w:b/>
          <w:color w:val="000000"/>
          <w:sz w:val="22"/>
        </w:rPr>
        <w:t>山東天健興</w:t>
      </w:r>
      <w:r>
        <w:rPr>
          <w:rFonts w:ascii="Times New Roman" w:hAnsi="Times New Roman" w:eastAsia="宋体"/>
          <w:b/>
          <w:color w:val="000000"/>
          <w:sz w:val="22"/>
        </w:rPr>
        <w:t>業資產評估</w:t>
      </w:r>
      <w:r>
        <w:rPr>
          <w:rFonts w:hint="eastAsia" w:ascii="Times New Roman" w:hAnsi="Times New Roman" w:eastAsia="宋体"/>
          <w:color w:val="000000"/>
          <w:sz w:val="22"/>
        </w:rPr>
        <w:t>」或</w:t>
      </w:r>
      <w:r>
        <w:rPr>
          <w:rFonts w:ascii="Times New Roman" w:hAnsi="Times New Roman" w:eastAsia="宋体"/>
          <w:color w:val="000000"/>
          <w:sz w:val="22"/>
        </w:rPr>
        <w:t>「</w:t>
      </w:r>
      <w:r>
        <w:rPr>
          <w:rFonts w:ascii="Times New Roman" w:hAnsi="Times New Roman" w:eastAsia="宋体"/>
          <w:b/>
          <w:color w:val="000000"/>
          <w:sz w:val="22"/>
        </w:rPr>
        <w:t>估值師</w:t>
      </w:r>
      <w:r>
        <w:rPr>
          <w:rFonts w:ascii="Times New Roman" w:hAnsi="Times New Roman" w:eastAsia="宋体"/>
          <w:color w:val="000000"/>
          <w:sz w:val="22"/>
        </w:rPr>
        <w:t>」）進行的估值釐定，其為賣方委聘的中國合資格的估值機構。</w:t>
      </w:r>
    </w:p>
    <w:p>
      <w:pPr>
        <w:pStyle w:val="4"/>
        <w:snapToGrid w:val="0"/>
        <w:jc w:val="both"/>
        <w:rPr>
          <w:rFonts w:ascii="Times New Roman" w:hAnsi="Times New Roman"/>
          <w:color w:val="000000"/>
          <w:sz w:val="22"/>
        </w:rPr>
      </w:pPr>
    </w:p>
    <w:p>
      <w:pPr>
        <w:pStyle w:val="4"/>
        <w:snapToGrid w:val="0"/>
        <w:jc w:val="both"/>
        <w:rPr>
          <w:rFonts w:ascii="Times New Roman" w:hAnsi="Times New Roman"/>
          <w:color w:val="000000"/>
          <w:sz w:val="22"/>
        </w:rPr>
      </w:pPr>
      <w:r>
        <w:rPr>
          <w:rFonts w:ascii="Times New Roman" w:hAnsi="Times New Roman" w:eastAsia="宋体"/>
          <w:color w:val="000000"/>
          <w:sz w:val="22"/>
        </w:rPr>
        <w:t>根據估值師於日期為2018年5月18日發出的估值報告（「</w:t>
      </w:r>
      <w:r>
        <w:rPr>
          <w:rFonts w:ascii="Times New Roman" w:hAnsi="Times New Roman" w:eastAsia="宋体"/>
          <w:b/>
          <w:color w:val="000000"/>
          <w:sz w:val="22"/>
        </w:rPr>
        <w:t>估值報告</w:t>
      </w:r>
      <w:r>
        <w:rPr>
          <w:rFonts w:ascii="Times New Roman" w:hAnsi="Times New Roman" w:eastAsia="宋体"/>
          <w:color w:val="000000"/>
          <w:sz w:val="22"/>
        </w:rPr>
        <w:t>」），於2018年2月28日（「</w:t>
      </w:r>
      <w:r>
        <w:rPr>
          <w:rFonts w:hint="eastAsia" w:ascii="Times New Roman" w:hAnsi="Times New Roman" w:eastAsia="宋体"/>
          <w:b/>
          <w:color w:val="000000"/>
          <w:sz w:val="22"/>
        </w:rPr>
        <w:t>基準</w:t>
      </w:r>
      <w:r>
        <w:rPr>
          <w:rFonts w:ascii="Times New Roman" w:hAnsi="Times New Roman" w:eastAsia="宋体"/>
          <w:b/>
          <w:color w:val="000000"/>
          <w:sz w:val="22"/>
        </w:rPr>
        <w:t>日期</w:t>
      </w:r>
      <w:r>
        <w:rPr>
          <w:rFonts w:ascii="Times New Roman" w:hAnsi="Times New Roman" w:eastAsia="宋体"/>
          <w:color w:val="000000"/>
          <w:sz w:val="22"/>
        </w:rPr>
        <w:t>」）（取至最接近10,000）：</w:t>
      </w:r>
    </w:p>
    <w:p>
      <w:pPr>
        <w:pStyle w:val="4"/>
        <w:snapToGrid w:val="0"/>
        <w:jc w:val="both"/>
        <w:rPr>
          <w:rFonts w:ascii="Times New Roman" w:hAnsi="Times New Roman"/>
          <w:color w:val="000000"/>
          <w:sz w:val="22"/>
        </w:rPr>
      </w:pPr>
    </w:p>
    <w:p>
      <w:pPr>
        <w:pStyle w:val="4"/>
        <w:numPr>
          <w:ilvl w:val="0"/>
          <w:numId w:val="2"/>
        </w:numPr>
        <w:snapToGrid w:val="0"/>
        <w:jc w:val="both"/>
        <w:rPr>
          <w:rFonts w:ascii="Times New Roman" w:hAnsi="Times New Roman"/>
          <w:color w:val="000000"/>
          <w:sz w:val="22"/>
        </w:rPr>
      </w:pPr>
      <w:r>
        <w:rPr>
          <w:rFonts w:ascii="Times New Roman" w:hAnsi="Times New Roman" w:eastAsia="宋体"/>
          <w:color w:val="000000"/>
          <w:sz w:val="22"/>
        </w:rPr>
        <w:t>通過採用收益法估值，新達製藥股東權益總額的賬面值（「</w:t>
      </w:r>
      <w:r>
        <w:rPr>
          <w:rFonts w:ascii="Times New Roman" w:hAnsi="Times New Roman" w:eastAsia="宋体"/>
          <w:b/>
          <w:color w:val="000000"/>
          <w:sz w:val="22"/>
        </w:rPr>
        <w:t>價值</w:t>
      </w:r>
      <w:r>
        <w:rPr>
          <w:rFonts w:ascii="Times New Roman" w:hAnsi="Times New Roman" w:eastAsia="宋体"/>
          <w:color w:val="000000"/>
          <w:sz w:val="22"/>
        </w:rPr>
        <w:t>」）為人民幣176.68百萬元；及</w:t>
      </w:r>
    </w:p>
    <w:p>
      <w:pPr>
        <w:pStyle w:val="4"/>
        <w:snapToGrid w:val="0"/>
        <w:ind w:left="360"/>
        <w:jc w:val="both"/>
        <w:rPr>
          <w:rFonts w:ascii="Times New Roman" w:hAnsi="Times New Roman"/>
          <w:color w:val="000000"/>
          <w:sz w:val="22"/>
        </w:rPr>
      </w:pPr>
    </w:p>
    <w:p>
      <w:pPr>
        <w:pStyle w:val="4"/>
        <w:numPr>
          <w:ilvl w:val="0"/>
          <w:numId w:val="2"/>
        </w:numPr>
        <w:snapToGrid w:val="0"/>
        <w:jc w:val="both"/>
        <w:rPr>
          <w:rFonts w:ascii="Times New Roman" w:hAnsi="Times New Roman"/>
          <w:color w:val="000000"/>
          <w:sz w:val="22"/>
        </w:rPr>
      </w:pPr>
      <w:r>
        <w:rPr>
          <w:rFonts w:ascii="Times New Roman" w:hAnsi="Times New Roman" w:eastAsia="宋体"/>
          <w:color w:val="000000"/>
          <w:sz w:val="22"/>
        </w:rPr>
        <w:t>通過採用資產基礎法估值，新達製藥資產賬面值為人民幣147.03百萬元</w:t>
      </w:r>
    </w:p>
    <w:p>
      <w:pPr>
        <w:pStyle w:val="4"/>
        <w:snapToGrid w:val="0"/>
        <w:ind w:left="-90"/>
        <w:jc w:val="both"/>
        <w:rPr>
          <w:rFonts w:ascii="Times New Roman" w:hAnsi="Times New Roman"/>
          <w:color w:val="000000"/>
          <w:sz w:val="22"/>
        </w:rPr>
      </w:pPr>
    </w:p>
    <w:p>
      <w:pPr>
        <w:pStyle w:val="4"/>
        <w:snapToGrid w:val="0"/>
        <w:ind w:left="-90"/>
        <w:jc w:val="both"/>
        <w:rPr>
          <w:rFonts w:ascii="Times New Roman" w:hAnsi="Times New Roman"/>
          <w:color w:val="000000"/>
          <w:sz w:val="22"/>
        </w:rPr>
      </w:pPr>
      <w:r>
        <w:rPr>
          <w:rFonts w:ascii="Times New Roman" w:hAnsi="Times New Roman" w:eastAsia="宋体"/>
          <w:color w:val="000000"/>
          <w:sz w:val="22"/>
        </w:rPr>
        <w:t>估值師已根據上述方法考慮估值結果，認為(i)差異主要是由於資產基礎法無法將具有未來盈利能力的因素，包括商譽、醫藥產品的銷售網絡、商標、專利及批准檔；及(ii)考慮到該等權益的價值通常不</w:t>
      </w:r>
      <w:r>
        <w:rPr>
          <w:rFonts w:hint="eastAsia" w:ascii="Times New Roman" w:hAnsi="Times New Roman" w:eastAsia="宋体"/>
          <w:color w:val="000000"/>
          <w:sz w:val="22"/>
        </w:rPr>
        <w:t>基於</w:t>
      </w:r>
      <w:r>
        <w:rPr>
          <w:rFonts w:ascii="Times New Roman" w:hAnsi="Times New Roman" w:eastAsia="宋体"/>
          <w:color w:val="000000"/>
          <w:sz w:val="22"/>
        </w:rPr>
        <w:t>重新收購目標公司資產的成本，惟包括市場參與者的預期未來所得款項，且收益法更能夠反映新達製藥的固有市場價值，故就轉讓新達權益而言，收益法比資產基礎法更為適合。競標掛牌價亦為合同的代價，佔上述價值40%。</w:t>
      </w:r>
    </w:p>
    <w:p>
      <w:pPr>
        <w:pStyle w:val="4"/>
        <w:snapToGrid w:val="0"/>
        <w:jc w:val="both"/>
        <w:rPr>
          <w:rFonts w:ascii="Times New Roman" w:hAnsi="Times New Roman"/>
          <w:color w:val="000000"/>
          <w:sz w:val="22"/>
        </w:rPr>
      </w:pPr>
    </w:p>
    <w:p>
      <w:pPr>
        <w:pStyle w:val="4"/>
        <w:snapToGrid w:val="0"/>
        <w:ind w:left="-117"/>
        <w:jc w:val="both"/>
        <w:rPr>
          <w:rFonts w:ascii="Times New Roman" w:hAnsi="Times New Roman"/>
          <w:color w:val="000000"/>
          <w:sz w:val="22"/>
        </w:rPr>
      </w:pPr>
      <w:r>
        <w:rPr>
          <w:rFonts w:ascii="Times New Roman" w:hAnsi="Times New Roman" w:eastAsia="宋体"/>
          <w:color w:val="000000"/>
          <w:sz w:val="22"/>
        </w:rPr>
        <w:t>按收益法估值乃基於貼現現金流量，並根據上市規則的定義視為盈利預測。</w:t>
      </w:r>
      <w:r>
        <w:rPr>
          <w:rFonts w:hint="eastAsia" w:ascii="Times New Roman" w:hAnsi="Times New Roman" w:eastAsia="宋体"/>
          <w:color w:val="000000"/>
          <w:sz w:val="22"/>
        </w:rPr>
        <w:t>估值報告的摘要載有</w:t>
      </w:r>
      <w:r>
        <w:rPr>
          <w:rFonts w:ascii="Times New Roman" w:hAnsi="Times New Roman" w:eastAsia="宋体"/>
          <w:color w:val="000000"/>
          <w:sz w:val="22"/>
        </w:rPr>
        <w:t>該盈利預測所基於的主要假設，以及信永中和（香港）會計師事務所有限公司（特殊普通合夥）</w:t>
      </w:r>
      <w:r>
        <w:rPr>
          <w:rFonts w:hint="eastAsia" w:ascii="Times New Roman" w:hAnsi="Times New Roman" w:eastAsia="宋体"/>
          <w:color w:val="000000"/>
          <w:sz w:val="22"/>
        </w:rPr>
        <w:t>（</w:t>
      </w:r>
      <w:r>
        <w:rPr>
          <w:rFonts w:hint="eastAsia" w:ascii="宋体" w:hAnsi="宋体" w:eastAsia="宋体"/>
          <w:color w:val="000000"/>
          <w:sz w:val="22"/>
        </w:rPr>
        <w:t>「</w:t>
      </w:r>
      <w:r>
        <w:rPr>
          <w:rFonts w:hint="eastAsia" w:ascii="宋体" w:hAnsi="宋体" w:eastAsia="宋体"/>
          <w:b/>
          <w:color w:val="000000"/>
          <w:sz w:val="22"/>
        </w:rPr>
        <w:t>信永中和</w:t>
      </w:r>
      <w:r>
        <w:rPr>
          <w:rFonts w:hint="eastAsia" w:ascii="宋体" w:hAnsi="宋体" w:eastAsia="宋体"/>
          <w:color w:val="000000"/>
          <w:sz w:val="22"/>
        </w:rPr>
        <w:t>」</w:t>
      </w:r>
      <w:r>
        <w:rPr>
          <w:rFonts w:hint="eastAsia" w:ascii="Times New Roman" w:hAnsi="Times New Roman" w:eastAsia="宋体"/>
          <w:color w:val="000000"/>
          <w:sz w:val="22"/>
        </w:rPr>
        <w:t>）</w:t>
      </w:r>
      <w:r>
        <w:rPr>
          <w:rFonts w:ascii="Times New Roman" w:hAnsi="Times New Roman" w:eastAsia="宋体"/>
          <w:color w:val="000000"/>
          <w:sz w:val="22"/>
        </w:rPr>
        <w:t>函件、本集團核數師函件及有關上市規則項下規定盈利預測的董事會函件分別</w:t>
      </w:r>
      <w:r>
        <w:rPr>
          <w:rFonts w:hint="eastAsia" w:ascii="Times New Roman" w:hAnsi="Times New Roman" w:eastAsia="宋体"/>
          <w:color w:val="000000"/>
          <w:sz w:val="22"/>
        </w:rPr>
        <w:t>作為</w:t>
      </w:r>
      <w:r>
        <w:rPr>
          <w:rFonts w:ascii="Times New Roman" w:hAnsi="Times New Roman" w:eastAsia="宋体"/>
          <w:color w:val="000000"/>
          <w:sz w:val="22"/>
        </w:rPr>
        <w:t>附錄一、二及三</w:t>
      </w:r>
      <w:r>
        <w:rPr>
          <w:rFonts w:hint="eastAsia" w:ascii="Times New Roman" w:hAnsi="Times New Roman" w:eastAsia="宋体"/>
          <w:color w:val="000000"/>
          <w:sz w:val="22"/>
        </w:rPr>
        <w:t>載入並隨</w:t>
      </w:r>
      <w:r>
        <w:rPr>
          <w:rFonts w:ascii="Times New Roman" w:hAnsi="Times New Roman" w:eastAsia="宋体"/>
          <w:color w:val="000000"/>
          <w:sz w:val="22"/>
        </w:rPr>
        <w:t>本公告</w:t>
      </w:r>
      <w:r>
        <w:rPr>
          <w:rFonts w:hint="eastAsia" w:ascii="Times New Roman" w:hAnsi="Times New Roman" w:eastAsia="宋体"/>
          <w:color w:val="000000"/>
          <w:sz w:val="22"/>
        </w:rPr>
        <w:t>附上</w:t>
      </w:r>
      <w:r>
        <w:rPr>
          <w:rFonts w:ascii="Times New Roman" w:hAnsi="Times New Roman" w:eastAsia="宋体"/>
          <w:color w:val="000000"/>
          <w:sz w:val="22"/>
        </w:rPr>
        <w:t>。</w:t>
      </w:r>
    </w:p>
    <w:p>
      <w:pPr>
        <w:pStyle w:val="4"/>
        <w:snapToGrid w:val="0"/>
        <w:ind w:left="-117"/>
        <w:jc w:val="both"/>
        <w:rPr>
          <w:rFonts w:ascii="Times New Roman" w:hAnsi="Times New Roman"/>
          <w:color w:val="000000"/>
          <w:sz w:val="22"/>
        </w:rPr>
      </w:pPr>
    </w:p>
    <w:p>
      <w:pPr>
        <w:pStyle w:val="4"/>
        <w:snapToGrid w:val="0"/>
        <w:ind w:left="-117"/>
        <w:jc w:val="both"/>
        <w:rPr>
          <w:rFonts w:ascii="Times New Roman" w:hAnsi="Times New Roman"/>
          <w:b/>
          <w:color w:val="000000"/>
          <w:szCs w:val="24"/>
        </w:rPr>
      </w:pPr>
      <w:r>
        <w:rPr>
          <w:rFonts w:ascii="Times New Roman" w:hAnsi="Times New Roman" w:eastAsia="宋体"/>
          <w:b/>
          <w:color w:val="000000"/>
          <w:szCs w:val="24"/>
        </w:rPr>
        <w:t>稅費、費用及負債</w:t>
      </w:r>
    </w:p>
    <w:p>
      <w:pPr>
        <w:pStyle w:val="4"/>
        <w:snapToGrid w:val="0"/>
        <w:ind w:left="-117"/>
        <w:jc w:val="both"/>
        <w:rPr>
          <w:rFonts w:ascii="Times New Roman" w:hAnsi="Times New Roman"/>
          <w:b/>
          <w:color w:val="000000"/>
          <w:szCs w:val="24"/>
        </w:rPr>
      </w:pPr>
    </w:p>
    <w:p>
      <w:pPr>
        <w:pStyle w:val="4"/>
        <w:snapToGrid w:val="0"/>
        <w:ind w:left="-117"/>
        <w:jc w:val="both"/>
        <w:rPr>
          <w:rFonts w:ascii="Times New Roman" w:hAnsi="Times New Roman"/>
          <w:color w:val="000000"/>
          <w:kern w:val="0"/>
          <w:szCs w:val="24"/>
        </w:rPr>
      </w:pPr>
      <w:r>
        <w:rPr>
          <w:rFonts w:hint="eastAsia" w:ascii="Times New Roman" w:hAnsi="Times New Roman" w:eastAsia="宋体"/>
          <w:color w:val="000000"/>
          <w:szCs w:val="24"/>
        </w:rPr>
        <w:t>於</w:t>
      </w:r>
      <w:r>
        <w:rPr>
          <w:rFonts w:ascii="Times New Roman" w:hAnsi="Times New Roman" w:eastAsia="宋体"/>
          <w:color w:val="000000"/>
          <w:szCs w:val="24"/>
        </w:rPr>
        <w:t>新達權益轉讓交割</w:t>
      </w:r>
      <w:r>
        <w:rPr>
          <w:rFonts w:hint="eastAsia" w:ascii="Times New Roman" w:hAnsi="Times New Roman" w:eastAsia="宋体"/>
          <w:color w:val="000000"/>
          <w:szCs w:val="24"/>
        </w:rPr>
        <w:t>事項</w:t>
      </w:r>
      <w:r>
        <w:rPr>
          <w:rFonts w:ascii="Times New Roman" w:hAnsi="Times New Roman" w:eastAsia="宋体"/>
          <w:color w:val="000000"/>
          <w:szCs w:val="24"/>
        </w:rPr>
        <w:t>前，任何及所有負債（實際及或然負債），以及</w:t>
      </w:r>
      <w:r>
        <w:rPr>
          <w:rFonts w:ascii="Times New Roman" w:hAnsi="Times New Roman" w:eastAsia="宋体"/>
          <w:color w:val="000000"/>
          <w:kern w:val="0"/>
          <w:szCs w:val="24"/>
        </w:rPr>
        <w:t>新達製藥於債務的權益維持新達製藥擁有，且不得歸屬於作為</w:t>
      </w:r>
      <w:r>
        <w:rPr>
          <w:rFonts w:ascii="Times New Roman" w:hAnsi="Times New Roman" w:eastAsia="宋体"/>
          <w:color w:val="000000"/>
          <w:szCs w:val="24"/>
        </w:rPr>
        <w:t>退股股東的</w:t>
      </w:r>
      <w:r>
        <w:rPr>
          <w:rFonts w:ascii="Times New Roman" w:hAnsi="Times New Roman" w:eastAsia="宋体"/>
          <w:color w:val="000000"/>
          <w:kern w:val="0"/>
          <w:szCs w:val="24"/>
        </w:rPr>
        <w:t>賣方。</w:t>
      </w:r>
    </w:p>
    <w:p>
      <w:pPr>
        <w:pStyle w:val="4"/>
        <w:snapToGrid w:val="0"/>
        <w:ind w:left="-117"/>
        <w:jc w:val="both"/>
        <w:rPr>
          <w:rFonts w:ascii="Times New Roman" w:hAnsi="Times New Roman"/>
          <w:color w:val="000000"/>
          <w:szCs w:val="24"/>
        </w:rPr>
      </w:pPr>
    </w:p>
    <w:p>
      <w:pPr>
        <w:pStyle w:val="4"/>
        <w:snapToGrid w:val="0"/>
        <w:ind w:left="-117"/>
        <w:jc w:val="both"/>
        <w:rPr>
          <w:rFonts w:ascii="Times New Roman" w:hAnsi="Times New Roman"/>
          <w:color w:val="000000"/>
          <w:szCs w:val="24"/>
        </w:rPr>
      </w:pPr>
      <w:r>
        <w:rPr>
          <w:rFonts w:ascii="Times New Roman" w:hAnsi="Times New Roman" w:eastAsia="宋体"/>
          <w:color w:val="000000"/>
          <w:szCs w:val="24"/>
        </w:rPr>
        <w:t>倘有任何違反合同，則合同的一方須對另一方承擔責任。尤其是，</w:t>
      </w:r>
      <w:r>
        <w:rPr>
          <w:rFonts w:hint="eastAsia" w:ascii="Times New Roman" w:hAnsi="Times New Roman" w:eastAsia="宋体"/>
          <w:color w:val="000000"/>
          <w:szCs w:val="24"/>
        </w:rPr>
        <w:t>(a)</w:t>
      </w:r>
      <w:r>
        <w:rPr>
          <w:rFonts w:ascii="Times New Roman" w:hAnsi="Times New Roman" w:eastAsia="宋体"/>
          <w:color w:val="000000"/>
          <w:szCs w:val="24"/>
        </w:rPr>
        <w:t>倘</w:t>
      </w:r>
      <w:r>
        <w:rPr>
          <w:rFonts w:hint="eastAsia" w:ascii="Times New Roman" w:hAnsi="Times New Roman" w:eastAsia="宋体"/>
          <w:color w:val="000000"/>
          <w:szCs w:val="24"/>
        </w:rPr>
        <w:t>由賣方</w:t>
      </w:r>
      <w:r>
        <w:rPr>
          <w:rFonts w:ascii="Times New Roman" w:hAnsi="Times New Roman" w:eastAsia="宋体"/>
          <w:color w:val="000000"/>
          <w:szCs w:val="24"/>
        </w:rPr>
        <w:t>轉讓</w:t>
      </w:r>
      <w:r>
        <w:rPr>
          <w:rFonts w:hint="eastAsia" w:ascii="Times New Roman" w:hAnsi="Times New Roman" w:eastAsia="宋体"/>
          <w:color w:val="000000"/>
          <w:szCs w:val="24"/>
        </w:rPr>
        <w:t>的</w:t>
      </w:r>
      <w:r>
        <w:rPr>
          <w:rFonts w:ascii="Times New Roman" w:hAnsi="Times New Roman" w:eastAsia="宋体"/>
          <w:color w:val="000000"/>
          <w:szCs w:val="24"/>
        </w:rPr>
        <w:t>新達權益未能交割，以及</w:t>
      </w:r>
      <w:r>
        <w:rPr>
          <w:rFonts w:hint="eastAsia" w:ascii="Times New Roman" w:hAnsi="Times New Roman" w:eastAsia="宋体"/>
          <w:color w:val="000000"/>
          <w:szCs w:val="24"/>
        </w:rPr>
        <w:t>本公司</w:t>
      </w:r>
      <w:r>
        <w:rPr>
          <w:rFonts w:ascii="Times New Roman" w:hAnsi="Times New Roman" w:eastAsia="宋体"/>
          <w:color w:val="000000"/>
          <w:szCs w:val="24"/>
        </w:rPr>
        <w:t>於本公告所載各自協定期間內未能支付代價，則將導致相當於每日</w:t>
      </w:r>
      <w:r>
        <w:rPr>
          <w:rFonts w:hint="eastAsia" w:ascii="Times New Roman" w:hAnsi="Times New Roman" w:eastAsia="宋体"/>
          <w:color w:val="000000"/>
          <w:szCs w:val="24"/>
        </w:rPr>
        <w:t>應向無違約的訂約方支付</w:t>
      </w:r>
      <w:r>
        <w:rPr>
          <w:rFonts w:ascii="Times New Roman" w:hAnsi="Times New Roman" w:eastAsia="宋体"/>
          <w:color w:val="000000"/>
          <w:szCs w:val="24"/>
        </w:rPr>
        <w:t>代價0.1%金額的違約金</w:t>
      </w:r>
      <w:r>
        <w:rPr>
          <w:rFonts w:hint="eastAsia" w:ascii="Times New Roman" w:hAnsi="Times New Roman" w:eastAsia="宋体"/>
          <w:color w:val="000000"/>
          <w:szCs w:val="24"/>
        </w:rPr>
        <w:t>；及(b)遺漏或不披露重大項目（包括對新達製藥產生重大不利影響或影響新達權益的評估價格超過30%的新達製藥資產及負債）須賦予本公司撤銷合同及由賣方應付代價金額的1%作為</w:t>
      </w:r>
      <w:r>
        <w:rPr>
          <w:rFonts w:ascii="Times New Roman" w:hAnsi="Times New Roman" w:eastAsia="宋体"/>
          <w:color w:val="000000"/>
          <w:szCs w:val="24"/>
        </w:rPr>
        <w:t>違約金。</w:t>
      </w:r>
    </w:p>
    <w:p>
      <w:pPr>
        <w:pStyle w:val="4"/>
        <w:snapToGrid w:val="0"/>
        <w:ind w:left="-117"/>
        <w:jc w:val="both"/>
        <w:rPr>
          <w:rFonts w:ascii="Times New Roman" w:hAnsi="Times New Roman"/>
          <w:color w:val="000000"/>
          <w:szCs w:val="24"/>
        </w:rPr>
      </w:pPr>
    </w:p>
    <w:p>
      <w:pPr>
        <w:pStyle w:val="4"/>
        <w:snapToGrid w:val="0"/>
        <w:ind w:left="-117"/>
        <w:jc w:val="both"/>
        <w:rPr>
          <w:rFonts w:ascii="Times New Roman" w:hAnsi="Times New Roman"/>
          <w:color w:val="000000"/>
          <w:szCs w:val="24"/>
        </w:rPr>
      </w:pPr>
      <w:r>
        <w:rPr>
          <w:rFonts w:hint="eastAsia" w:ascii="Times New Roman" w:hAnsi="Times New Roman" w:eastAsia="宋体"/>
          <w:color w:val="000000"/>
          <w:szCs w:val="24"/>
        </w:rPr>
        <w:t>根據山東產權交易中心競標下所載的條件，本公司已作承諾，包括：(a)轉讓新達權益前，新達製藥的利潤須根據賣方與本公司各自的控股維持按比例劃分，而基準日期與轉讓新達權益期間產生的任何損失須由新達製藥（作為</w:t>
      </w:r>
      <w:r>
        <w:rPr>
          <w:rFonts w:ascii="Times New Roman" w:hAnsi="Times New Roman" w:eastAsia="宋体"/>
          <w:color w:val="000000"/>
          <w:szCs w:val="24"/>
        </w:rPr>
        <w:t>獨立有限</w:t>
      </w:r>
      <w:r>
        <w:rPr>
          <w:rFonts w:hint="eastAsia" w:ascii="Times New Roman" w:hAnsi="Times New Roman" w:eastAsia="宋体"/>
          <w:color w:val="000000"/>
          <w:szCs w:val="24"/>
        </w:rPr>
        <w:t>責任</w:t>
      </w:r>
      <w:r>
        <w:rPr>
          <w:rFonts w:ascii="Times New Roman" w:hAnsi="Times New Roman" w:eastAsia="宋体"/>
          <w:color w:val="000000"/>
          <w:szCs w:val="24"/>
        </w:rPr>
        <w:t>實體</w:t>
      </w:r>
      <w:r>
        <w:rPr>
          <w:rFonts w:hint="eastAsia" w:ascii="Times New Roman" w:hAnsi="Times New Roman" w:eastAsia="宋体"/>
          <w:color w:val="000000"/>
          <w:szCs w:val="24"/>
        </w:rPr>
        <w:t>），承擔，而非由股東承擔；(b)轉讓新達權益產生的費用須由本公司承擔；及(c)本公司已完成其就交易的盡職調查。</w:t>
      </w:r>
    </w:p>
    <w:p>
      <w:pPr>
        <w:pStyle w:val="4"/>
        <w:snapToGrid w:val="0"/>
        <w:ind w:left="-117"/>
        <w:jc w:val="both"/>
        <w:rPr>
          <w:rFonts w:ascii="Times New Roman" w:hAnsi="Times New Roman"/>
          <w:color w:val="000000"/>
          <w:szCs w:val="24"/>
        </w:rPr>
      </w:pPr>
    </w:p>
    <w:p>
      <w:pPr>
        <w:pStyle w:val="4"/>
        <w:snapToGrid w:val="0"/>
        <w:ind w:left="-117"/>
        <w:jc w:val="both"/>
        <w:rPr>
          <w:rFonts w:ascii="Times New Roman" w:hAnsi="Times New Roman"/>
          <w:b/>
          <w:color w:val="000000"/>
          <w:szCs w:val="24"/>
        </w:rPr>
      </w:pPr>
      <w:r>
        <w:rPr>
          <w:rFonts w:ascii="Times New Roman" w:hAnsi="Times New Roman" w:eastAsia="宋体"/>
          <w:b/>
          <w:color w:val="000000"/>
          <w:szCs w:val="24"/>
        </w:rPr>
        <w:t>新達收購之原因及裨益</w:t>
      </w:r>
    </w:p>
    <w:p>
      <w:pPr>
        <w:pStyle w:val="4"/>
        <w:snapToGrid w:val="0"/>
        <w:ind w:left="-117"/>
        <w:jc w:val="both"/>
        <w:rPr>
          <w:rFonts w:ascii="Times New Roman" w:hAnsi="Times New Roman"/>
          <w:color w:val="000000"/>
          <w:szCs w:val="24"/>
        </w:rPr>
      </w:pPr>
    </w:p>
    <w:p>
      <w:pPr>
        <w:pStyle w:val="4"/>
        <w:snapToGrid w:val="0"/>
        <w:ind w:left="-90"/>
        <w:jc w:val="both"/>
        <w:rPr>
          <w:rFonts w:ascii="Times New Roman" w:hAnsi="Times New Roman"/>
          <w:color w:val="000000"/>
          <w:szCs w:val="24"/>
        </w:rPr>
      </w:pPr>
      <w:r>
        <w:rPr>
          <w:rFonts w:ascii="Times New Roman" w:hAnsi="Times New Roman" w:eastAsia="宋体"/>
          <w:color w:val="000000"/>
          <w:szCs w:val="24"/>
        </w:rPr>
        <w:t>收購新達權益（「</w:t>
      </w:r>
      <w:r>
        <w:rPr>
          <w:rFonts w:ascii="Times New Roman" w:hAnsi="Times New Roman" w:eastAsia="宋体"/>
          <w:b/>
          <w:color w:val="000000"/>
          <w:szCs w:val="24"/>
        </w:rPr>
        <w:t>新達收購</w:t>
      </w:r>
      <w:r>
        <w:rPr>
          <w:rFonts w:ascii="Times New Roman" w:hAnsi="Times New Roman" w:eastAsia="宋体"/>
          <w:color w:val="000000"/>
          <w:szCs w:val="24"/>
        </w:rPr>
        <w:t>」）預期推進（其中包括）本集團進一步發展藥物製劑業務及本集團與新達製藥之間資源整合的戰略目標，包括但不限於彼等各自銷售網絡、建立品牌及研發。</w:t>
      </w:r>
    </w:p>
    <w:p>
      <w:pPr>
        <w:pStyle w:val="4"/>
        <w:snapToGrid w:val="0"/>
        <w:ind w:left="-90"/>
        <w:jc w:val="both"/>
        <w:rPr>
          <w:rFonts w:ascii="Times New Roman" w:hAnsi="Times New Roman"/>
          <w:color w:val="000000"/>
          <w:szCs w:val="24"/>
        </w:rPr>
      </w:pPr>
    </w:p>
    <w:p>
      <w:pPr>
        <w:pStyle w:val="4"/>
        <w:snapToGrid w:val="0"/>
        <w:ind w:left="-90"/>
        <w:jc w:val="both"/>
        <w:rPr>
          <w:rFonts w:ascii="Times New Roman" w:hAnsi="Times New Roman" w:eastAsia="宋体"/>
          <w:color w:val="000000"/>
          <w:szCs w:val="24"/>
        </w:rPr>
      </w:pPr>
      <w:r>
        <w:rPr>
          <w:rFonts w:ascii="Times New Roman" w:hAnsi="Times New Roman" w:eastAsia="宋体"/>
          <w:color w:val="000000"/>
          <w:szCs w:val="24"/>
        </w:rPr>
        <w:t>董事（包括獨立非執行董事）已審議及審閱新達收購項下的條款及規定，認為屬公平合理，</w:t>
      </w:r>
      <w:r>
        <w:rPr>
          <w:rFonts w:hint="eastAsia" w:ascii="Times New Roman" w:hAnsi="Times New Roman" w:eastAsia="宋体"/>
          <w:color w:val="000000"/>
          <w:szCs w:val="24"/>
        </w:rPr>
        <w:t>其</w:t>
      </w:r>
      <w:r>
        <w:rPr>
          <w:rFonts w:ascii="Times New Roman" w:hAnsi="Times New Roman" w:eastAsia="宋体"/>
          <w:color w:val="000000"/>
          <w:szCs w:val="24"/>
        </w:rPr>
        <w:t>項下交易按一般商業條款</w:t>
      </w:r>
      <w:r>
        <w:rPr>
          <w:rFonts w:hint="eastAsia" w:ascii="Times New Roman" w:hAnsi="Times New Roman" w:eastAsia="宋体"/>
          <w:color w:val="000000"/>
          <w:szCs w:val="24"/>
        </w:rPr>
        <w:t>訂立且於本集團的一般及日常業務中進行</w:t>
      </w:r>
      <w:r>
        <w:rPr>
          <w:rFonts w:ascii="Times New Roman" w:hAnsi="Times New Roman" w:eastAsia="宋体"/>
          <w:color w:val="000000"/>
          <w:szCs w:val="24"/>
        </w:rPr>
        <w:t>，且符合本公司及股東的整體利益。</w:t>
      </w:r>
    </w:p>
    <w:p>
      <w:pPr>
        <w:pStyle w:val="4"/>
        <w:snapToGrid w:val="0"/>
        <w:ind w:left="-90"/>
        <w:jc w:val="both"/>
        <w:rPr>
          <w:rFonts w:ascii="Times New Roman" w:hAnsi="Times New Roman"/>
          <w:color w:val="000000"/>
          <w:szCs w:val="24"/>
        </w:rPr>
      </w:pPr>
    </w:p>
    <w:p>
      <w:pPr>
        <w:pStyle w:val="4"/>
        <w:snapToGrid w:val="0"/>
        <w:ind w:left="-90"/>
        <w:jc w:val="both"/>
        <w:rPr>
          <w:rFonts w:ascii="Times New Roman" w:hAnsi="Times New Roman"/>
          <w:color w:val="000000"/>
          <w:szCs w:val="24"/>
        </w:rPr>
      </w:pPr>
      <w:r>
        <w:rPr>
          <w:rFonts w:ascii="Times New Roman" w:hAnsi="Times New Roman" w:eastAsia="宋体"/>
          <w:color w:val="000000"/>
          <w:szCs w:val="24"/>
        </w:rPr>
        <w:t>本公司董事張代銘先生、任福龍先生、徐列先生、趙斌先生因彼等各自於華魯控</w:t>
      </w:r>
      <w:r>
        <w:rPr>
          <w:rFonts w:ascii="Times New Roman" w:hAnsi="Times New Roman" w:eastAsia="宋体"/>
          <w:color w:val="000000"/>
          <w:kern w:val="0"/>
          <w:szCs w:val="24"/>
        </w:rPr>
        <w:t>股</w:t>
      </w:r>
      <w:r>
        <w:rPr>
          <w:rFonts w:ascii="Times New Roman" w:hAnsi="Times New Roman" w:eastAsia="宋体"/>
          <w:color w:val="000000"/>
          <w:szCs w:val="24"/>
        </w:rPr>
        <w:t xml:space="preserve">集團之董事職務或管理層成員之職位已就有關新達收購放棄投票。除上文所披露者外，本公司並無知悉任何其他董事於相關事項中持有重大權益。 </w:t>
      </w:r>
    </w:p>
    <w:p>
      <w:pPr>
        <w:pStyle w:val="4"/>
        <w:snapToGrid w:val="0"/>
        <w:ind w:left="-90"/>
        <w:jc w:val="both"/>
        <w:rPr>
          <w:rFonts w:ascii="Times New Roman" w:hAnsi="Times New Roman"/>
          <w:color w:val="000000"/>
          <w:szCs w:val="24"/>
        </w:rPr>
      </w:pPr>
      <w:r>
        <w:rPr>
          <w:rFonts w:ascii="Times New Roman" w:hAnsi="Times New Roman" w:eastAsia="宋体"/>
          <w:color w:val="000000"/>
          <w:szCs w:val="24"/>
        </w:rPr>
        <w:t xml:space="preserve"> </w:t>
      </w:r>
    </w:p>
    <w:p>
      <w:pPr>
        <w:pStyle w:val="4"/>
        <w:snapToGrid w:val="0"/>
        <w:ind w:left="-90"/>
        <w:jc w:val="both"/>
        <w:rPr>
          <w:rFonts w:ascii="Times New Roman" w:hAnsi="Times New Roman"/>
          <w:b/>
          <w:color w:val="000000"/>
          <w:szCs w:val="24"/>
        </w:rPr>
      </w:pPr>
      <w:r>
        <w:rPr>
          <w:rFonts w:ascii="Times New Roman" w:hAnsi="Times New Roman" w:eastAsia="宋体"/>
          <w:b/>
          <w:color w:val="000000"/>
          <w:szCs w:val="24"/>
        </w:rPr>
        <w:t>目標公司及合同各方資料</w:t>
      </w:r>
    </w:p>
    <w:p>
      <w:pPr>
        <w:pStyle w:val="4"/>
        <w:snapToGrid w:val="0"/>
        <w:ind w:left="-90"/>
        <w:jc w:val="both"/>
        <w:rPr>
          <w:rFonts w:ascii="Times New Roman" w:hAnsi="Times New Roman"/>
          <w:b/>
          <w:color w:val="000000"/>
          <w:szCs w:val="24"/>
        </w:rPr>
      </w:pPr>
    </w:p>
    <w:p>
      <w:pPr>
        <w:ind w:left="-86"/>
        <w:jc w:val="both"/>
        <w:rPr>
          <w:color w:val="000000"/>
        </w:rPr>
      </w:pPr>
      <w:r>
        <w:rPr>
          <w:rFonts w:eastAsia="宋体"/>
          <w:color w:val="000000"/>
        </w:rPr>
        <w:t>本公司為一家於中國註冊成立之股份有限公司，其H股及A股份別於聯交所及深圳證券交易所上市。本公司主要從事開發、製造及銷售化學原料藥、製劑以及化工產品。</w:t>
      </w:r>
    </w:p>
    <w:p>
      <w:pPr>
        <w:ind w:left="-86"/>
        <w:jc w:val="both"/>
        <w:rPr>
          <w:color w:val="000000"/>
        </w:rPr>
      </w:pPr>
    </w:p>
    <w:p>
      <w:pPr>
        <w:ind w:left="-86"/>
        <w:jc w:val="both"/>
        <w:rPr>
          <w:color w:val="000000"/>
        </w:rPr>
      </w:pPr>
      <w:r>
        <w:rPr>
          <w:rFonts w:eastAsia="宋体"/>
          <w:color w:val="000000"/>
        </w:rPr>
        <w:t>賣方為一家國有企業，主要從事投資控股多家中國內地及香港交易所上市或未上市的公司</w:t>
      </w:r>
      <w:r>
        <w:rPr>
          <w:rFonts w:hint="eastAsia" w:eastAsia="宋体"/>
        </w:rPr>
        <w:t>，</w:t>
      </w:r>
      <w:r>
        <w:rPr>
          <w:rFonts w:hint="eastAsia" w:eastAsia="宋体"/>
          <w:color w:val="000000"/>
        </w:rPr>
        <w:t>且</w:t>
      </w:r>
      <w:r>
        <w:rPr>
          <w:rFonts w:eastAsia="宋体"/>
          <w:color w:val="000000"/>
        </w:rPr>
        <w:t>由賣方全資附屬公司</w:t>
      </w:r>
      <w:r>
        <w:rPr>
          <w:rFonts w:hint="eastAsia" w:eastAsia="宋体"/>
        </w:rPr>
        <w:t>山東新華</w:t>
      </w:r>
      <w:r>
        <w:rPr>
          <w:rFonts w:eastAsia="宋体"/>
        </w:rPr>
        <w:t>醫</w:t>
      </w:r>
      <w:r>
        <w:rPr>
          <w:rFonts w:hint="eastAsia" w:eastAsia="宋体"/>
        </w:rPr>
        <w:t>藥</w:t>
      </w:r>
      <w:r>
        <w:rPr>
          <w:rFonts w:eastAsia="宋体"/>
        </w:rPr>
        <w:t>集團以代價零元轉讓其</w:t>
      </w:r>
      <w:r>
        <w:rPr>
          <w:rFonts w:hint="eastAsia" w:ascii="Times New Roman" w:hAnsi="Times New Roman" w:eastAsia="宋体"/>
        </w:rPr>
        <w:t>於</w:t>
      </w:r>
      <w:r>
        <w:rPr>
          <w:rFonts w:eastAsia="宋体"/>
        </w:rPr>
        <w:t>新達製藥</w:t>
      </w:r>
      <w:r>
        <w:rPr>
          <w:rFonts w:hint="eastAsia" w:ascii="Times New Roman" w:hAnsi="Times New Roman" w:eastAsia="宋体"/>
        </w:rPr>
        <w:t>的</w:t>
      </w:r>
      <w:r>
        <w:rPr>
          <w:rFonts w:eastAsia="宋体"/>
        </w:rPr>
        <w:t>權益</w:t>
      </w:r>
      <w:r>
        <w:rPr>
          <w:rFonts w:hint="eastAsia" w:eastAsia="宋体"/>
        </w:rPr>
        <w:t>，以</w:t>
      </w:r>
      <w:r>
        <w:rPr>
          <w:rFonts w:eastAsia="宋体"/>
        </w:rPr>
        <w:t>作為</w:t>
      </w:r>
      <w:r>
        <w:rPr>
          <w:rFonts w:hint="eastAsia" w:ascii="Times New Roman" w:hAnsi="Times New Roman" w:eastAsia="宋体"/>
        </w:rPr>
        <w:t>實</w:t>
      </w:r>
      <w:r>
        <w:rPr>
          <w:rFonts w:hint="eastAsia" w:eastAsia="宋体"/>
        </w:rPr>
        <w:t>施控股股東集團內部</w:t>
      </w:r>
      <w:r>
        <w:rPr>
          <w:rFonts w:eastAsia="宋体"/>
        </w:rPr>
        <w:t>重組</w:t>
      </w:r>
      <w:r>
        <w:rPr>
          <w:rFonts w:hint="eastAsia" w:eastAsia="宋体"/>
        </w:rPr>
        <w:t>的</w:t>
      </w:r>
      <w:r>
        <w:rPr>
          <w:rFonts w:eastAsia="宋体"/>
        </w:rPr>
        <w:t>一部分</w:t>
      </w:r>
      <w:r>
        <w:rPr>
          <w:rFonts w:hint="eastAsia" w:eastAsia="宋体"/>
        </w:rPr>
        <w:t>。</w:t>
      </w:r>
    </w:p>
    <w:p>
      <w:pPr>
        <w:ind w:left="-86"/>
        <w:jc w:val="both"/>
        <w:rPr>
          <w:color w:val="000000"/>
        </w:rPr>
      </w:pPr>
    </w:p>
    <w:p>
      <w:pPr>
        <w:pStyle w:val="4"/>
        <w:snapToGrid w:val="0"/>
        <w:ind w:left="-86"/>
        <w:jc w:val="both"/>
        <w:rPr>
          <w:rFonts w:ascii="Times New Roman" w:hAnsi="Times New Roman"/>
          <w:color w:val="000000"/>
          <w:szCs w:val="24"/>
        </w:rPr>
      </w:pPr>
    </w:p>
    <w:p>
      <w:pPr>
        <w:autoSpaceDE w:val="0"/>
        <w:autoSpaceDN w:val="0"/>
        <w:adjustRightInd w:val="0"/>
        <w:rPr>
          <w:color w:val="000000"/>
          <w:kern w:val="0"/>
        </w:rPr>
      </w:pPr>
      <w:r>
        <w:rPr>
          <w:rFonts w:eastAsia="宋体"/>
          <w:color w:val="000000"/>
          <w:kern w:val="0"/>
        </w:rPr>
        <w:t>新達製藥為一家於中國註冊成立之股份有限公司，主營業務包括生產及銷售片劑、硬膠囊劑、顆粒劑、乾混懸劑、原料藥及凍乾粉針劑。根據新達製藥的審計報告，新達製藥經審核財務數據如下：</w:t>
      </w:r>
    </w:p>
    <w:p>
      <w:pPr>
        <w:pStyle w:val="4"/>
        <w:snapToGrid w:val="0"/>
        <w:ind w:left="-90"/>
        <w:jc w:val="both"/>
        <w:rPr>
          <w:rFonts w:ascii="Times New Roman" w:hAnsi="Times New Roman"/>
          <w:color w:val="000000"/>
          <w:szCs w:val="24"/>
        </w:rPr>
      </w:pPr>
    </w:p>
    <w:p>
      <w:pPr>
        <w:pStyle w:val="4"/>
        <w:snapToGrid w:val="0"/>
        <w:jc w:val="both"/>
        <w:rPr>
          <w:rFonts w:ascii="Times New Roman" w:hAnsi="Times New Roman"/>
          <w:i/>
          <w:color w:val="000000"/>
          <w:szCs w:val="24"/>
        </w:rPr>
      </w:pPr>
      <w:r>
        <w:rPr>
          <w:rFonts w:ascii="Times New Roman" w:hAnsi="Times New Roman" w:eastAsia="宋体"/>
          <w:i/>
          <w:color w:val="000000"/>
          <w:szCs w:val="24"/>
        </w:rPr>
        <w:t>（約整至人民幣萬元）</w:t>
      </w:r>
    </w:p>
    <w:p>
      <w:pPr>
        <w:pStyle w:val="4"/>
        <w:snapToGrid w:val="0"/>
        <w:jc w:val="both"/>
        <w:rPr>
          <w:rFonts w:ascii="Times New Roman" w:hAnsi="Times New Roman"/>
          <w:i/>
          <w:color w:val="000000"/>
          <w:szCs w:val="24"/>
        </w:rPr>
      </w:pPr>
    </w:p>
    <w:tbl>
      <w:tblPr>
        <w:tblW w:w="98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34"/>
        <w:gridCol w:w="1176"/>
        <w:gridCol w:w="1057"/>
        <w:gridCol w:w="1200"/>
        <w:gridCol w:w="1165"/>
        <w:gridCol w:w="762"/>
        <w:gridCol w:w="1006"/>
        <w:gridCol w:w="97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13" w:hRule="atLeast"/>
        </w:trPr>
        <w:tc>
          <w:tcPr>
            <w:tcW w:w="1434" w:type="dxa"/>
            <w:tcBorders>
              <w:tl2br w:val="single" w:color="auto" w:sz="4" w:space="0"/>
            </w:tcBorders>
            <w:vAlign w:val="top"/>
          </w:tcPr>
          <w:p>
            <w:pPr>
              <w:pStyle w:val="8"/>
              <w:tabs>
                <w:tab w:val="left" w:pos="615"/>
              </w:tabs>
              <w:spacing w:before="120" w:line="360" w:lineRule="exact"/>
              <w:ind w:left="600" w:hanging="120" w:hangingChars="50"/>
              <w:jc w:val="center"/>
              <w:rPr>
                <w:color w:val="000000"/>
                <w:sz w:val="24"/>
                <w:szCs w:val="24"/>
                <w:lang w:eastAsia="zh-TW"/>
              </w:rPr>
            </w:pPr>
          </w:p>
          <w:p>
            <w:pPr>
              <w:pStyle w:val="8"/>
              <w:tabs>
                <w:tab w:val="left" w:pos="615"/>
              </w:tabs>
              <w:spacing w:before="120" w:line="360" w:lineRule="exact"/>
              <w:ind w:left="480"/>
              <w:jc w:val="center"/>
              <w:rPr>
                <w:color w:val="000000"/>
                <w:sz w:val="24"/>
                <w:szCs w:val="24"/>
              </w:rPr>
            </w:pPr>
            <w:r>
              <w:rPr>
                <w:rFonts w:eastAsia="宋体"/>
                <w:color w:val="000000"/>
                <w:kern w:val="0"/>
                <w:sz w:val="24"/>
                <w:szCs w:val="24"/>
              </w:rPr>
              <w:t>項目</w:t>
            </w:r>
          </w:p>
          <w:p>
            <w:pPr>
              <w:jc w:val="center"/>
              <w:rPr>
                <w:color w:val="000000"/>
              </w:rPr>
            </w:pPr>
          </w:p>
          <w:p>
            <w:pPr>
              <w:jc w:val="center"/>
              <w:rPr>
                <w:color w:val="000000"/>
              </w:rPr>
            </w:pPr>
          </w:p>
          <w:p>
            <w:pPr>
              <w:jc w:val="center"/>
              <w:rPr>
                <w:color w:val="000000"/>
              </w:rPr>
            </w:pPr>
          </w:p>
          <w:p>
            <w:pPr>
              <w:jc w:val="center"/>
              <w:rPr>
                <w:color w:val="000000"/>
              </w:rPr>
            </w:pPr>
            <w:r>
              <w:rPr>
                <w:rFonts w:eastAsia="宋体"/>
                <w:color w:val="000000"/>
                <w:kern w:val="0"/>
                <w:lang w:eastAsia="zh-CN"/>
              </w:rPr>
              <w:t>期間</w:t>
            </w:r>
          </w:p>
        </w:tc>
        <w:tc>
          <w:tcPr>
            <w:tcW w:w="1176" w:type="dxa"/>
            <w:vAlign w:val="top"/>
          </w:tcPr>
          <w:p>
            <w:pPr>
              <w:pStyle w:val="8"/>
              <w:spacing w:before="120" w:line="360" w:lineRule="exact"/>
              <w:ind w:left="-10" w:leftChars="-4"/>
              <w:jc w:val="center"/>
              <w:rPr>
                <w:color w:val="000000"/>
                <w:sz w:val="24"/>
                <w:szCs w:val="24"/>
              </w:rPr>
            </w:pPr>
            <w:r>
              <w:rPr>
                <w:rFonts w:eastAsia="宋体"/>
                <w:color w:val="000000"/>
                <w:kern w:val="0"/>
                <w:sz w:val="24"/>
                <w:szCs w:val="24"/>
              </w:rPr>
              <w:t>總資產</w:t>
            </w:r>
          </w:p>
        </w:tc>
        <w:tc>
          <w:tcPr>
            <w:tcW w:w="1057" w:type="dxa"/>
            <w:vAlign w:val="top"/>
          </w:tcPr>
          <w:p>
            <w:pPr>
              <w:pStyle w:val="8"/>
              <w:spacing w:before="120" w:line="360" w:lineRule="exact"/>
              <w:ind w:left="-10" w:leftChars="-4"/>
              <w:jc w:val="center"/>
              <w:rPr>
                <w:color w:val="000000"/>
                <w:sz w:val="24"/>
                <w:szCs w:val="24"/>
              </w:rPr>
            </w:pPr>
            <w:r>
              <w:rPr>
                <w:rFonts w:eastAsia="宋体"/>
                <w:color w:val="000000"/>
                <w:kern w:val="0"/>
                <w:sz w:val="24"/>
                <w:szCs w:val="24"/>
              </w:rPr>
              <w:t>總負債</w:t>
            </w:r>
          </w:p>
        </w:tc>
        <w:tc>
          <w:tcPr>
            <w:tcW w:w="1200" w:type="dxa"/>
            <w:vAlign w:val="top"/>
          </w:tcPr>
          <w:p>
            <w:pPr>
              <w:pStyle w:val="8"/>
              <w:spacing w:before="120" w:line="360" w:lineRule="exact"/>
              <w:ind w:left="-10" w:leftChars="-4"/>
              <w:jc w:val="center"/>
              <w:rPr>
                <w:color w:val="000000"/>
                <w:sz w:val="24"/>
                <w:szCs w:val="24"/>
              </w:rPr>
            </w:pPr>
            <w:r>
              <w:rPr>
                <w:rFonts w:eastAsia="宋体"/>
                <w:color w:val="000000"/>
                <w:sz w:val="24"/>
                <w:szCs w:val="24"/>
              </w:rPr>
              <w:t>所有者權益</w:t>
            </w:r>
          </w:p>
        </w:tc>
        <w:tc>
          <w:tcPr>
            <w:tcW w:w="1165" w:type="dxa"/>
            <w:vAlign w:val="top"/>
          </w:tcPr>
          <w:p>
            <w:pPr>
              <w:pStyle w:val="8"/>
              <w:spacing w:before="120" w:line="360" w:lineRule="exact"/>
              <w:ind w:left="-10" w:leftChars="-4"/>
              <w:jc w:val="center"/>
              <w:rPr>
                <w:color w:val="000000"/>
                <w:sz w:val="24"/>
                <w:szCs w:val="24"/>
              </w:rPr>
            </w:pPr>
            <w:r>
              <w:rPr>
                <w:rFonts w:eastAsia="宋体"/>
                <w:color w:val="000000"/>
                <w:sz w:val="24"/>
                <w:szCs w:val="24"/>
              </w:rPr>
              <w:t>營業收入</w:t>
            </w:r>
          </w:p>
        </w:tc>
        <w:tc>
          <w:tcPr>
            <w:tcW w:w="762" w:type="dxa"/>
            <w:vAlign w:val="top"/>
          </w:tcPr>
          <w:p>
            <w:pPr>
              <w:pStyle w:val="8"/>
              <w:spacing w:before="120" w:line="360" w:lineRule="exact"/>
              <w:ind w:left="-10" w:leftChars="-4"/>
              <w:jc w:val="center"/>
              <w:rPr>
                <w:color w:val="000000"/>
                <w:sz w:val="24"/>
                <w:szCs w:val="24"/>
              </w:rPr>
            </w:pPr>
            <w:r>
              <w:rPr>
                <w:rFonts w:eastAsia="宋体"/>
                <w:color w:val="000000"/>
                <w:sz w:val="24"/>
                <w:szCs w:val="24"/>
              </w:rPr>
              <w:t>營業利潤</w:t>
            </w:r>
          </w:p>
        </w:tc>
        <w:tc>
          <w:tcPr>
            <w:tcW w:w="1006" w:type="dxa"/>
            <w:vAlign w:val="top"/>
          </w:tcPr>
          <w:p>
            <w:pPr>
              <w:pStyle w:val="8"/>
              <w:spacing w:before="120" w:line="360" w:lineRule="exact"/>
              <w:ind w:left="-10" w:leftChars="-4"/>
              <w:jc w:val="center"/>
              <w:rPr>
                <w:color w:val="000000"/>
                <w:kern w:val="0"/>
                <w:sz w:val="24"/>
                <w:szCs w:val="24"/>
                <w:lang w:eastAsia="zh-TW"/>
              </w:rPr>
            </w:pPr>
            <w:r>
              <w:rPr>
                <w:rFonts w:hint="eastAsia" w:eastAsia="宋体"/>
                <w:color w:val="000000"/>
                <w:kern w:val="0"/>
                <w:sz w:val="24"/>
                <w:szCs w:val="24"/>
                <w:lang w:eastAsia="zh-TW"/>
              </w:rPr>
              <w:t>淨利潤</w:t>
            </w:r>
            <w:r>
              <w:rPr>
                <w:rFonts w:eastAsia="宋体"/>
                <w:color w:val="000000"/>
                <w:kern w:val="0"/>
                <w:sz w:val="24"/>
                <w:szCs w:val="24"/>
                <w:lang w:eastAsia="zh-TW"/>
              </w:rPr>
              <w:t>（</w:t>
            </w:r>
            <w:r>
              <w:rPr>
                <w:rFonts w:hint="eastAsia" w:eastAsia="宋体"/>
                <w:color w:val="000000"/>
                <w:kern w:val="0"/>
                <w:sz w:val="24"/>
                <w:szCs w:val="24"/>
                <w:lang w:eastAsia="zh-TW"/>
              </w:rPr>
              <w:t>除所得稅前</w:t>
            </w:r>
            <w:r>
              <w:rPr>
                <w:rFonts w:eastAsia="宋体"/>
                <w:color w:val="000000"/>
                <w:kern w:val="0"/>
                <w:sz w:val="24"/>
                <w:szCs w:val="24"/>
                <w:lang w:eastAsia="zh-TW"/>
              </w:rPr>
              <w:t>）</w:t>
            </w:r>
          </w:p>
        </w:tc>
        <w:tc>
          <w:tcPr>
            <w:tcW w:w="974" w:type="dxa"/>
            <w:vAlign w:val="top"/>
          </w:tcPr>
          <w:p>
            <w:pPr>
              <w:pStyle w:val="8"/>
              <w:spacing w:before="120" w:line="360" w:lineRule="exact"/>
              <w:ind w:left="-10" w:leftChars="-4"/>
              <w:jc w:val="center"/>
              <w:rPr>
                <w:color w:val="000000"/>
                <w:sz w:val="24"/>
                <w:szCs w:val="24"/>
                <w:lang w:eastAsia="zh-TW"/>
              </w:rPr>
            </w:pPr>
            <w:r>
              <w:rPr>
                <w:rFonts w:eastAsia="宋体"/>
                <w:color w:val="000000"/>
                <w:kern w:val="0"/>
                <w:sz w:val="24"/>
                <w:szCs w:val="24"/>
                <w:lang w:eastAsia="zh-TW"/>
              </w:rPr>
              <w:t>淨利潤</w:t>
            </w:r>
            <w:r>
              <w:rPr>
                <w:rFonts w:hint="eastAsia" w:eastAsia="宋体"/>
                <w:color w:val="000000"/>
                <w:kern w:val="0"/>
                <w:sz w:val="24"/>
                <w:szCs w:val="24"/>
                <w:lang w:eastAsia="zh-TW"/>
              </w:rPr>
              <w:t>（除所得稅後）</w:t>
            </w:r>
          </w:p>
        </w:tc>
        <w:tc>
          <w:tcPr>
            <w:tcW w:w="1120" w:type="dxa"/>
            <w:vAlign w:val="top"/>
          </w:tcPr>
          <w:p>
            <w:pPr>
              <w:autoSpaceDE w:val="0"/>
              <w:autoSpaceDN w:val="0"/>
              <w:adjustRightInd w:val="0"/>
              <w:rPr>
                <w:color w:val="000000"/>
              </w:rPr>
            </w:pPr>
            <w:r>
              <w:rPr>
                <w:rFonts w:eastAsia="宋体"/>
                <w:color w:val="000000"/>
                <w:kern w:val="0"/>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autoSpaceDE w:val="0"/>
              <w:autoSpaceDN w:val="0"/>
              <w:adjustRightInd w:val="0"/>
              <w:rPr>
                <w:color w:val="000000"/>
              </w:rPr>
            </w:pPr>
            <w:r>
              <w:rPr>
                <w:rFonts w:eastAsia="宋体"/>
                <w:color w:val="000000"/>
                <w:kern w:val="0"/>
                <w:lang w:eastAsia="zh-CN"/>
              </w:rPr>
              <w:t>截至2015 年12</w:t>
            </w:r>
            <w:r>
              <w:rPr>
                <w:rFonts w:eastAsia="宋体"/>
                <w:color w:val="000000"/>
                <w:kern w:val="0"/>
              </w:rPr>
              <w:t>月31 日止年度</w:t>
            </w:r>
          </w:p>
        </w:tc>
        <w:tc>
          <w:tcPr>
            <w:tcW w:w="117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19,729</w:t>
            </w:r>
          </w:p>
        </w:tc>
        <w:tc>
          <w:tcPr>
            <w:tcW w:w="1057"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5,903</w:t>
            </w:r>
          </w:p>
        </w:tc>
        <w:tc>
          <w:tcPr>
            <w:tcW w:w="120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13,826</w:t>
            </w:r>
          </w:p>
        </w:tc>
        <w:tc>
          <w:tcPr>
            <w:tcW w:w="1165"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22,190</w:t>
            </w:r>
          </w:p>
        </w:tc>
        <w:tc>
          <w:tcPr>
            <w:tcW w:w="762"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2,226</w:t>
            </w:r>
          </w:p>
        </w:tc>
        <w:tc>
          <w:tcPr>
            <w:tcW w:w="100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2,132</w:t>
            </w:r>
          </w:p>
        </w:tc>
        <w:tc>
          <w:tcPr>
            <w:tcW w:w="974"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1,785</w:t>
            </w:r>
          </w:p>
        </w:tc>
        <w:tc>
          <w:tcPr>
            <w:tcW w:w="112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autoSpaceDE w:val="0"/>
              <w:autoSpaceDN w:val="0"/>
              <w:adjustRightInd w:val="0"/>
              <w:rPr>
                <w:color w:val="000000"/>
              </w:rPr>
            </w:pPr>
            <w:r>
              <w:rPr>
                <w:rFonts w:eastAsia="宋体"/>
                <w:color w:val="000000"/>
                <w:kern w:val="0"/>
                <w:lang w:eastAsia="zh-CN"/>
              </w:rPr>
              <w:t>截至2016 年12</w:t>
            </w:r>
            <w:r>
              <w:rPr>
                <w:rFonts w:eastAsia="宋体"/>
                <w:color w:val="000000"/>
                <w:kern w:val="0"/>
              </w:rPr>
              <w:t>月31 日止年度</w:t>
            </w:r>
          </w:p>
        </w:tc>
        <w:tc>
          <w:tcPr>
            <w:tcW w:w="117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19,898</w:t>
            </w:r>
          </w:p>
        </w:tc>
        <w:tc>
          <w:tcPr>
            <w:tcW w:w="1057"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8,110</w:t>
            </w:r>
          </w:p>
        </w:tc>
        <w:tc>
          <w:tcPr>
            <w:tcW w:w="120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11,788</w:t>
            </w:r>
          </w:p>
        </w:tc>
        <w:tc>
          <w:tcPr>
            <w:tcW w:w="1165"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24,979</w:t>
            </w:r>
          </w:p>
        </w:tc>
        <w:tc>
          <w:tcPr>
            <w:tcW w:w="762"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2,063</w:t>
            </w:r>
          </w:p>
        </w:tc>
        <w:tc>
          <w:tcPr>
            <w:tcW w:w="100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1,743</w:t>
            </w:r>
          </w:p>
        </w:tc>
        <w:tc>
          <w:tcPr>
            <w:tcW w:w="974"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1,451</w:t>
            </w:r>
          </w:p>
        </w:tc>
        <w:tc>
          <w:tcPr>
            <w:tcW w:w="112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autoSpaceDE w:val="0"/>
              <w:autoSpaceDN w:val="0"/>
              <w:adjustRightInd w:val="0"/>
              <w:rPr>
                <w:color w:val="000000"/>
              </w:rPr>
            </w:pPr>
            <w:r>
              <w:rPr>
                <w:rFonts w:eastAsia="宋体"/>
                <w:color w:val="000000"/>
                <w:kern w:val="0"/>
                <w:lang w:eastAsia="zh-CN"/>
              </w:rPr>
              <w:t>截至2017 年12</w:t>
            </w:r>
            <w:r>
              <w:rPr>
                <w:rFonts w:eastAsia="宋体"/>
                <w:color w:val="000000"/>
                <w:kern w:val="0"/>
              </w:rPr>
              <w:t>月31 日止年度</w:t>
            </w:r>
          </w:p>
        </w:tc>
        <w:tc>
          <w:tcPr>
            <w:tcW w:w="117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23,973</w:t>
            </w:r>
          </w:p>
        </w:tc>
        <w:tc>
          <w:tcPr>
            <w:tcW w:w="1057"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10,533</w:t>
            </w:r>
          </w:p>
        </w:tc>
        <w:tc>
          <w:tcPr>
            <w:tcW w:w="120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13,440</w:t>
            </w:r>
          </w:p>
        </w:tc>
        <w:tc>
          <w:tcPr>
            <w:tcW w:w="1165"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27,884</w:t>
            </w:r>
          </w:p>
        </w:tc>
        <w:tc>
          <w:tcPr>
            <w:tcW w:w="762"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1,930</w:t>
            </w:r>
          </w:p>
        </w:tc>
        <w:tc>
          <w:tcPr>
            <w:tcW w:w="100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1,862</w:t>
            </w:r>
          </w:p>
        </w:tc>
        <w:tc>
          <w:tcPr>
            <w:tcW w:w="974"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1,652</w:t>
            </w:r>
          </w:p>
        </w:tc>
        <w:tc>
          <w:tcPr>
            <w:tcW w:w="112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34" w:type="dxa"/>
            <w:vAlign w:val="top"/>
          </w:tcPr>
          <w:p>
            <w:pPr>
              <w:autoSpaceDE w:val="0"/>
              <w:autoSpaceDN w:val="0"/>
              <w:adjustRightInd w:val="0"/>
              <w:rPr>
                <w:color w:val="000000"/>
              </w:rPr>
            </w:pPr>
            <w:r>
              <w:rPr>
                <w:rFonts w:eastAsia="宋体"/>
                <w:color w:val="000000"/>
                <w:kern w:val="0"/>
                <w:lang w:eastAsia="zh-CN"/>
              </w:rPr>
              <w:t>截至2018 年2</w:t>
            </w:r>
            <w:r>
              <w:rPr>
                <w:rFonts w:eastAsia="宋体"/>
                <w:color w:val="000000"/>
                <w:kern w:val="0"/>
              </w:rPr>
              <w:t>月28 日止兩個月</w:t>
            </w:r>
          </w:p>
        </w:tc>
        <w:tc>
          <w:tcPr>
            <w:tcW w:w="117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23,991</w:t>
            </w:r>
          </w:p>
        </w:tc>
        <w:tc>
          <w:tcPr>
            <w:tcW w:w="1057"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13,435</w:t>
            </w:r>
          </w:p>
        </w:tc>
        <w:tc>
          <w:tcPr>
            <w:tcW w:w="120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10,556</w:t>
            </w:r>
          </w:p>
        </w:tc>
        <w:tc>
          <w:tcPr>
            <w:tcW w:w="1165"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7,752</w:t>
            </w:r>
          </w:p>
        </w:tc>
        <w:tc>
          <w:tcPr>
            <w:tcW w:w="762"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308</w:t>
            </w:r>
          </w:p>
        </w:tc>
        <w:tc>
          <w:tcPr>
            <w:tcW w:w="1006"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306</w:t>
            </w:r>
          </w:p>
        </w:tc>
        <w:tc>
          <w:tcPr>
            <w:tcW w:w="974"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259</w:t>
            </w:r>
          </w:p>
        </w:tc>
        <w:tc>
          <w:tcPr>
            <w:tcW w:w="1120" w:type="dxa"/>
            <w:vAlign w:val="top"/>
          </w:tcPr>
          <w:p>
            <w:pPr>
              <w:pStyle w:val="8"/>
              <w:spacing w:before="120" w:line="360" w:lineRule="exact"/>
              <w:ind w:left="0" w:leftChars="0"/>
              <w:jc w:val="right"/>
              <w:rPr>
                <w:rFonts w:eastAsia="宋体"/>
                <w:color w:val="000000"/>
                <w:sz w:val="24"/>
                <w:szCs w:val="24"/>
              </w:rPr>
            </w:pPr>
            <w:r>
              <w:rPr>
                <w:rFonts w:eastAsia="宋体"/>
                <w:color w:val="000000"/>
                <w:sz w:val="24"/>
                <w:szCs w:val="24"/>
              </w:rPr>
              <w:t>-856</w:t>
            </w:r>
          </w:p>
        </w:tc>
      </w:tr>
    </w:tbl>
    <w:p>
      <w:pPr>
        <w:pStyle w:val="4"/>
        <w:snapToGrid w:val="0"/>
        <w:jc w:val="both"/>
        <w:rPr>
          <w:rFonts w:ascii="Times New Roman" w:hAnsi="Times New Roman"/>
          <w:color w:val="000000"/>
          <w:szCs w:val="24"/>
        </w:rPr>
      </w:pPr>
    </w:p>
    <w:p>
      <w:pPr>
        <w:pStyle w:val="4"/>
        <w:snapToGrid w:val="0"/>
        <w:jc w:val="both"/>
        <w:rPr>
          <w:rFonts w:ascii="Times New Roman" w:hAnsi="Times New Roman"/>
          <w:color w:val="000000"/>
          <w:szCs w:val="24"/>
        </w:rPr>
      </w:pPr>
      <w:r>
        <w:rPr>
          <w:rFonts w:hint="eastAsia" w:ascii="Times New Roman" w:hAnsi="Times New Roman" w:eastAsia="宋体"/>
          <w:color w:val="000000"/>
          <w:szCs w:val="24"/>
        </w:rPr>
        <w:t>新達製藥於新達收購前為本公司擁有60%股權的附屬公司，並已於本集團經審核合併賬目中入賬及合併。代價減保證金將由本集團以內部資源作出一次性付款。</w:t>
      </w:r>
    </w:p>
    <w:p>
      <w:pPr>
        <w:pStyle w:val="4"/>
        <w:snapToGrid w:val="0"/>
        <w:jc w:val="both"/>
        <w:rPr>
          <w:rFonts w:ascii="Times New Roman" w:hAnsi="Times New Roman"/>
          <w:color w:val="000000"/>
          <w:szCs w:val="24"/>
        </w:rPr>
      </w:pPr>
    </w:p>
    <w:p>
      <w:pPr>
        <w:pStyle w:val="4"/>
        <w:snapToGrid w:val="0"/>
        <w:ind w:left="360"/>
        <w:jc w:val="both"/>
        <w:rPr>
          <w:rFonts w:ascii="Times New Roman" w:hAnsi="Times New Roman"/>
          <w:color w:val="000000"/>
          <w:szCs w:val="24"/>
        </w:rPr>
      </w:pPr>
    </w:p>
    <w:p>
      <w:pPr>
        <w:pStyle w:val="15"/>
        <w:ind w:left="-90"/>
        <w:rPr>
          <w:b/>
          <w:color w:val="000000"/>
        </w:rPr>
      </w:pPr>
      <w:r>
        <w:rPr>
          <w:rFonts w:eastAsia="宋体"/>
          <w:b/>
          <w:color w:val="000000"/>
        </w:rPr>
        <w:t>上市規則涵義</w:t>
      </w:r>
    </w:p>
    <w:p>
      <w:pPr>
        <w:pStyle w:val="15"/>
        <w:ind w:left="-90"/>
        <w:rPr>
          <w:b/>
          <w:color w:val="000000"/>
        </w:rPr>
      </w:pPr>
    </w:p>
    <w:p>
      <w:pPr>
        <w:pStyle w:val="4"/>
        <w:snapToGrid w:val="0"/>
        <w:ind w:left="-90"/>
        <w:jc w:val="both"/>
        <w:rPr>
          <w:rFonts w:ascii="Times New Roman" w:hAnsi="Times New Roman"/>
          <w:color w:val="000000"/>
          <w:szCs w:val="24"/>
        </w:rPr>
      </w:pPr>
      <w:r>
        <w:rPr>
          <w:rFonts w:ascii="Times New Roman" w:hAnsi="Times New Roman" w:eastAsia="宋体"/>
          <w:color w:val="000000"/>
          <w:szCs w:val="24"/>
        </w:rPr>
        <w:t xml:space="preserve">截至本公告日期，(i)新達製藥由賣方及本公司分別擁有其40%及60%之股權，為本公司之附屬公司；及(ii)賣方為本公司控股股東。因此，根據上市規則第14A 章，新達收購構成本公司關連交易。 </w:t>
      </w:r>
    </w:p>
    <w:p>
      <w:pPr>
        <w:pStyle w:val="4"/>
        <w:snapToGrid w:val="0"/>
        <w:ind w:left="-90"/>
        <w:jc w:val="both"/>
        <w:rPr>
          <w:rFonts w:ascii="Times New Roman" w:hAnsi="Times New Roman"/>
          <w:color w:val="000000"/>
          <w:szCs w:val="24"/>
        </w:rPr>
      </w:pPr>
    </w:p>
    <w:p>
      <w:pPr>
        <w:pStyle w:val="4"/>
        <w:snapToGrid w:val="0"/>
        <w:ind w:left="-90"/>
        <w:jc w:val="both"/>
        <w:rPr>
          <w:rFonts w:ascii="Times New Roman" w:hAnsi="Times New Roman"/>
          <w:color w:val="000000"/>
          <w:kern w:val="0"/>
          <w:szCs w:val="24"/>
        </w:rPr>
      </w:pPr>
      <w:r>
        <w:rPr>
          <w:rFonts w:ascii="Times New Roman" w:hAnsi="Times New Roman" w:eastAsia="宋体"/>
          <w:color w:val="000000"/>
          <w:kern w:val="0"/>
          <w:szCs w:val="24"/>
        </w:rPr>
        <w:t>由於所有適用百分比率均高於0.1%及低於5%，新達收購符合上市規則第14A 章項下申報及公告規定但豁免於通函、獨立財務意見及交無利益關係股東審批的規定。</w:t>
      </w:r>
    </w:p>
    <w:p>
      <w:pPr>
        <w:pStyle w:val="4"/>
        <w:snapToGrid w:val="0"/>
        <w:ind w:left="-90"/>
        <w:jc w:val="both"/>
        <w:rPr>
          <w:rFonts w:ascii="Times New Roman" w:hAnsi="Times New Roman"/>
          <w:color w:val="000000"/>
          <w:kern w:val="0"/>
          <w:szCs w:val="24"/>
        </w:rPr>
      </w:pPr>
    </w:p>
    <w:p>
      <w:pPr>
        <w:pStyle w:val="4"/>
        <w:snapToGrid w:val="0"/>
        <w:ind w:left="-90"/>
        <w:jc w:val="both"/>
        <w:rPr>
          <w:rFonts w:ascii="Times New Roman" w:hAnsi="Times New Roman" w:eastAsia="宋体"/>
          <w:color w:val="000000"/>
          <w:kern w:val="0"/>
          <w:szCs w:val="24"/>
        </w:rPr>
      </w:pPr>
      <w:r>
        <w:rPr>
          <w:rFonts w:hint="eastAsia" w:ascii="Times New Roman" w:hAnsi="Times New Roman" w:eastAsia="宋体"/>
          <w:color w:val="000000"/>
          <w:kern w:val="0"/>
          <w:szCs w:val="24"/>
        </w:rPr>
        <w:t>專業</w:t>
      </w:r>
      <w:r>
        <w:rPr>
          <w:rFonts w:ascii="Times New Roman" w:hAnsi="Times New Roman" w:eastAsia="宋体"/>
          <w:color w:val="000000"/>
          <w:kern w:val="0"/>
          <w:szCs w:val="24"/>
        </w:rPr>
        <w:t>人士及同意書</w:t>
      </w:r>
    </w:p>
    <w:p>
      <w:pPr>
        <w:pStyle w:val="4"/>
        <w:snapToGrid w:val="0"/>
        <w:ind w:left="-90"/>
        <w:jc w:val="both"/>
        <w:rPr>
          <w:rFonts w:ascii="Times New Roman" w:hAnsi="Times New Roman" w:eastAsia="宋体"/>
          <w:color w:val="000000"/>
          <w:kern w:val="0"/>
          <w:szCs w:val="24"/>
        </w:rPr>
      </w:pPr>
    </w:p>
    <w:p>
      <w:pPr>
        <w:pStyle w:val="4"/>
        <w:snapToGrid w:val="0"/>
        <w:ind w:left="-90"/>
        <w:jc w:val="both"/>
        <w:rPr>
          <w:rFonts w:ascii="Times New Roman" w:hAnsi="Times New Roman" w:eastAsia="宋体"/>
          <w:color w:val="000000"/>
          <w:kern w:val="0"/>
          <w:szCs w:val="24"/>
        </w:rPr>
      </w:pPr>
      <w:r>
        <w:rPr>
          <w:rFonts w:hint="eastAsia" w:ascii="Times New Roman" w:hAnsi="Times New Roman" w:eastAsia="宋体"/>
          <w:color w:val="000000"/>
          <w:kern w:val="0"/>
          <w:szCs w:val="24"/>
        </w:rPr>
        <w:t>本公告</w:t>
      </w:r>
      <w:r>
        <w:rPr>
          <w:rFonts w:ascii="Times New Roman" w:hAnsi="Times New Roman" w:eastAsia="宋体"/>
          <w:color w:val="000000"/>
          <w:kern w:val="0"/>
          <w:szCs w:val="24"/>
        </w:rPr>
        <w:t>所包含</w:t>
      </w:r>
      <w:r>
        <w:rPr>
          <w:rFonts w:hint="eastAsia" w:ascii="Times New Roman" w:hAnsi="Times New Roman" w:eastAsia="宋体"/>
          <w:color w:val="000000"/>
          <w:kern w:val="0"/>
          <w:szCs w:val="24"/>
        </w:rPr>
        <w:t>其聲明</w:t>
      </w:r>
      <w:r>
        <w:rPr>
          <w:rFonts w:ascii="Times New Roman" w:hAnsi="Times New Roman" w:eastAsia="宋体"/>
          <w:color w:val="000000"/>
          <w:kern w:val="0"/>
          <w:szCs w:val="24"/>
        </w:rPr>
        <w:t>的</w:t>
      </w:r>
      <w:r>
        <w:rPr>
          <w:rFonts w:hint="eastAsia" w:ascii="Times New Roman" w:hAnsi="Times New Roman" w:eastAsia="宋体"/>
          <w:color w:val="000000"/>
          <w:kern w:val="0"/>
          <w:szCs w:val="24"/>
        </w:rPr>
        <w:t>專業人士</w:t>
      </w:r>
      <w:r>
        <w:rPr>
          <w:rFonts w:ascii="Times New Roman" w:hAnsi="Times New Roman" w:eastAsia="宋体"/>
          <w:color w:val="000000"/>
          <w:kern w:val="0"/>
          <w:szCs w:val="24"/>
        </w:rPr>
        <w:t>資格載列如下：</w:t>
      </w:r>
    </w:p>
    <w:p>
      <w:pPr>
        <w:pStyle w:val="4"/>
        <w:snapToGrid w:val="0"/>
        <w:jc w:val="both"/>
        <w:rPr>
          <w:rFonts w:ascii="Times New Roman" w:hAnsi="Times New Roman"/>
          <w:color w:val="000000"/>
          <w:szCs w:val="24"/>
        </w:rPr>
      </w:pPr>
    </w:p>
    <w:tbl>
      <w:tblPr>
        <w:tblW w:w="9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4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0" w:type="dxa"/>
            <w:vAlign w:val="top"/>
          </w:tcPr>
          <w:p>
            <w:pPr>
              <w:pStyle w:val="4"/>
              <w:snapToGrid w:val="0"/>
              <w:jc w:val="both"/>
              <w:rPr>
                <w:rFonts w:ascii="Times New Roman" w:hAnsi="Times New Roman" w:eastAsia="宋体"/>
                <w:i/>
                <w:color w:val="000000"/>
                <w:szCs w:val="24"/>
                <w:lang w:eastAsia="zh-CN"/>
              </w:rPr>
            </w:pPr>
            <w:r>
              <w:rPr>
                <w:rFonts w:hint="eastAsia" w:ascii="Times New Roman" w:hAnsi="Times New Roman" w:eastAsia="宋体"/>
                <w:i/>
                <w:color w:val="000000"/>
                <w:szCs w:val="24"/>
                <w:lang w:eastAsia="zh-CN"/>
              </w:rPr>
              <w:t>名稱</w:t>
            </w:r>
          </w:p>
        </w:tc>
        <w:tc>
          <w:tcPr>
            <w:tcW w:w="4540" w:type="dxa"/>
            <w:vAlign w:val="top"/>
          </w:tcPr>
          <w:p>
            <w:pPr>
              <w:pStyle w:val="4"/>
              <w:snapToGrid w:val="0"/>
              <w:jc w:val="both"/>
              <w:rPr>
                <w:rFonts w:ascii="Times New Roman" w:hAnsi="Times New Roman" w:eastAsia="宋体"/>
                <w:i/>
                <w:color w:val="000000"/>
                <w:szCs w:val="24"/>
                <w:lang w:eastAsia="zh-CN"/>
              </w:rPr>
            </w:pPr>
            <w:r>
              <w:rPr>
                <w:rFonts w:hint="eastAsia" w:ascii="Times New Roman" w:hAnsi="Times New Roman" w:eastAsia="宋体"/>
                <w:i/>
                <w:color w:val="000000"/>
                <w:szCs w:val="24"/>
                <w:lang w:eastAsia="zh-CN"/>
              </w:rPr>
              <w:t>資格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0" w:type="dxa"/>
            <w:vAlign w:val="top"/>
          </w:tcPr>
          <w:p>
            <w:pPr>
              <w:pStyle w:val="4"/>
              <w:snapToGrid w:val="0"/>
              <w:jc w:val="both"/>
              <w:rPr>
                <w:rFonts w:ascii="Times New Roman" w:hAnsi="Times New Roman" w:eastAsia="宋体"/>
                <w:color w:val="000000"/>
                <w:szCs w:val="24"/>
                <w:lang w:eastAsia="zh-CN"/>
              </w:rPr>
            </w:pPr>
            <w:r>
              <w:rPr>
                <w:rFonts w:hint="eastAsia" w:ascii="Times New Roman" w:hAnsi="Times New Roman" w:eastAsia="宋体"/>
                <w:color w:val="000000"/>
                <w:szCs w:val="24"/>
                <w:lang w:eastAsia="zh-CN"/>
              </w:rPr>
              <w:t>信永中和</w:t>
            </w:r>
          </w:p>
        </w:tc>
        <w:tc>
          <w:tcPr>
            <w:tcW w:w="4540" w:type="dxa"/>
            <w:vAlign w:val="top"/>
          </w:tcPr>
          <w:p>
            <w:pPr>
              <w:pStyle w:val="4"/>
              <w:snapToGrid w:val="0"/>
              <w:jc w:val="both"/>
              <w:rPr>
                <w:rFonts w:ascii="Times New Roman" w:hAnsi="Times New Roman" w:eastAsia="宋体"/>
                <w:color w:val="000000"/>
                <w:szCs w:val="24"/>
                <w:lang w:eastAsia="zh-CN"/>
              </w:rPr>
            </w:pPr>
            <w:r>
              <w:rPr>
                <w:rFonts w:hint="eastAsia" w:eastAsia="宋体"/>
              </w:rPr>
              <w:t>執業會計師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0" w:type="dxa"/>
            <w:vAlign w:val="top"/>
          </w:tcPr>
          <w:p>
            <w:pPr>
              <w:pStyle w:val="4"/>
              <w:snapToGrid w:val="0"/>
              <w:jc w:val="both"/>
              <w:rPr>
                <w:rFonts w:ascii="Times New Roman" w:hAnsi="Times New Roman" w:eastAsia="宋体"/>
                <w:color w:val="000000"/>
                <w:szCs w:val="24"/>
              </w:rPr>
            </w:pPr>
            <w:r>
              <w:rPr>
                <w:rFonts w:hint="eastAsia" w:ascii="Times New Roman" w:hAnsi="Times New Roman" w:eastAsia="宋体"/>
                <w:color w:val="000000"/>
                <w:szCs w:val="24"/>
              </w:rPr>
              <w:t>山東天健興業資產評估</w:t>
            </w:r>
          </w:p>
        </w:tc>
        <w:tc>
          <w:tcPr>
            <w:tcW w:w="4540" w:type="dxa"/>
            <w:vAlign w:val="top"/>
          </w:tcPr>
          <w:p>
            <w:pPr>
              <w:pStyle w:val="4"/>
              <w:snapToGrid w:val="0"/>
              <w:jc w:val="both"/>
              <w:rPr>
                <w:rFonts w:ascii="Times New Roman" w:hAnsi="Times New Roman" w:eastAsia="宋体"/>
                <w:color w:val="000000"/>
                <w:szCs w:val="24"/>
                <w:lang w:eastAsia="zh-CN"/>
              </w:rPr>
            </w:pPr>
            <w:r>
              <w:rPr>
                <w:rFonts w:eastAsia="宋体"/>
              </w:rPr>
              <w:t>中國合資格</w:t>
            </w:r>
            <w:r>
              <w:rPr>
                <w:rFonts w:hint="eastAsia" w:eastAsia="宋体"/>
                <w:lang w:eastAsia="zh-CN"/>
              </w:rPr>
              <w:t>估值師</w:t>
            </w:r>
          </w:p>
        </w:tc>
      </w:tr>
    </w:tbl>
    <w:p>
      <w:pPr>
        <w:pStyle w:val="4"/>
        <w:snapToGrid w:val="0"/>
        <w:jc w:val="both"/>
        <w:rPr>
          <w:rFonts w:ascii="Times New Roman" w:hAnsi="Times New Roman"/>
          <w:color w:val="000000"/>
          <w:szCs w:val="24"/>
        </w:rPr>
      </w:pPr>
    </w:p>
    <w:p>
      <w:pPr>
        <w:pStyle w:val="4"/>
        <w:snapToGrid w:val="0"/>
        <w:jc w:val="both"/>
        <w:rPr>
          <w:rFonts w:ascii="Times New Roman" w:hAnsi="Times New Roman"/>
          <w:color w:val="000000"/>
          <w:szCs w:val="24"/>
        </w:rPr>
      </w:pPr>
    </w:p>
    <w:p>
      <w:pPr>
        <w:pStyle w:val="4"/>
        <w:snapToGrid w:val="0"/>
        <w:jc w:val="both"/>
        <w:rPr>
          <w:rFonts w:ascii="Times New Roman" w:hAnsi="Times New Roman" w:eastAsia="宋体"/>
          <w:color w:val="000000"/>
          <w:szCs w:val="24"/>
        </w:rPr>
      </w:pPr>
      <w:r>
        <w:rPr>
          <w:rFonts w:hint="eastAsia" w:ascii="Times New Roman" w:hAnsi="Times New Roman" w:eastAsia="宋体"/>
          <w:color w:val="000000"/>
          <w:szCs w:val="24"/>
        </w:rPr>
        <w:t>於本公告日期</w:t>
      </w:r>
      <w:r>
        <w:rPr>
          <w:rFonts w:ascii="Times New Roman" w:hAnsi="Times New Roman" w:eastAsia="宋体"/>
          <w:color w:val="000000"/>
          <w:szCs w:val="24"/>
        </w:rPr>
        <w:t>，上述專業人士</w:t>
      </w:r>
      <w:r>
        <w:rPr>
          <w:rFonts w:hint="eastAsia" w:ascii="Times New Roman" w:hAnsi="Times New Roman" w:eastAsia="宋体"/>
          <w:color w:val="000000"/>
          <w:szCs w:val="24"/>
        </w:rPr>
        <w:t>並無</w:t>
      </w:r>
      <w:r>
        <w:rPr>
          <w:rFonts w:ascii="Times New Roman" w:hAnsi="Times New Roman" w:eastAsia="宋体"/>
          <w:color w:val="000000"/>
          <w:szCs w:val="24"/>
        </w:rPr>
        <w:t>於</w:t>
      </w:r>
      <w:r>
        <w:rPr>
          <w:rFonts w:hint="eastAsia" w:ascii="Times New Roman" w:hAnsi="Times New Roman" w:eastAsia="宋体"/>
          <w:color w:val="000000"/>
          <w:szCs w:val="24"/>
        </w:rPr>
        <w:t>本集團成員公司的股本</w:t>
      </w:r>
      <w:r>
        <w:rPr>
          <w:rFonts w:ascii="Times New Roman" w:hAnsi="Times New Roman" w:eastAsia="宋体"/>
          <w:color w:val="000000"/>
          <w:szCs w:val="24"/>
        </w:rPr>
        <w:t>或</w:t>
      </w:r>
      <w:r>
        <w:rPr>
          <w:rFonts w:hint="eastAsia" w:ascii="Times New Roman" w:hAnsi="Times New Roman" w:eastAsia="宋体"/>
          <w:color w:val="000000"/>
          <w:szCs w:val="24"/>
        </w:rPr>
        <w:t>股權中</w:t>
      </w:r>
      <w:r>
        <w:rPr>
          <w:rFonts w:ascii="Times New Roman" w:hAnsi="Times New Roman" w:eastAsia="宋体"/>
          <w:color w:val="000000"/>
          <w:szCs w:val="24"/>
        </w:rPr>
        <w:t>擁有任何重大權益</w:t>
      </w:r>
      <w:r>
        <w:rPr>
          <w:rFonts w:hint="eastAsia" w:ascii="Times New Roman" w:hAnsi="Times New Roman" w:eastAsia="宋体"/>
          <w:color w:val="000000"/>
          <w:szCs w:val="24"/>
        </w:rPr>
        <w:t>或任何權利</w:t>
      </w:r>
      <w:r>
        <w:rPr>
          <w:rFonts w:eastAsia="宋体"/>
        </w:rPr>
        <w:t>（不論是否可依法強制執行）</w:t>
      </w:r>
      <w:r>
        <w:rPr>
          <w:rFonts w:hint="eastAsia" w:ascii="Times New Roman" w:hAnsi="Times New Roman" w:eastAsia="宋体"/>
          <w:color w:val="000000"/>
          <w:szCs w:val="24"/>
        </w:rPr>
        <w:t>以</w:t>
      </w:r>
      <w:r>
        <w:rPr>
          <w:rFonts w:eastAsia="宋体"/>
        </w:rPr>
        <w:t>認購或提名他人認購本集團任何成員公司證券</w:t>
      </w:r>
      <w:r>
        <w:rPr>
          <w:rFonts w:hint="eastAsia" w:ascii="PMingLiU" w:hAnsi="PMingLiU" w:eastAsia="宋体" w:cs="PMingLiU"/>
        </w:rPr>
        <w:t>；</w:t>
      </w:r>
      <w:r>
        <w:rPr>
          <w:rFonts w:hint="eastAsia" w:eastAsia="宋体"/>
        </w:rPr>
        <w:t>且</w:t>
      </w:r>
      <w:r>
        <w:rPr>
          <w:rFonts w:eastAsia="宋体"/>
        </w:rPr>
        <w:t>上述專業人</w:t>
      </w:r>
      <w:r>
        <w:rPr>
          <w:rFonts w:hint="eastAsia" w:eastAsia="宋体"/>
        </w:rPr>
        <w:t>士</w:t>
      </w:r>
      <w:r>
        <w:rPr>
          <w:rFonts w:eastAsia="宋体"/>
        </w:rPr>
        <w:t>已發出</w:t>
      </w:r>
      <w:r>
        <w:rPr>
          <w:rFonts w:hint="eastAsia" w:eastAsia="宋体"/>
        </w:rPr>
        <w:t>（且並無撤回）</w:t>
      </w:r>
      <w:r>
        <w:rPr>
          <w:rFonts w:eastAsia="宋体"/>
        </w:rPr>
        <w:t>同意書，同意刊發本</w:t>
      </w:r>
      <w:r>
        <w:rPr>
          <w:rFonts w:hint="eastAsia" w:eastAsia="宋体"/>
        </w:rPr>
        <w:t>公告，且於本公告</w:t>
      </w:r>
      <w:r>
        <w:rPr>
          <w:rFonts w:hint="eastAsia" w:ascii="Times New Roman" w:hAnsi="Times New Roman" w:eastAsia="宋体"/>
        </w:rPr>
        <w:t>隨附函件</w:t>
      </w:r>
      <w:r>
        <w:rPr>
          <w:rFonts w:eastAsia="宋体"/>
        </w:rPr>
        <w:t>及</w:t>
      </w:r>
      <w:r>
        <w:rPr>
          <w:rFonts w:hint="eastAsia" w:eastAsia="宋体"/>
        </w:rPr>
        <w:t>其</w:t>
      </w:r>
      <w:r>
        <w:rPr>
          <w:rFonts w:eastAsia="宋体"/>
        </w:rPr>
        <w:t>內</w:t>
      </w:r>
      <w:r>
        <w:rPr>
          <w:rFonts w:hint="eastAsia" w:eastAsia="宋体"/>
        </w:rPr>
        <w:t>文</w:t>
      </w:r>
      <w:r>
        <w:rPr>
          <w:rFonts w:eastAsia="宋体"/>
        </w:rPr>
        <w:t>引述其名稱</w:t>
      </w:r>
      <w:r>
        <w:rPr>
          <w:rFonts w:hint="eastAsia" w:ascii="PMingLiU" w:hAnsi="PMingLiU" w:eastAsia="宋体" w:cs="PMingLiU"/>
        </w:rPr>
        <w:t>。</w:t>
      </w:r>
    </w:p>
    <w:p>
      <w:pPr>
        <w:jc w:val="both"/>
        <w:rPr>
          <w:color w:val="000000"/>
        </w:rPr>
      </w:pPr>
      <w:r>
        <w:rPr>
          <w:rFonts w:eastAsia="宋体"/>
          <w:color w:val="000000"/>
        </w:rPr>
        <w:t xml:space="preserve">   </w:t>
      </w: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4"/>
              <w:snapToGrid w:val="0"/>
              <w:rPr>
                <w:rFonts w:ascii="Times New Roman" w:hAnsi="Times New Roman"/>
                <w:color w:val="000000"/>
                <w:szCs w:val="24"/>
              </w:rPr>
            </w:pPr>
          </w:p>
        </w:tc>
        <w:tc>
          <w:tcPr>
            <w:tcW w:w="5220" w:type="dxa"/>
            <w:vAlign w:val="top"/>
          </w:tcPr>
          <w:p>
            <w:pPr>
              <w:pStyle w:val="14"/>
              <w:ind w:left="110" w:right="1200"/>
              <w:jc w:val="center"/>
              <w:rPr>
                <w:rFonts w:ascii="Times New Roman" w:hAnsi="Times New Roman"/>
                <w:color w:val="000000"/>
                <w:sz w:val="24"/>
                <w:szCs w:val="24"/>
                <w:lang w:eastAsia="zh-TW"/>
              </w:rPr>
            </w:pPr>
            <w:r>
              <w:rPr>
                <w:rFonts w:ascii="Times New Roman" w:hAnsi="Times New Roman" w:eastAsia="宋体"/>
                <w:color w:val="000000"/>
                <w:sz w:val="24"/>
                <w:szCs w:val="24"/>
                <w:lang w:eastAsia="zh-TW"/>
              </w:rPr>
              <w:t xml:space="preserve">                           承董事會命</w:t>
            </w:r>
          </w:p>
          <w:p>
            <w:pPr>
              <w:pStyle w:val="14"/>
              <w:ind w:left="110" w:right="1200"/>
              <w:jc w:val="center"/>
              <w:rPr>
                <w:rFonts w:ascii="Times New Roman" w:hAnsi="Times New Roman"/>
                <w:b/>
                <w:color w:val="000000"/>
                <w:sz w:val="24"/>
                <w:szCs w:val="24"/>
                <w:lang w:eastAsia="zh-TW"/>
              </w:rPr>
            </w:pPr>
            <w:r>
              <w:rPr>
                <w:rFonts w:ascii="Times New Roman" w:hAnsi="Times New Roman" w:eastAsia="宋体"/>
                <w:color w:val="000000"/>
                <w:sz w:val="24"/>
                <w:szCs w:val="24"/>
                <w:lang w:eastAsia="zh-TW"/>
              </w:rPr>
              <w:t xml:space="preserve">                </w:t>
            </w:r>
            <w:r>
              <w:rPr>
                <w:rFonts w:ascii="Times New Roman" w:hAnsi="Times New Roman" w:eastAsia="宋体"/>
                <w:b/>
                <w:color w:val="000000"/>
                <w:sz w:val="24"/>
                <w:szCs w:val="24"/>
                <w:lang w:eastAsia="zh-TW"/>
              </w:rPr>
              <w:t>山東新華製藥股份有限公司</w:t>
            </w:r>
          </w:p>
          <w:p>
            <w:pPr>
              <w:pStyle w:val="14"/>
              <w:ind w:left="110" w:right="1200"/>
              <w:jc w:val="center"/>
              <w:rPr>
                <w:rFonts w:ascii="Times New Roman" w:hAnsi="Times New Roman"/>
                <w:b/>
                <w:color w:val="000000"/>
                <w:sz w:val="24"/>
                <w:szCs w:val="24"/>
              </w:rPr>
            </w:pPr>
            <w:r>
              <w:rPr>
                <w:rFonts w:ascii="Times New Roman" w:hAnsi="Times New Roman" w:eastAsia="宋体"/>
                <w:b/>
                <w:color w:val="000000"/>
                <w:sz w:val="24"/>
                <w:szCs w:val="24"/>
                <w:lang w:eastAsia="zh-TW"/>
              </w:rPr>
              <w:t xml:space="preserve">                        </w:t>
            </w:r>
            <w:r>
              <w:rPr>
                <w:rFonts w:ascii="Times New Roman" w:hAnsi="Times New Roman"/>
                <w:b/>
                <w:color w:val="000000"/>
                <w:sz w:val="24"/>
                <w:szCs w:val="24"/>
              </w:rPr>
              <w:t>張代銘</w:t>
            </w:r>
          </w:p>
          <w:p>
            <w:pPr>
              <w:pStyle w:val="14"/>
              <w:spacing w:line="240" w:lineRule="auto"/>
              <w:ind w:left="110" w:right="1722"/>
              <w:jc w:val="center"/>
              <w:rPr>
                <w:rFonts w:ascii="Times New Roman" w:hAnsi="Times New Roman"/>
                <w:i/>
                <w:iCs/>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 xml:space="preserve">  董事長</w:t>
            </w:r>
          </w:p>
          <w:p>
            <w:pPr>
              <w:pStyle w:val="4"/>
              <w:snapToGrid w:val="0"/>
              <w:jc w:val="center"/>
              <w:rPr>
                <w:rFonts w:ascii="Times New Roman" w:hAnsi="Times New Roman"/>
                <w:color w:val="000000"/>
                <w:szCs w:val="24"/>
              </w:rPr>
            </w:pPr>
          </w:p>
        </w:tc>
      </w:tr>
    </w:tbl>
    <w:p>
      <w:pPr>
        <w:pStyle w:val="4"/>
        <w:snapToGrid w:val="0"/>
        <w:rPr>
          <w:rFonts w:ascii="Times New Roman" w:hAnsi="Times New Roman"/>
          <w:color w:val="000000"/>
          <w:szCs w:val="24"/>
        </w:rPr>
      </w:pPr>
      <w:r>
        <w:rPr>
          <w:rFonts w:ascii="Times New Roman" w:hAnsi="Times New Roman" w:eastAsia="宋体"/>
          <w:color w:val="000000"/>
          <w:szCs w:val="24"/>
        </w:rPr>
        <w:t xml:space="preserve"> </w:t>
      </w:r>
    </w:p>
    <w:p>
      <w:pPr>
        <w:pStyle w:val="4"/>
        <w:snapToGrid w:val="0"/>
        <w:rPr>
          <w:rFonts w:ascii="Times New Roman" w:hAnsi="Times New Roman"/>
          <w:color w:val="000000"/>
          <w:szCs w:val="24"/>
        </w:rPr>
      </w:pPr>
      <w:r>
        <w:rPr>
          <w:rFonts w:ascii="Times New Roman" w:hAnsi="Times New Roman" w:eastAsia="宋体"/>
          <w:color w:val="000000"/>
          <w:kern w:val="0"/>
          <w:szCs w:val="24"/>
          <w:lang w:eastAsia="zh-CN"/>
        </w:rPr>
        <w:t>中國淄博，2018 年11月</w:t>
      </w:r>
      <w:r>
        <w:rPr>
          <w:rFonts w:hint="eastAsia" w:ascii="Times New Roman" w:hAnsi="Times New Roman" w:eastAsia="宋体"/>
          <w:color w:val="000000"/>
          <w:kern w:val="0"/>
          <w:szCs w:val="24"/>
          <w:lang w:val="en-US" w:eastAsia="zh-CN"/>
        </w:rPr>
        <w:t>6</w:t>
      </w:r>
      <w:r>
        <w:rPr>
          <w:rFonts w:ascii="Times New Roman" w:hAnsi="Times New Roman" w:eastAsia="宋体"/>
          <w:color w:val="000000"/>
          <w:kern w:val="0"/>
          <w:szCs w:val="24"/>
          <w:lang w:eastAsia="zh-CN"/>
        </w:rPr>
        <w:t>日</w:t>
      </w:r>
    </w:p>
    <w:p>
      <w:pPr>
        <w:pStyle w:val="4"/>
        <w:snapToGrid w:val="0"/>
        <w:ind w:left="630" w:hanging="630"/>
        <w:jc w:val="both"/>
        <w:rPr>
          <w:rFonts w:ascii="Times New Roman" w:hAnsi="Times New Roman"/>
          <w:i/>
          <w:color w:val="000000"/>
          <w:szCs w:val="24"/>
        </w:rPr>
      </w:pPr>
    </w:p>
    <w:p>
      <w:pPr>
        <w:pStyle w:val="4"/>
        <w:snapToGrid w:val="0"/>
        <w:ind w:left="630" w:hanging="630"/>
        <w:jc w:val="both"/>
        <w:rPr>
          <w:rFonts w:ascii="Times New Roman" w:hAnsi="Times New Roman"/>
          <w:i/>
          <w:color w:val="000000"/>
          <w:szCs w:val="24"/>
        </w:rPr>
      </w:pPr>
    </w:p>
    <w:p>
      <w:pPr>
        <w:snapToGrid w:val="0"/>
        <w:ind w:left="110"/>
        <w:jc w:val="both"/>
        <w:rPr>
          <w:color w:val="000000"/>
          <w:spacing w:val="4"/>
        </w:rPr>
      </w:pPr>
      <w:r>
        <w:rPr>
          <w:rFonts w:eastAsia="宋体"/>
          <w:color w:val="000000"/>
          <w:spacing w:val="4"/>
        </w:rPr>
        <w:t>於本公告日期，本公司董事會由下列董事組成：</w:t>
      </w:r>
    </w:p>
    <w:p>
      <w:pPr>
        <w:snapToGrid w:val="0"/>
        <w:ind w:left="110"/>
        <w:jc w:val="both"/>
        <w:rPr>
          <w:color w:val="000000"/>
          <w:spacing w:val="4"/>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autoSpaceDE w:val="0"/>
              <w:autoSpaceDN w:val="0"/>
              <w:adjustRightInd w:val="0"/>
              <w:rPr>
                <w:color w:val="000000"/>
                <w:kern w:val="0"/>
                <w:u w:val="single"/>
              </w:rPr>
            </w:pPr>
            <w:r>
              <w:rPr>
                <w:rFonts w:eastAsia="宋体"/>
                <w:color w:val="000000"/>
                <w:kern w:val="0"/>
                <w:u w:val="single"/>
              </w:rPr>
              <w:t>執行董事：</w:t>
            </w:r>
          </w:p>
          <w:p>
            <w:pPr>
              <w:autoSpaceDE w:val="0"/>
              <w:autoSpaceDN w:val="0"/>
              <w:adjustRightInd w:val="0"/>
              <w:rPr>
                <w:color w:val="000000"/>
                <w:kern w:val="0"/>
              </w:rPr>
            </w:pPr>
            <w:r>
              <w:rPr>
                <w:rFonts w:eastAsia="宋体"/>
                <w:color w:val="000000"/>
                <w:kern w:val="0"/>
              </w:rPr>
              <w:t>張代銘先生（董事長）</w:t>
            </w:r>
          </w:p>
          <w:p>
            <w:pPr>
              <w:autoSpaceDE w:val="0"/>
              <w:autoSpaceDN w:val="0"/>
              <w:adjustRightInd w:val="0"/>
              <w:rPr>
                <w:color w:val="000000"/>
                <w:kern w:val="0"/>
              </w:rPr>
            </w:pPr>
            <w:r>
              <w:rPr>
                <w:rFonts w:eastAsia="宋体"/>
                <w:color w:val="000000"/>
                <w:kern w:val="0"/>
              </w:rPr>
              <w:t>杜德平先生</w:t>
            </w:r>
          </w:p>
          <w:p>
            <w:pPr>
              <w:snapToGrid w:val="0"/>
              <w:ind w:left="110"/>
              <w:jc w:val="both"/>
              <w:rPr>
                <w:color w:val="000000"/>
                <w:spacing w:val="4"/>
              </w:rPr>
            </w:pPr>
          </w:p>
        </w:tc>
        <w:tc>
          <w:tcPr>
            <w:tcW w:w="4348" w:type="dxa"/>
            <w:vAlign w:val="top"/>
          </w:tcPr>
          <w:p>
            <w:pPr>
              <w:autoSpaceDE w:val="0"/>
              <w:autoSpaceDN w:val="0"/>
              <w:adjustRightInd w:val="0"/>
              <w:rPr>
                <w:color w:val="000000"/>
                <w:kern w:val="0"/>
                <w:u w:val="single"/>
              </w:rPr>
            </w:pPr>
            <w:r>
              <w:rPr>
                <w:rFonts w:eastAsia="宋体"/>
                <w:color w:val="000000"/>
                <w:kern w:val="0"/>
                <w:u w:val="single"/>
              </w:rPr>
              <w:t>獨立非執行董事：</w:t>
            </w:r>
          </w:p>
          <w:p>
            <w:pPr>
              <w:autoSpaceDE w:val="0"/>
              <w:autoSpaceDN w:val="0"/>
              <w:adjustRightInd w:val="0"/>
              <w:rPr>
                <w:color w:val="000000"/>
                <w:kern w:val="0"/>
              </w:rPr>
            </w:pPr>
            <w:r>
              <w:rPr>
                <w:rFonts w:eastAsia="宋体"/>
                <w:color w:val="000000"/>
                <w:kern w:val="0"/>
              </w:rPr>
              <w:t>李文明先生</w:t>
            </w:r>
          </w:p>
          <w:p>
            <w:pPr>
              <w:autoSpaceDE w:val="0"/>
              <w:autoSpaceDN w:val="0"/>
              <w:adjustRightInd w:val="0"/>
              <w:rPr>
                <w:color w:val="000000"/>
                <w:kern w:val="0"/>
              </w:rPr>
            </w:pPr>
            <w:r>
              <w:rPr>
                <w:rFonts w:eastAsia="宋体"/>
                <w:color w:val="000000"/>
                <w:kern w:val="0"/>
              </w:rPr>
              <w:t>杜冠華先生</w:t>
            </w:r>
          </w:p>
          <w:p>
            <w:pPr>
              <w:autoSpaceDE w:val="0"/>
              <w:autoSpaceDN w:val="0"/>
              <w:adjustRightInd w:val="0"/>
              <w:rPr>
                <w:color w:val="000000"/>
                <w:kern w:val="0"/>
              </w:rPr>
            </w:pPr>
            <w:r>
              <w:rPr>
                <w:rFonts w:eastAsia="宋体"/>
                <w:color w:val="000000"/>
                <w:kern w:val="0"/>
              </w:rPr>
              <w:t>盧華威先生</w:t>
            </w:r>
          </w:p>
          <w:p>
            <w:pPr>
              <w:snapToGrid w:val="0"/>
              <w:ind w:left="110"/>
              <w:jc w:val="both"/>
              <w:rPr>
                <w:color w:val="000000"/>
                <w:spacing w:val="4"/>
                <w:u w:val="single"/>
              </w:rPr>
            </w:pPr>
          </w:p>
          <w:p>
            <w:pPr>
              <w:snapToGrid w:val="0"/>
              <w:ind w:left="110"/>
              <w:jc w:val="both"/>
              <w:rPr>
                <w:color w:val="000000"/>
                <w:spacing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900" w:hRule="atLeast"/>
        </w:trPr>
        <w:tc>
          <w:tcPr>
            <w:tcW w:w="4348" w:type="dxa"/>
            <w:vAlign w:val="top"/>
          </w:tcPr>
          <w:p>
            <w:pPr>
              <w:autoSpaceDE w:val="0"/>
              <w:autoSpaceDN w:val="0"/>
              <w:adjustRightInd w:val="0"/>
              <w:rPr>
                <w:color w:val="000000"/>
                <w:kern w:val="0"/>
                <w:u w:val="single"/>
              </w:rPr>
            </w:pPr>
            <w:r>
              <w:rPr>
                <w:rFonts w:eastAsia="宋体"/>
                <w:color w:val="000000"/>
                <w:kern w:val="0"/>
                <w:u w:val="single"/>
              </w:rPr>
              <w:t>非執行董事：</w:t>
            </w:r>
          </w:p>
          <w:p>
            <w:pPr>
              <w:autoSpaceDE w:val="0"/>
              <w:autoSpaceDN w:val="0"/>
              <w:adjustRightInd w:val="0"/>
              <w:rPr>
                <w:color w:val="000000"/>
                <w:kern w:val="0"/>
              </w:rPr>
            </w:pPr>
            <w:r>
              <w:rPr>
                <w:rFonts w:eastAsia="宋体"/>
                <w:color w:val="000000"/>
                <w:kern w:val="0"/>
              </w:rPr>
              <w:t>任福龍先生</w:t>
            </w:r>
          </w:p>
          <w:p>
            <w:pPr>
              <w:autoSpaceDE w:val="0"/>
              <w:autoSpaceDN w:val="0"/>
              <w:adjustRightInd w:val="0"/>
              <w:rPr>
                <w:color w:val="000000"/>
                <w:kern w:val="0"/>
                <w:lang w:eastAsia="zh-CN"/>
              </w:rPr>
            </w:pPr>
            <w:r>
              <w:rPr>
                <w:rFonts w:eastAsia="宋体"/>
                <w:color w:val="000000"/>
                <w:kern w:val="0"/>
                <w:lang w:eastAsia="zh-CN"/>
              </w:rPr>
              <w:t>徐列先生</w:t>
            </w:r>
          </w:p>
          <w:p>
            <w:pPr>
              <w:pStyle w:val="13"/>
              <w:spacing w:line="0" w:lineRule="atLeast"/>
              <w:rPr>
                <w:rFonts w:ascii="Times New Roman" w:hAnsi="Times New Roman"/>
                <w:color w:val="000000"/>
                <w:spacing w:val="4"/>
                <w:sz w:val="24"/>
                <w:szCs w:val="24"/>
              </w:rPr>
            </w:pPr>
            <w:r>
              <w:rPr>
                <w:rFonts w:ascii="Times New Roman" w:hAnsi="Times New Roman"/>
                <w:color w:val="000000"/>
                <w:sz w:val="24"/>
                <w:szCs w:val="24"/>
              </w:rPr>
              <w:t>趙斌先生</w:t>
            </w:r>
          </w:p>
          <w:p>
            <w:pPr>
              <w:snapToGrid w:val="0"/>
              <w:jc w:val="both"/>
              <w:rPr>
                <w:color w:val="000000"/>
                <w:spacing w:val="4"/>
              </w:rPr>
            </w:pPr>
          </w:p>
        </w:tc>
        <w:tc>
          <w:tcPr>
            <w:tcW w:w="4348" w:type="dxa"/>
            <w:vAlign w:val="top"/>
          </w:tcPr>
          <w:p>
            <w:pPr>
              <w:snapToGrid w:val="0"/>
              <w:ind w:left="110"/>
              <w:jc w:val="both"/>
              <w:rPr>
                <w:color w:val="000000"/>
                <w:spacing w:val="4"/>
              </w:rPr>
            </w:pPr>
          </w:p>
        </w:tc>
      </w:tr>
    </w:tbl>
    <w:p>
      <w:pPr>
        <w:rPr>
          <w:color w:val="000000"/>
        </w:rPr>
      </w:pPr>
    </w:p>
    <w:p>
      <w:pPr>
        <w:widowControl/>
        <w:spacing w:after="160" w:line="259" w:lineRule="auto"/>
        <w:rPr>
          <w:color w:val="000000"/>
        </w:rPr>
      </w:pPr>
      <w:r>
        <w:rPr>
          <w:color w:val="000000"/>
        </w:rPr>
        <w:br w:type="page"/>
      </w:r>
    </w:p>
    <w:p>
      <w:pPr>
        <w:jc w:val="center"/>
        <w:rPr>
          <w:b/>
          <w:color w:val="000000"/>
        </w:rPr>
      </w:pPr>
      <w:r>
        <w:rPr>
          <w:rFonts w:hint="eastAsia" w:eastAsia="宋体"/>
          <w:b/>
          <w:color w:val="000000"/>
        </w:rPr>
        <w:t>附錄一</w:t>
      </w:r>
    </w:p>
    <w:p>
      <w:pPr>
        <w:jc w:val="center"/>
        <w:rPr>
          <w:b/>
          <w:color w:val="000000"/>
        </w:rPr>
      </w:pPr>
      <w:r>
        <w:rPr>
          <w:rFonts w:hint="eastAsia"/>
          <w:b/>
          <w:color w:val="000000"/>
        </w:rPr>
        <w:t>節錄自評估報告:</w:t>
      </w:r>
      <w:r>
        <w:rPr>
          <w:rFonts w:hint="eastAsia" w:eastAsia="宋体"/>
          <w:b/>
          <w:color w:val="000000"/>
        </w:rPr>
        <w:t>以收益法作出評估的主要假設</w:t>
      </w:r>
    </w:p>
    <w:p>
      <w:pPr>
        <w:rPr>
          <w:b/>
          <w:color w:val="000000"/>
        </w:rPr>
      </w:pPr>
    </w:p>
    <w:p>
      <w:pPr>
        <w:rPr>
          <w:i/>
          <w:color w:val="000000"/>
          <w:sz w:val="20"/>
          <w:szCs w:val="20"/>
        </w:rPr>
      </w:pPr>
      <w:r>
        <w:rPr>
          <w:rFonts w:hint="eastAsia"/>
          <w:i/>
          <w:color w:val="000000"/>
          <w:sz w:val="20"/>
          <w:szCs w:val="20"/>
        </w:rPr>
        <w:t>註</w:t>
      </w:r>
      <w:r>
        <w:rPr>
          <w:rFonts w:hint="eastAsia" w:eastAsia="宋体"/>
          <w:i/>
          <w:color w:val="000000"/>
          <w:sz w:val="20"/>
          <w:szCs w:val="20"/>
        </w:rPr>
        <w:t>:</w:t>
      </w:r>
      <w:r>
        <w:rPr>
          <w:rFonts w:eastAsia="宋体"/>
          <w:i/>
          <w:color w:val="000000"/>
          <w:sz w:val="20"/>
          <w:szCs w:val="20"/>
        </w:rPr>
        <w:t xml:space="preserve"> </w:t>
      </w:r>
      <w:r>
        <w:rPr>
          <w:rFonts w:hint="eastAsia"/>
          <w:i/>
          <w:color w:val="000000"/>
          <w:sz w:val="20"/>
          <w:szCs w:val="20"/>
        </w:rPr>
        <w:t>除非文義另有定義</w:t>
      </w:r>
      <w:r>
        <w:rPr>
          <w:rFonts w:hint="eastAsia" w:eastAsia="宋体"/>
          <w:i/>
          <w:color w:val="000000"/>
          <w:sz w:val="20"/>
          <w:szCs w:val="20"/>
        </w:rPr>
        <w:t>,</w:t>
      </w:r>
      <w:r>
        <w:rPr>
          <w:i/>
          <w:color w:val="000000"/>
          <w:sz w:val="20"/>
          <w:szCs w:val="20"/>
        </w:rPr>
        <w:t xml:space="preserve"> </w:t>
      </w:r>
      <w:r>
        <w:rPr>
          <w:rFonts w:hint="eastAsia"/>
          <w:i/>
          <w:color w:val="000000"/>
          <w:sz w:val="20"/>
          <w:szCs w:val="20"/>
        </w:rPr>
        <w:t>本附錄中「公</w:t>
      </w:r>
      <w:r>
        <w:rPr>
          <w:rFonts w:hint="eastAsia" w:eastAsia="宋体"/>
          <w:i/>
          <w:color w:val="000000"/>
          <w:sz w:val="20"/>
          <w:szCs w:val="20"/>
        </w:rPr>
        <w:t>司</w:t>
      </w:r>
      <w:r>
        <w:rPr>
          <w:rFonts w:hint="eastAsia"/>
          <w:i/>
          <w:color w:val="000000"/>
          <w:sz w:val="20"/>
          <w:szCs w:val="20"/>
        </w:rPr>
        <w:t>」或「企業」均指稱新達製藥而言</w:t>
      </w:r>
    </w:p>
    <w:p>
      <w:pPr>
        <w:rPr>
          <w:color w:val="000000"/>
        </w:rPr>
      </w:pPr>
    </w:p>
    <w:p>
      <w:pPr>
        <w:pStyle w:val="17"/>
        <w:numPr>
          <w:ilvl w:val="0"/>
          <w:numId w:val="3"/>
        </w:numPr>
        <w:rPr>
          <w:b/>
          <w:color w:val="000000"/>
        </w:rPr>
      </w:pPr>
      <w:r>
        <w:rPr>
          <w:rFonts w:hint="eastAsia" w:eastAsia="宋体"/>
          <w:b/>
          <w:color w:val="000000"/>
        </w:rPr>
        <w:t>一般假設</w:t>
      </w:r>
    </w:p>
    <w:p>
      <w:pPr>
        <w:pStyle w:val="17"/>
        <w:ind w:left="765"/>
        <w:rPr>
          <w:b/>
          <w:color w:val="000000"/>
        </w:rPr>
      </w:pPr>
    </w:p>
    <w:p>
      <w:pPr>
        <w:pStyle w:val="17"/>
        <w:numPr>
          <w:ilvl w:val="0"/>
          <w:numId w:val="4"/>
        </w:numPr>
        <w:rPr>
          <w:color w:val="000000"/>
        </w:rPr>
      </w:pPr>
      <w:r>
        <w:rPr>
          <w:rFonts w:hint="eastAsia" w:eastAsia="宋体"/>
          <w:color w:val="000000"/>
        </w:rPr>
        <w:t>交易假設：假定所有待評估資產已經處在交易過程中，評估師根據待評估資產的交易條件等模擬市場進行估價。</w:t>
      </w:r>
    </w:p>
    <w:p>
      <w:pPr>
        <w:pStyle w:val="17"/>
        <w:ind w:left="360"/>
        <w:rPr>
          <w:color w:val="000000"/>
        </w:rPr>
      </w:pPr>
    </w:p>
    <w:p>
      <w:pPr>
        <w:pStyle w:val="17"/>
        <w:numPr>
          <w:ilvl w:val="0"/>
          <w:numId w:val="4"/>
        </w:numPr>
        <w:rPr>
          <w:color w:val="000000"/>
        </w:rPr>
      </w:pPr>
      <w:r>
        <w:rPr>
          <w:rFonts w:hint="eastAsia" w:eastAsia="宋体"/>
          <w:color w:val="000000"/>
        </w:rPr>
        <w:t>公開市場假設：公開市場假設是對資產擬進入的市場的條件以及資產在這樣的市場條件下接受何種影響的一種假定。公開市場是指充分發達與完善的市場條件，是指一個有自願的買方和賣方的競爭性市場，在這個市場上，買方和賣方的地位平等，都有獲取足夠市場資訊的機會和時間，買賣雙方的交易都是在自願的、理智的、非強制性或不受限制的條件下進行。</w:t>
      </w:r>
    </w:p>
    <w:p>
      <w:pPr>
        <w:pStyle w:val="17"/>
        <w:rPr>
          <w:color w:val="000000"/>
        </w:rPr>
      </w:pPr>
    </w:p>
    <w:p>
      <w:pPr>
        <w:pStyle w:val="17"/>
        <w:numPr>
          <w:ilvl w:val="0"/>
          <w:numId w:val="4"/>
        </w:numPr>
        <w:rPr>
          <w:color w:val="000000"/>
        </w:rPr>
      </w:pPr>
      <w:r>
        <w:rPr>
          <w:rFonts w:hint="eastAsia" w:eastAsia="宋体"/>
          <w:color w:val="000000"/>
        </w:rPr>
        <w:t>持續使用假設：持續使用假設是對資產擬進入市場的條件以及資產在這樣的市場條件下的資產狀態的一種假定。首先被評估資產正處於使用狀態，其次假定處於使用狀態的資產還將繼續使用下去。在持續使用假設條件下，沒有考慮資產用途轉換或者最佳利用條件，其評估結果的使用範圍受到限制。</w:t>
      </w:r>
    </w:p>
    <w:p>
      <w:pPr>
        <w:pStyle w:val="17"/>
        <w:rPr>
          <w:color w:val="000000"/>
        </w:rPr>
      </w:pPr>
    </w:p>
    <w:p>
      <w:pPr>
        <w:pStyle w:val="17"/>
        <w:numPr>
          <w:ilvl w:val="0"/>
          <w:numId w:val="4"/>
        </w:numPr>
        <w:rPr>
          <w:color w:val="000000"/>
        </w:rPr>
      </w:pPr>
      <w:r>
        <w:rPr>
          <w:rFonts w:hint="eastAsia" w:eastAsia="宋体"/>
          <w:color w:val="000000"/>
        </w:rPr>
        <w:t>企業持續經營假設：是將企業整體資產作為評估對象而做出的評估假定。即企業作為經營主體，在所處的外部環境下，按照經營目標，持續經營下去。企業經營者負責並有能力擔當責任；企業合法經營，並能夠獲取適當利潤，以維持持續經營能力。</w:t>
      </w:r>
    </w:p>
    <w:p>
      <w:pPr>
        <w:pStyle w:val="17"/>
        <w:rPr>
          <w:color w:val="000000"/>
        </w:rPr>
      </w:pPr>
    </w:p>
    <w:p>
      <w:pPr>
        <w:pStyle w:val="17"/>
        <w:numPr>
          <w:ilvl w:val="0"/>
          <w:numId w:val="3"/>
        </w:numPr>
        <w:rPr>
          <w:b/>
          <w:color w:val="000000"/>
        </w:rPr>
      </w:pPr>
      <w:r>
        <w:rPr>
          <w:rFonts w:hint="eastAsia" w:eastAsia="宋体"/>
          <w:b/>
          <w:color w:val="000000"/>
        </w:rPr>
        <w:t>收益法評估假設</w:t>
      </w:r>
    </w:p>
    <w:p>
      <w:pPr>
        <w:pStyle w:val="17"/>
        <w:ind w:left="765"/>
        <w:rPr>
          <w:b/>
          <w:color w:val="000000"/>
        </w:rPr>
      </w:pPr>
    </w:p>
    <w:p>
      <w:pPr>
        <w:pStyle w:val="17"/>
        <w:numPr>
          <w:ilvl w:val="0"/>
          <w:numId w:val="5"/>
        </w:numPr>
        <w:rPr>
          <w:color w:val="000000"/>
        </w:rPr>
      </w:pPr>
      <w:r>
        <w:rPr>
          <w:rFonts w:hint="eastAsia" w:eastAsia="宋体"/>
          <w:color w:val="000000"/>
        </w:rPr>
        <w:t>國家現行的有關法律、法規及政策，國家宏觀經濟形勢無重大變化；本次交易各方所處地區的政治、經濟和社會環境無重大變化；無其他不可預測和不可抗力因素造成的重大不利影響。</w:t>
      </w:r>
    </w:p>
    <w:p>
      <w:pPr>
        <w:pStyle w:val="17"/>
        <w:rPr>
          <w:color w:val="000000"/>
        </w:rPr>
      </w:pPr>
    </w:p>
    <w:p>
      <w:pPr>
        <w:pStyle w:val="17"/>
        <w:numPr>
          <w:ilvl w:val="0"/>
          <w:numId w:val="5"/>
        </w:numPr>
        <w:rPr>
          <w:color w:val="000000"/>
        </w:rPr>
      </w:pPr>
      <w:r>
        <w:rPr>
          <w:rFonts w:hint="eastAsia" w:eastAsia="宋体"/>
          <w:color w:val="000000"/>
        </w:rPr>
        <w:t>針對評估基準日資產的實際狀況，假設企業持續經營。</w:t>
      </w:r>
    </w:p>
    <w:p>
      <w:pPr>
        <w:pStyle w:val="17"/>
        <w:rPr>
          <w:color w:val="000000"/>
        </w:rPr>
      </w:pPr>
    </w:p>
    <w:p>
      <w:pPr>
        <w:pStyle w:val="17"/>
        <w:numPr>
          <w:ilvl w:val="0"/>
          <w:numId w:val="5"/>
        </w:numPr>
        <w:rPr>
          <w:color w:val="000000"/>
        </w:rPr>
      </w:pPr>
      <w:r>
        <w:rPr>
          <w:rFonts w:hint="eastAsia" w:eastAsia="宋体"/>
          <w:color w:val="000000"/>
        </w:rPr>
        <w:t>假設公司的經營者是負責的，且公司管理層有能力擔當其職務。</w:t>
      </w:r>
    </w:p>
    <w:p>
      <w:pPr>
        <w:pStyle w:val="17"/>
        <w:rPr>
          <w:color w:val="000000"/>
        </w:rPr>
      </w:pPr>
    </w:p>
    <w:p>
      <w:pPr>
        <w:pStyle w:val="17"/>
        <w:numPr>
          <w:ilvl w:val="0"/>
          <w:numId w:val="5"/>
        </w:numPr>
        <w:rPr>
          <w:color w:val="000000"/>
        </w:rPr>
      </w:pPr>
      <w:r>
        <w:rPr>
          <w:rFonts w:hint="eastAsia" w:eastAsia="宋体"/>
          <w:color w:val="000000"/>
        </w:rPr>
        <w:t>除非另有說明，假設公司完全遵守所有有關的法律和法規。</w:t>
      </w:r>
    </w:p>
    <w:p>
      <w:pPr>
        <w:pStyle w:val="17"/>
        <w:rPr>
          <w:color w:val="000000"/>
        </w:rPr>
      </w:pPr>
    </w:p>
    <w:p>
      <w:pPr>
        <w:pStyle w:val="17"/>
        <w:numPr>
          <w:ilvl w:val="0"/>
          <w:numId w:val="5"/>
        </w:numPr>
        <w:rPr>
          <w:color w:val="000000"/>
        </w:rPr>
      </w:pPr>
      <w:r>
        <w:rPr>
          <w:rFonts w:hint="eastAsia" w:eastAsia="宋体"/>
          <w:color w:val="000000"/>
        </w:rPr>
        <w:t>假設公司未來將採取的會計政策和編寫此份報告時所採用的會計政策在重要方面基本一致。</w:t>
      </w:r>
    </w:p>
    <w:p>
      <w:pPr>
        <w:pStyle w:val="17"/>
        <w:rPr>
          <w:color w:val="000000"/>
        </w:rPr>
      </w:pPr>
    </w:p>
    <w:p>
      <w:pPr>
        <w:pStyle w:val="17"/>
        <w:numPr>
          <w:ilvl w:val="0"/>
          <w:numId w:val="5"/>
        </w:numPr>
        <w:rPr>
          <w:color w:val="000000"/>
        </w:rPr>
      </w:pPr>
      <w:r>
        <w:rPr>
          <w:rFonts w:hint="eastAsia" w:eastAsia="宋体"/>
          <w:color w:val="000000"/>
        </w:rPr>
        <w:t>假設公司在現有的管理方式和管理水準的基礎上，經營範圍、方式與現時方向保持一致。</w:t>
      </w:r>
    </w:p>
    <w:p>
      <w:pPr>
        <w:pStyle w:val="17"/>
        <w:rPr>
          <w:color w:val="000000"/>
        </w:rPr>
      </w:pPr>
    </w:p>
    <w:p>
      <w:pPr>
        <w:pStyle w:val="17"/>
        <w:numPr>
          <w:ilvl w:val="0"/>
          <w:numId w:val="5"/>
        </w:numPr>
        <w:rPr>
          <w:color w:val="000000"/>
        </w:rPr>
      </w:pPr>
      <w:r>
        <w:rPr>
          <w:rFonts w:hint="eastAsia" w:eastAsia="宋体"/>
          <w:color w:val="000000"/>
        </w:rPr>
        <w:t>有關利率、匯率、賦稅基準及稅率，政策性徵收費用等不發生重大變化。被評估單位於</w:t>
      </w:r>
      <w:r>
        <w:rPr>
          <w:rFonts w:eastAsia="宋体"/>
          <w:color w:val="000000"/>
        </w:rPr>
        <w:t>2017</w:t>
      </w:r>
      <w:r>
        <w:rPr>
          <w:rFonts w:hint="eastAsia" w:eastAsia="宋体"/>
          <w:color w:val="000000"/>
        </w:rPr>
        <w:t>年</w:t>
      </w:r>
      <w:r>
        <w:rPr>
          <w:rFonts w:eastAsia="宋体"/>
          <w:color w:val="000000"/>
        </w:rPr>
        <w:t>12</w:t>
      </w:r>
      <w:r>
        <w:rPr>
          <w:rFonts w:hint="eastAsia" w:eastAsia="宋体"/>
          <w:color w:val="000000"/>
        </w:rPr>
        <w:t>月</w:t>
      </w:r>
      <w:r>
        <w:rPr>
          <w:rFonts w:eastAsia="宋体"/>
          <w:color w:val="000000"/>
        </w:rPr>
        <w:t>28</w:t>
      </w:r>
      <w:r>
        <w:rPr>
          <w:rFonts w:hint="eastAsia" w:eastAsia="宋体"/>
          <w:color w:val="000000"/>
        </w:rPr>
        <w:t>日經山東省科學技術廳、山東省財政廳、山東省國家稅務局、山東省地方稅務局批准取得《高新技術企業證書》（編號：</w:t>
      </w:r>
      <w:r>
        <w:rPr>
          <w:rFonts w:eastAsia="宋体"/>
          <w:color w:val="000000"/>
        </w:rPr>
        <w:t>GR201737000587</w:t>
      </w:r>
      <w:r>
        <w:rPr>
          <w:rFonts w:hint="eastAsia" w:eastAsia="宋体"/>
          <w:color w:val="000000"/>
        </w:rPr>
        <w:t>），有效期為三年，根據《企業所得稅法》相關規定減按</w:t>
      </w:r>
      <w:r>
        <w:rPr>
          <w:rFonts w:eastAsia="宋体"/>
          <w:color w:val="000000"/>
        </w:rPr>
        <w:t>15</w:t>
      </w:r>
      <w:r>
        <w:rPr>
          <w:rFonts w:hint="eastAsia" w:eastAsia="宋体"/>
          <w:color w:val="000000"/>
        </w:rPr>
        <w:t>％的稅率徵收企業所得稅，本次預測期的前三年按照</w:t>
      </w:r>
      <w:r>
        <w:rPr>
          <w:rFonts w:eastAsia="宋体"/>
          <w:color w:val="000000"/>
        </w:rPr>
        <w:t>15%</w:t>
      </w:r>
      <w:r>
        <w:rPr>
          <w:rFonts w:hint="eastAsia" w:eastAsia="宋体"/>
          <w:color w:val="000000"/>
        </w:rPr>
        <w:t>的所得稅稅率預測企業的所得稅，高新技術企業認證到期以後，</w:t>
      </w:r>
      <w:r>
        <w:rPr>
          <w:rFonts w:eastAsia="宋体"/>
          <w:color w:val="000000"/>
        </w:rPr>
        <w:t>2021</w:t>
      </w:r>
      <w:r>
        <w:rPr>
          <w:rFonts w:hint="eastAsia" w:eastAsia="宋体"/>
          <w:color w:val="000000"/>
        </w:rPr>
        <w:t>年開始按照</w:t>
      </w:r>
      <w:r>
        <w:rPr>
          <w:rFonts w:eastAsia="宋体"/>
          <w:color w:val="000000"/>
        </w:rPr>
        <w:t>25%</w:t>
      </w:r>
      <w:r>
        <w:rPr>
          <w:rFonts w:hint="eastAsia" w:eastAsia="宋体"/>
          <w:color w:val="000000"/>
        </w:rPr>
        <w:t>的所得稅稅率預測企業所得稅。</w:t>
      </w:r>
    </w:p>
    <w:p>
      <w:pPr>
        <w:pStyle w:val="17"/>
        <w:rPr>
          <w:color w:val="000000"/>
        </w:rPr>
      </w:pPr>
    </w:p>
    <w:p>
      <w:pPr>
        <w:pStyle w:val="17"/>
        <w:numPr>
          <w:ilvl w:val="0"/>
          <w:numId w:val="5"/>
        </w:numPr>
        <w:rPr>
          <w:color w:val="000000"/>
        </w:rPr>
      </w:pPr>
      <w:r>
        <w:rPr>
          <w:rFonts w:hint="eastAsia" w:eastAsia="宋体"/>
          <w:color w:val="000000"/>
        </w:rPr>
        <w:t>無其他人力不可抗拒因素及不可預見因素對企業造成重大不利影響。</w:t>
      </w:r>
    </w:p>
    <w:p>
      <w:pPr>
        <w:pStyle w:val="17"/>
        <w:rPr>
          <w:color w:val="000000"/>
        </w:rPr>
      </w:pPr>
    </w:p>
    <w:p>
      <w:pPr>
        <w:pStyle w:val="17"/>
        <w:numPr>
          <w:ilvl w:val="0"/>
          <w:numId w:val="5"/>
        </w:numPr>
        <w:rPr>
          <w:color w:val="000000"/>
        </w:rPr>
      </w:pPr>
      <w:r>
        <w:rPr>
          <w:rFonts w:hint="eastAsia" w:eastAsia="宋体"/>
          <w:color w:val="000000"/>
        </w:rPr>
        <w:t>假設企業預測年度現金流均勻流入流出。</w:t>
      </w:r>
    </w:p>
    <w:p>
      <w:pPr>
        <w:pStyle w:val="17"/>
        <w:rPr>
          <w:color w:val="000000"/>
        </w:rPr>
      </w:pPr>
    </w:p>
    <w:p>
      <w:pPr>
        <w:pStyle w:val="17"/>
        <w:numPr>
          <w:ilvl w:val="0"/>
          <w:numId w:val="5"/>
        </w:numPr>
        <w:rPr>
          <w:color w:val="000000"/>
        </w:rPr>
      </w:pPr>
      <w:r>
        <w:rPr>
          <w:rFonts w:hint="eastAsia" w:eastAsia="宋体"/>
          <w:color w:val="000000"/>
        </w:rPr>
        <w:t>假設評估基準日後企業的產品或服務保持目前的市場競爭態勢。</w:t>
      </w:r>
    </w:p>
    <w:p>
      <w:pPr>
        <w:pStyle w:val="17"/>
        <w:rPr>
          <w:color w:val="000000"/>
        </w:rPr>
      </w:pPr>
    </w:p>
    <w:p>
      <w:pPr>
        <w:pStyle w:val="17"/>
        <w:numPr>
          <w:ilvl w:val="0"/>
          <w:numId w:val="5"/>
        </w:numPr>
        <w:rPr>
          <w:color w:val="000000"/>
        </w:rPr>
      </w:pPr>
      <w:r>
        <w:rPr>
          <w:rFonts w:hint="eastAsia" w:eastAsia="宋体"/>
          <w:color w:val="000000"/>
        </w:rPr>
        <w:t>假設評估基準日後企業的研發能力和技術先進性繼續保持目前的水準。</w:t>
      </w:r>
    </w:p>
    <w:p>
      <w:pPr>
        <w:pStyle w:val="17"/>
        <w:rPr>
          <w:color w:val="000000"/>
        </w:rPr>
      </w:pPr>
    </w:p>
    <w:p>
      <w:pPr>
        <w:pStyle w:val="17"/>
        <w:numPr>
          <w:ilvl w:val="0"/>
          <w:numId w:val="5"/>
        </w:numPr>
        <w:rPr>
          <w:color w:val="000000"/>
        </w:rPr>
      </w:pPr>
      <w:r>
        <w:rPr>
          <w:rFonts w:hint="eastAsia" w:eastAsia="宋体"/>
          <w:color w:val="000000"/>
        </w:rPr>
        <w:t>按照國務院辦公廳《關於開展仿製藥質量和療效一致性評價的意見》（國辦發[</w:t>
      </w:r>
      <w:r>
        <w:rPr>
          <w:rFonts w:eastAsia="宋体"/>
          <w:color w:val="000000"/>
        </w:rPr>
        <w:t>2016</w:t>
      </w:r>
      <w:r>
        <w:rPr>
          <w:rFonts w:hint="eastAsia" w:eastAsia="宋体"/>
          <w:color w:val="000000"/>
        </w:rPr>
        <w:t>]</w:t>
      </w:r>
      <w:r>
        <w:rPr>
          <w:rFonts w:eastAsia="宋体"/>
          <w:color w:val="000000"/>
        </w:rPr>
        <w:t>8</w:t>
      </w:r>
      <w:r>
        <w:rPr>
          <w:rFonts w:hint="eastAsia" w:eastAsia="宋体"/>
          <w:color w:val="000000"/>
        </w:rPr>
        <w:t>號）的相關規定，「化學藥品新註冊分類實施前批准上市的仿製藥，凡未按照與原研藥品質量和療效一致原則審批的，均須開展一致性評價。國家基本藥物目録（</w:t>
      </w:r>
      <w:r>
        <w:rPr>
          <w:rFonts w:eastAsia="宋体"/>
          <w:color w:val="000000"/>
        </w:rPr>
        <w:t>2012</w:t>
      </w:r>
      <w:r>
        <w:rPr>
          <w:rFonts w:hint="eastAsia" w:eastAsia="宋体"/>
          <w:color w:val="000000"/>
        </w:rPr>
        <w:t>年版）中</w:t>
      </w:r>
      <w:r>
        <w:rPr>
          <w:rFonts w:eastAsia="宋体"/>
          <w:color w:val="000000"/>
        </w:rPr>
        <w:t>2007</w:t>
      </w:r>
      <w:r>
        <w:rPr>
          <w:rFonts w:hint="eastAsia" w:eastAsia="宋体"/>
          <w:color w:val="000000"/>
        </w:rPr>
        <w:t>年</w:t>
      </w:r>
      <w:r>
        <w:rPr>
          <w:rFonts w:eastAsia="宋体"/>
          <w:color w:val="000000"/>
        </w:rPr>
        <w:t>10</w:t>
      </w:r>
      <w:r>
        <w:rPr>
          <w:rFonts w:hint="eastAsia" w:eastAsia="宋体"/>
          <w:color w:val="000000"/>
        </w:rPr>
        <w:t>月</w:t>
      </w:r>
      <w:r>
        <w:rPr>
          <w:rFonts w:eastAsia="宋体"/>
          <w:color w:val="000000"/>
        </w:rPr>
        <w:t>1</w:t>
      </w:r>
      <w:r>
        <w:rPr>
          <w:rFonts w:hint="eastAsia" w:eastAsia="宋体"/>
          <w:color w:val="000000"/>
        </w:rPr>
        <w:t>日前批准上市的化學藥品仿製藥口服固體制劑，應在</w:t>
      </w:r>
      <w:r>
        <w:rPr>
          <w:rFonts w:eastAsia="宋体"/>
          <w:color w:val="000000"/>
        </w:rPr>
        <w:t>2018</w:t>
      </w:r>
      <w:r>
        <w:rPr>
          <w:rFonts w:hint="eastAsia" w:eastAsia="宋体"/>
          <w:color w:val="000000"/>
        </w:rPr>
        <w:t>年底前完成一致性評價，其中需開展臨牀有效性試驗和存在特殊情形的品種，應在</w:t>
      </w:r>
      <w:r>
        <w:rPr>
          <w:rFonts w:eastAsia="宋体"/>
          <w:color w:val="000000"/>
        </w:rPr>
        <w:t>2021</w:t>
      </w:r>
      <w:r>
        <w:rPr>
          <w:rFonts w:hint="eastAsia" w:eastAsia="宋体"/>
          <w:color w:val="000000"/>
        </w:rPr>
        <w:t>年底前完成一致性評價」，假設被評估單位在</w:t>
      </w:r>
      <w:r>
        <w:rPr>
          <w:rFonts w:eastAsia="宋体"/>
          <w:color w:val="000000"/>
        </w:rPr>
        <w:t>2021</w:t>
      </w:r>
      <w:r>
        <w:rPr>
          <w:rFonts w:hint="eastAsia" w:eastAsia="宋体"/>
          <w:color w:val="000000"/>
        </w:rPr>
        <w:t>年之前完成所生產的基本藥物目録中全部藥品的一致性評價。</w:t>
      </w:r>
    </w:p>
    <w:p>
      <w:pPr>
        <w:pStyle w:val="17"/>
        <w:rPr>
          <w:color w:val="000000"/>
        </w:rPr>
      </w:pPr>
    </w:p>
    <w:p>
      <w:pPr>
        <w:rPr>
          <w:color w:val="000000"/>
        </w:rPr>
      </w:pPr>
      <w:r>
        <w:rPr>
          <w:rFonts w:eastAsia="宋体"/>
          <w:color w:val="000000"/>
        </w:rPr>
        <w:t>本次評估結果基於以上假設基礎之上，當以上假設不成立時，對評估結果會造成重大影響，評估結果一般會失效。</w:t>
      </w:r>
    </w:p>
    <w:p>
      <w:pPr>
        <w:widowControl/>
        <w:spacing w:after="160" w:line="259" w:lineRule="auto"/>
        <w:rPr>
          <w:color w:val="000000"/>
        </w:rPr>
      </w:pPr>
      <w:r>
        <w:rPr>
          <w:color w:val="000000"/>
        </w:rPr>
        <w:br w:type="page"/>
      </w:r>
    </w:p>
    <w:p>
      <w:pPr>
        <w:jc w:val="center"/>
        <w:rPr>
          <w:rFonts w:hint="eastAsia" w:eastAsia="宋体"/>
          <w:color w:val="000000"/>
        </w:rPr>
      </w:pPr>
    </w:p>
    <w:p>
      <w:pPr>
        <w:jc w:val="center"/>
        <w:rPr>
          <w:color w:val="000000"/>
        </w:rPr>
      </w:pPr>
      <w:r>
        <w:rPr>
          <w:rFonts w:hint="eastAsia" w:eastAsia="宋体"/>
          <w:color w:val="000000"/>
        </w:rPr>
        <w:t>附錄二</w:t>
      </w:r>
    </w:p>
    <w:p>
      <w:pPr>
        <w:rPr>
          <w:color w:val="000000"/>
        </w:rPr>
      </w:pPr>
    </w:p>
    <w:p>
      <w:pPr>
        <w:rPr>
          <w:b/>
          <w:color w:val="000000"/>
        </w:rPr>
      </w:pPr>
      <w:r>
        <w:rPr>
          <w:rFonts w:hint="eastAsia" w:eastAsia="宋体"/>
          <w:b/>
          <w:color w:val="000000"/>
        </w:rPr>
        <w:t>信永</w:t>
      </w:r>
      <w:r>
        <w:rPr>
          <w:rFonts w:eastAsia="宋体"/>
          <w:b/>
          <w:color w:val="000000"/>
        </w:rPr>
        <w:t>中和</w:t>
      </w:r>
      <w:r>
        <w:rPr>
          <w:rFonts w:hint="eastAsia" w:eastAsia="宋体"/>
          <w:b/>
          <w:color w:val="000000"/>
        </w:rPr>
        <w:t>函件</w:t>
      </w:r>
    </w:p>
    <w:p>
      <w:pPr>
        <w:rPr>
          <w:color w:val="000000"/>
        </w:rPr>
      </w:pPr>
    </w:p>
    <w:p>
      <w:pPr>
        <w:rPr>
          <w:color w:val="000000"/>
        </w:rPr>
      </w:pPr>
      <w:r>
        <w:rPr>
          <w:rFonts w:eastAsia="宋体"/>
          <w:color w:val="000000"/>
        </w:rPr>
        <w:t>以下為本公司中國申報會計師信永中和會計師事務所（特殊普通合夥）發出之報告全文 以供載入本公告內。</w:t>
      </w:r>
    </w:p>
    <w:p>
      <w:pPr>
        <w:rPr>
          <w:color w:val="000000"/>
        </w:rPr>
      </w:pPr>
      <w:r>
        <w:rPr>
          <w:rFonts w:ascii="Times New Roman" w:hAnsi="Times New Roman" w:eastAsia="宋体" w:cs="Times New Roman"/>
          <w:color w:val="000000"/>
          <w:kern w:val="2"/>
          <w:position w:val="-25"/>
          <w:sz w:val="24"/>
          <w:szCs w:val="24"/>
          <w:lang w:val="en-US" w:eastAsia="zh-TW" w:bidi="ar-SA"/>
        </w:rPr>
        <w:pict>
          <v:shape id="image1.jpeg" o:spid="_x0000_s1027" type="#_x0000_t75" style="height:65.65pt;width:392.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b/>
          <w:color w:val="000000"/>
        </w:rPr>
      </w:pPr>
      <w:r>
        <w:rPr>
          <w:rFonts w:hint="eastAsia" w:eastAsia="宋体"/>
          <w:b/>
          <w:color w:val="000000"/>
        </w:rPr>
        <w:t>有關山東淄博新達製藥有限公司股本權益估值之折現未來現金流量會計師報告</w:t>
      </w:r>
    </w:p>
    <w:p>
      <w:pPr>
        <w:rPr>
          <w:b/>
          <w:color w:val="000000"/>
        </w:rPr>
      </w:pPr>
    </w:p>
    <w:p>
      <w:pPr>
        <w:rPr>
          <w:b/>
          <w:color w:val="000000"/>
        </w:rPr>
      </w:pPr>
      <w:r>
        <w:rPr>
          <w:rFonts w:hint="eastAsia" w:eastAsia="宋体"/>
          <w:b/>
          <w:color w:val="000000"/>
        </w:rPr>
        <w:t>致山東新華製藥股份有限公司董事會</w:t>
      </w:r>
    </w:p>
    <w:p>
      <w:pPr>
        <w:rPr>
          <w:color w:val="000000"/>
        </w:rPr>
      </w:pPr>
    </w:p>
    <w:p>
      <w:pPr>
        <w:rPr>
          <w:color w:val="000000"/>
        </w:rPr>
      </w:pPr>
      <w:r>
        <w:rPr>
          <w:rFonts w:eastAsia="宋体"/>
          <w:color w:val="000000"/>
        </w:rPr>
        <w:t>本所提述山東天健興業資產評估有限公司就評估山東淄博新達製藥有限公司（「</w:t>
      </w:r>
      <w:r>
        <w:rPr>
          <w:rFonts w:hint="eastAsia" w:eastAsia="宋体"/>
          <w:b/>
          <w:color w:val="000000"/>
        </w:rPr>
        <w:t>新達製藥</w:t>
      </w:r>
      <w:r>
        <w:rPr>
          <w:rFonts w:eastAsia="宋体"/>
          <w:color w:val="000000"/>
        </w:rPr>
        <w:t>」）的100%股本權益於二零一八年二月二十八日之市值所編製日期為二零一八 年五月十八日之估值（「</w:t>
      </w:r>
      <w:r>
        <w:rPr>
          <w:rFonts w:hint="eastAsia" w:eastAsia="宋体"/>
          <w:b/>
          <w:color w:val="000000"/>
        </w:rPr>
        <w:t>估值</w:t>
      </w:r>
      <w:r>
        <w:rPr>
          <w:rFonts w:eastAsia="宋体"/>
          <w:color w:val="000000"/>
        </w:rPr>
        <w:t>」）所依據之折現未來現金流量。折現未來現金流量的估 值根據香港聯合交易所有限公司證券上市規則（「</w:t>
      </w:r>
      <w:r>
        <w:rPr>
          <w:rFonts w:hint="eastAsia" w:eastAsia="宋体"/>
          <w:b/>
          <w:color w:val="000000"/>
        </w:rPr>
        <w:t>上市規則</w:t>
      </w:r>
      <w:r>
        <w:rPr>
          <w:rFonts w:eastAsia="宋体"/>
          <w:color w:val="000000"/>
        </w:rPr>
        <w:t>」）第14.61條進行盈利預測。</w:t>
      </w:r>
    </w:p>
    <w:p>
      <w:pPr>
        <w:rPr>
          <w:color w:val="000000"/>
        </w:rPr>
      </w:pPr>
    </w:p>
    <w:p>
      <w:pPr>
        <w:rPr>
          <w:color w:val="000000"/>
        </w:rPr>
      </w:pPr>
      <w:r>
        <w:rPr>
          <w:rFonts w:eastAsia="宋体"/>
          <w:color w:val="000000"/>
        </w:rPr>
        <w:t>董事的責任</w:t>
      </w:r>
    </w:p>
    <w:p>
      <w:pPr>
        <w:rPr>
          <w:color w:val="000000"/>
        </w:rPr>
      </w:pPr>
    </w:p>
    <w:p>
      <w:pPr>
        <w:rPr>
          <w:color w:val="000000"/>
        </w:rPr>
      </w:pPr>
      <w:r>
        <w:rPr>
          <w:rFonts w:eastAsia="宋体"/>
          <w:color w:val="000000"/>
        </w:rPr>
        <w:t>貴公司董事（「</w:t>
      </w:r>
      <w:r>
        <w:rPr>
          <w:rFonts w:hint="eastAsia" w:eastAsia="宋体"/>
          <w:b/>
          <w:color w:val="000000"/>
        </w:rPr>
        <w:t>董事</w:t>
      </w:r>
      <w:r>
        <w:rPr>
          <w:rFonts w:eastAsia="宋体"/>
          <w:color w:val="000000"/>
        </w:rPr>
        <w:t>」）負責根據董事所確定及估值所載之基準及假設編製折現未來 現金流量。此項責任包括執行與就估值編製折現未來現金流量有關之適當程式及應用適 當編製基準；以及作出在相關情況下屬合理之估計。</w:t>
      </w:r>
    </w:p>
    <w:p>
      <w:pPr>
        <w:rPr>
          <w:color w:val="000000"/>
        </w:rPr>
      </w:pPr>
    </w:p>
    <w:p>
      <w:pPr>
        <w:rPr>
          <w:b/>
          <w:color w:val="000000"/>
        </w:rPr>
      </w:pPr>
      <w:r>
        <w:rPr>
          <w:rFonts w:hint="eastAsia" w:eastAsia="宋体"/>
          <w:b/>
          <w:color w:val="000000"/>
        </w:rPr>
        <w:t>本所的獨立性和質量控制</w:t>
      </w:r>
    </w:p>
    <w:p>
      <w:pPr>
        <w:rPr>
          <w:color w:val="000000"/>
        </w:rPr>
      </w:pPr>
    </w:p>
    <w:p>
      <w:pPr>
        <w:rPr>
          <w:color w:val="000000"/>
        </w:rPr>
      </w:pPr>
      <w:r>
        <w:rPr>
          <w:rFonts w:eastAsia="宋体"/>
          <w:color w:val="000000"/>
        </w:rPr>
        <w:t>本所已遵守香港會計師公會（「香港會計師公會」）頒佈的專業會計師道德守則中的獨 立性及其他道德要求，而該項守則乃建立在誠信、客觀、專業能力和應有的審慎、保密 及專業行為的基本原則之上。</w:t>
      </w:r>
    </w:p>
    <w:p>
      <w:pPr>
        <w:rPr>
          <w:color w:val="000000"/>
        </w:rPr>
      </w:pPr>
    </w:p>
    <w:p>
      <w:pPr>
        <w:rPr>
          <w:color w:val="000000"/>
        </w:rPr>
      </w:pPr>
      <w:r>
        <w:rPr>
          <w:rFonts w:eastAsia="宋体"/>
          <w:color w:val="000000"/>
        </w:rPr>
        <w:t>本所應用香港會計師公會頒佈的香港質量控制準則第1號「進行財務報表審核及審閲以 及其他核證及相關服務委聘之公司之質量控制」，因此維持全面之質量控制系統，包括 將有關遵守道德規定、專業準則及適用法律及監管規定之政策及程式記録為書面檔。</w:t>
      </w:r>
    </w:p>
    <w:p>
      <w:pPr>
        <w:rPr>
          <w:color w:val="000000"/>
        </w:rPr>
      </w:pPr>
      <w:r>
        <w:rPr>
          <w:rFonts w:eastAsia="宋体"/>
          <w:color w:val="000000"/>
        </w:rPr>
        <w:t xml:space="preserve"> </w:t>
      </w:r>
    </w:p>
    <w:p>
      <w:pPr>
        <w:rPr>
          <w:b/>
          <w:color w:val="000000"/>
        </w:rPr>
      </w:pPr>
      <w:r>
        <w:rPr>
          <w:rFonts w:hint="eastAsia" w:eastAsia="宋体"/>
          <w:b/>
          <w:color w:val="000000"/>
        </w:rPr>
        <w:t>申報會計師的責任</w:t>
      </w:r>
    </w:p>
    <w:p>
      <w:pPr>
        <w:rPr>
          <w:color w:val="000000"/>
        </w:rPr>
      </w:pPr>
    </w:p>
    <w:p>
      <w:pPr>
        <w:rPr>
          <w:color w:val="000000"/>
        </w:rPr>
      </w:pPr>
      <w:r>
        <w:rPr>
          <w:rFonts w:eastAsia="宋体"/>
          <w:color w:val="000000"/>
        </w:rPr>
        <w:t>本所的責任為依上市規則第14.62(2)段的要求就估值中所用之折現未來現金流量之計算 作出報告。本所之責任乃根據《上市規則》第14.62(2)條之規定， 對編製估值所依據之折現未來估計現金流發表意見，並僅向閣下（作為整體）報告，且 不作任何其他用途。折現未來現金流量並無涉及採用會計政策。本所不會就本報告內容 向任何其他人士負上或承擔任何責任。</w:t>
      </w:r>
    </w:p>
    <w:p>
      <w:pPr>
        <w:rPr>
          <w:color w:val="000000"/>
        </w:rPr>
      </w:pPr>
    </w:p>
    <w:p>
      <w:pPr>
        <w:rPr>
          <w:b/>
          <w:color w:val="000000"/>
        </w:rPr>
      </w:pPr>
      <w:r>
        <w:rPr>
          <w:rFonts w:hint="eastAsia" w:eastAsia="宋体"/>
          <w:b/>
          <w:color w:val="000000"/>
        </w:rPr>
        <w:t>意見基準</w:t>
      </w:r>
      <w:r>
        <w:rPr>
          <w:rFonts w:eastAsia="宋体"/>
          <w:b/>
          <w:color w:val="000000"/>
        </w:rPr>
        <w:t xml:space="preserve"> </w:t>
      </w:r>
    </w:p>
    <w:p>
      <w:pPr>
        <w:rPr>
          <w:b/>
          <w:color w:val="000000"/>
        </w:rPr>
      </w:pPr>
    </w:p>
    <w:p>
      <w:pPr>
        <w:rPr>
          <w:color w:val="000000"/>
        </w:rPr>
      </w:pPr>
      <w:r>
        <w:rPr>
          <w:rFonts w:eastAsia="宋体"/>
          <w:color w:val="000000"/>
        </w:rPr>
        <w:t>本所按照香港會計師公會頒佈之香港核證委聘準則第3000號（經修訂）「歷史財務資料 審核或審閲以外之核證委聘」執行委聘工作。該準則要求本所計劃及執行工作，以合理 確定就計算而言董事是否根據估值所載董事所採納之基準及假設妥為編製折現未來現 金流量。本所已按照董事採納的基準及假設對折現未來現金流量的算術計算及編製執行程序。本所的工作範圍遠較根據香港會計師公會頒佈之香港核數準則進行的審核為小。 因此，本所不發表審核意見。</w:t>
      </w:r>
    </w:p>
    <w:p>
      <w:pPr>
        <w:rPr>
          <w:color w:val="000000"/>
        </w:rPr>
      </w:pPr>
    </w:p>
    <w:p>
      <w:pPr>
        <w:rPr>
          <w:color w:val="000000"/>
        </w:rPr>
      </w:pPr>
      <w:r>
        <w:rPr>
          <w:rFonts w:hint="eastAsia" w:eastAsia="宋体"/>
          <w:b/>
          <w:color w:val="000000"/>
        </w:rPr>
        <w:t>意見</w:t>
      </w:r>
      <w:r>
        <w:rPr>
          <w:rFonts w:eastAsia="宋体"/>
          <w:color w:val="000000"/>
        </w:rPr>
        <w:t xml:space="preserve"> </w:t>
      </w:r>
    </w:p>
    <w:p>
      <w:pPr>
        <w:rPr>
          <w:color w:val="000000"/>
        </w:rPr>
      </w:pPr>
      <w:r>
        <w:rPr>
          <w:rFonts w:eastAsia="宋体"/>
          <w:color w:val="000000"/>
        </w:rPr>
        <w:t>本所認為就計算而言，折現未來現金流量於所有重大方面已按照估值所載董事所採納之 基準及假設妥為編製。</w:t>
      </w:r>
    </w:p>
    <w:p>
      <w:pPr>
        <w:rPr>
          <w:color w:val="000000"/>
        </w:rPr>
      </w:pPr>
    </w:p>
    <w:p>
      <w:pPr>
        <w:rPr>
          <w:b/>
          <w:color w:val="000000"/>
        </w:rPr>
      </w:pPr>
      <w:r>
        <w:rPr>
          <w:rFonts w:hint="eastAsia" w:eastAsia="宋体"/>
          <w:b/>
          <w:color w:val="000000"/>
        </w:rPr>
        <w:t>其他事宜</w:t>
      </w:r>
    </w:p>
    <w:p>
      <w:pPr>
        <w:rPr>
          <w:color w:val="000000"/>
        </w:rPr>
      </w:pPr>
    </w:p>
    <w:p>
      <w:pPr>
        <w:rPr>
          <w:color w:val="000000"/>
        </w:rPr>
      </w:pPr>
      <w:r>
        <w:rPr>
          <w:rFonts w:eastAsia="宋体"/>
          <w:color w:val="000000"/>
        </w:rPr>
        <w:t>在毋須作出保留意見之情況下，本所謹請    閣下注意，本所並非對折現未來現金流量所 依據之基準及假設的適當性及有效性作出報告，且本所的工作並不構成對新達製藥之任 何估值或對估值發表審核或審閲意見。</w:t>
      </w:r>
    </w:p>
    <w:p>
      <w:pPr>
        <w:rPr>
          <w:color w:val="000000"/>
        </w:rPr>
      </w:pPr>
    </w:p>
    <w:p>
      <w:pPr>
        <w:rPr>
          <w:color w:val="000000"/>
        </w:rPr>
      </w:pPr>
      <w:r>
        <w:rPr>
          <w:rFonts w:eastAsia="宋体"/>
          <w:color w:val="000000"/>
        </w:rPr>
        <w:t>折現未來現金流量取決於未來事件及多項無法如過往業績般進行確認及核實之假設，且 並非全部假設於整段時間內一直有效。此外，由於折現未來現金流量與未來有關，實際 結果可能與折現未來現金流量有所出入，因為事件和情況經常不會如預期般出現，且差 異可以很大。本所的工作旨在根據上市規則第14.62(2)段僅向    閣下報告，而不作其他 用途。本所不會向任何其他人士承擔委聘工作所涉及、產生或相關之任何責任。</w:t>
      </w:r>
    </w:p>
    <w:p>
      <w:pPr>
        <w:rPr>
          <w:color w:val="000000"/>
        </w:rPr>
      </w:pPr>
    </w:p>
    <w:p>
      <w:pPr>
        <w:rPr>
          <w:color w:val="000000"/>
        </w:rPr>
      </w:pPr>
    </w:p>
    <w:p>
      <w:pPr>
        <w:rPr>
          <w:color w:val="000000"/>
        </w:rPr>
      </w:pPr>
    </w:p>
    <w:p>
      <w:pPr>
        <w:rPr>
          <w:color w:val="000000"/>
        </w:rPr>
      </w:pPr>
      <w:r>
        <w:rPr>
          <w:rFonts w:eastAsia="宋体"/>
          <w:color w:val="000000"/>
        </w:rPr>
        <w:t xml:space="preserve">信永中和會計師事務所（特殊普通合夥） </w:t>
      </w:r>
    </w:p>
    <w:p>
      <w:pPr>
        <w:rPr>
          <w:color w:val="000000"/>
        </w:rPr>
      </w:pPr>
      <w:r>
        <w:rPr>
          <w:rFonts w:eastAsia="宋体"/>
          <w:color w:val="000000"/>
        </w:rPr>
        <w:t>中國、北京</w:t>
      </w:r>
    </w:p>
    <w:p>
      <w:pPr>
        <w:rPr>
          <w:color w:val="000000"/>
        </w:rPr>
      </w:pPr>
      <w:r>
        <w:rPr>
          <w:rFonts w:eastAsia="宋体"/>
          <w:color w:val="000000"/>
        </w:rPr>
        <w:t>2018年</w:t>
      </w:r>
      <w:r>
        <w:rPr>
          <w:rFonts w:hint="eastAsia" w:eastAsia="宋体"/>
          <w:color w:val="000000"/>
          <w:lang w:val="en-US" w:eastAsia="zh-CN"/>
        </w:rPr>
        <w:t>11</w:t>
      </w:r>
      <w:r>
        <w:rPr>
          <w:rFonts w:eastAsia="宋体"/>
          <w:color w:val="000000"/>
        </w:rPr>
        <w:t>月</w:t>
      </w:r>
      <w:r>
        <w:rPr>
          <w:rFonts w:hint="eastAsia" w:eastAsia="宋体"/>
          <w:color w:val="000000"/>
          <w:lang w:val="en-US" w:eastAsia="zh-CN"/>
        </w:rPr>
        <w:t>6</w:t>
      </w:r>
      <w:r>
        <w:rPr>
          <w:rFonts w:eastAsia="宋体"/>
          <w:color w:val="000000"/>
        </w:rPr>
        <w:t>日</w:t>
      </w:r>
    </w:p>
    <w:p>
      <w:pPr>
        <w:widowControl/>
        <w:spacing w:after="160" w:line="259" w:lineRule="auto"/>
        <w:rPr>
          <w:color w:val="000000"/>
        </w:rPr>
      </w:pPr>
      <w:r>
        <w:rPr>
          <w:color w:val="000000"/>
        </w:rPr>
        <w:br w:type="page"/>
      </w:r>
    </w:p>
    <w:p>
      <w:pPr>
        <w:jc w:val="center"/>
        <w:rPr>
          <w:b/>
          <w:color w:val="000000"/>
        </w:rPr>
      </w:pPr>
      <w:r>
        <w:rPr>
          <w:rFonts w:hint="eastAsia" w:eastAsia="宋体"/>
          <w:b/>
          <w:color w:val="000000"/>
        </w:rPr>
        <w:t>附錄三</w:t>
      </w:r>
    </w:p>
    <w:p>
      <w:pPr>
        <w:jc w:val="center"/>
        <w:rPr>
          <w:b/>
          <w:color w:val="000000"/>
        </w:rPr>
      </w:pPr>
      <w:r>
        <w:rPr>
          <w:rFonts w:hint="eastAsia" w:eastAsia="宋体"/>
          <w:b/>
          <w:color w:val="000000"/>
        </w:rPr>
        <w:t>董事會函件</w:t>
      </w:r>
    </w:p>
    <w:p>
      <w:pPr>
        <w:rPr>
          <w:color w:val="000000"/>
        </w:rPr>
      </w:pPr>
    </w:p>
    <w:p>
      <w:pPr>
        <w:rPr>
          <w:color w:val="000000"/>
        </w:rPr>
      </w:pPr>
    </w:p>
    <w:p>
      <w:pPr>
        <w:rPr>
          <w:b/>
          <w:color w:val="000000"/>
        </w:rPr>
      </w:pPr>
      <w:r>
        <w:rPr>
          <w:rFonts w:hint="eastAsia" w:eastAsia="宋体"/>
          <w:b/>
          <w:color w:val="000000"/>
        </w:rPr>
        <w:t>董事會有關新達製藥估值報告中收益法評估之函件</w:t>
      </w:r>
    </w:p>
    <w:p>
      <w:pPr>
        <w:rPr>
          <w:color w:val="000000"/>
        </w:rPr>
      </w:pPr>
    </w:p>
    <w:p>
      <w:pPr>
        <w:rPr>
          <w:color w:val="000000"/>
        </w:rPr>
      </w:pPr>
      <w:r>
        <w:rPr>
          <w:rFonts w:eastAsia="宋体"/>
          <w:color w:val="000000"/>
        </w:rPr>
        <w:t>敬啓者：</w:t>
      </w:r>
    </w:p>
    <w:p>
      <w:pPr>
        <w:rPr>
          <w:color w:val="000000"/>
        </w:rPr>
      </w:pPr>
    </w:p>
    <w:p>
      <w:pPr>
        <w:rPr>
          <w:color w:val="000000"/>
        </w:rPr>
      </w:pPr>
      <w:r>
        <w:rPr>
          <w:rFonts w:eastAsia="宋体"/>
          <w:color w:val="000000"/>
        </w:rPr>
        <w:t>茲提述本公司日期為二零一八年十一月</w:t>
      </w:r>
      <w:r>
        <w:rPr>
          <w:rFonts w:hint="eastAsia" w:eastAsia="宋体"/>
          <w:color w:val="000000"/>
          <w:lang w:eastAsia="zh-CN"/>
        </w:rPr>
        <w:t>六</w:t>
      </w:r>
      <w:r>
        <w:rPr>
          <w:rFonts w:eastAsia="宋体"/>
          <w:color w:val="000000"/>
        </w:rPr>
        <w:t>日的公告（「</w:t>
      </w:r>
      <w:r>
        <w:rPr>
          <w:rFonts w:eastAsia="宋体"/>
          <w:b/>
          <w:color w:val="000000"/>
        </w:rPr>
        <w:t>公告</w:t>
      </w:r>
      <w:r>
        <w:rPr>
          <w:rFonts w:eastAsia="宋体"/>
          <w:color w:val="000000"/>
        </w:rPr>
        <w:t>」）。除非文義另有所指，本函件所用詞與公告所界定者具有相同涵義。</w:t>
      </w:r>
    </w:p>
    <w:p>
      <w:pPr>
        <w:rPr>
          <w:color w:val="000000"/>
        </w:rPr>
      </w:pPr>
      <w:bookmarkStart w:id="0" w:name="_GoBack"/>
      <w:bookmarkEnd w:id="0"/>
    </w:p>
    <w:p>
      <w:pPr>
        <w:jc w:val="both"/>
        <w:rPr>
          <w:color w:val="000000"/>
        </w:rPr>
      </w:pPr>
      <w:r>
        <w:rPr>
          <w:rFonts w:eastAsia="宋体"/>
          <w:color w:val="000000"/>
        </w:rPr>
        <w:t>我會已審閲估值師所出具題述報告中以收益法評估新達製藥估值所依據之基準及假設，估值師對該估值負責。有關新達製藥以收益法估值而言是否在所有重大方面已妥善遵循其基準及假設並按合適的計算方法妥為作出一事，我會已考慮本公司申報會計師信永</w:t>
      </w:r>
      <w:r>
        <w:rPr>
          <w:rFonts w:hint="eastAsia" w:eastAsia="宋体"/>
          <w:color w:val="000000"/>
        </w:rPr>
        <w:t>中和</w:t>
      </w:r>
      <w:r>
        <w:rPr>
          <w:rFonts w:eastAsia="宋体"/>
          <w:color w:val="000000"/>
        </w:rPr>
        <w:t>所出具的報告。基於上文所述，我會同意並確認以收益法評估新達製藥估值乃經審慎</w:t>
      </w:r>
      <w:r>
        <w:rPr>
          <w:rFonts w:hint="eastAsia" w:ascii="Times New Roman" w:hAnsi="Times New Roman" w:eastAsia="宋体"/>
          <w:color w:val="000000"/>
        </w:rPr>
        <w:t>處理並作出</w:t>
      </w:r>
      <w:r>
        <w:rPr>
          <w:rFonts w:eastAsia="宋体"/>
          <w:color w:val="000000"/>
        </w:rPr>
        <w:t>適當審慎查詢後方行制訂，</w:t>
      </w:r>
      <w:r>
        <w:rPr>
          <w:rFonts w:hint="eastAsia" w:eastAsia="宋体"/>
          <w:color w:val="000000"/>
        </w:rPr>
        <w:t>且儘管</w:t>
      </w:r>
      <w:r>
        <w:rPr>
          <w:rFonts w:eastAsia="宋体"/>
          <w:color w:val="000000"/>
        </w:rPr>
        <w:t>估值師</w:t>
      </w:r>
      <w:r>
        <w:rPr>
          <w:rFonts w:hint="eastAsia" w:ascii="Times New Roman" w:hAnsi="Times New Roman" w:eastAsia="宋体"/>
          <w:color w:val="000000"/>
        </w:rPr>
        <w:t>乃由</w:t>
      </w:r>
      <w:r>
        <w:rPr>
          <w:rFonts w:eastAsia="宋体"/>
          <w:color w:val="000000"/>
        </w:rPr>
        <w:t>賣方</w:t>
      </w:r>
      <w:r>
        <w:rPr>
          <w:rFonts w:hint="eastAsia" w:ascii="Times New Roman" w:hAnsi="Times New Roman" w:eastAsia="宋体"/>
          <w:color w:val="000000"/>
        </w:rPr>
        <w:t>委聘</w:t>
      </w:r>
      <w:r>
        <w:rPr>
          <w:rFonts w:eastAsia="宋体"/>
          <w:color w:val="000000"/>
        </w:rPr>
        <w:t>，亦符合上市規則第14A.68(7)條及其下所引14.62條的有關規定。</w:t>
      </w:r>
    </w:p>
    <w:p>
      <w:pPr>
        <w:jc w:val="both"/>
        <w:rPr>
          <w:color w:val="000000"/>
        </w:rPr>
      </w:pPr>
    </w:p>
    <w:p>
      <w:pPr>
        <w:ind w:firstLine="720"/>
        <w:jc w:val="both"/>
        <w:rPr>
          <w:color w:val="000000"/>
        </w:rPr>
      </w:pPr>
      <w:r>
        <w:rPr>
          <w:rFonts w:eastAsia="宋体"/>
          <w:color w:val="000000"/>
        </w:rPr>
        <w:t>此致</w:t>
      </w:r>
    </w:p>
    <w:p>
      <w:pPr>
        <w:rPr>
          <w:color w:val="000000"/>
        </w:rPr>
      </w:pPr>
      <w:r>
        <w:rPr>
          <w:rFonts w:eastAsia="宋体"/>
          <w:color w:val="000000"/>
        </w:rPr>
        <w:t>香港聯合交易所有限公司臺照</w:t>
      </w:r>
    </w:p>
    <w:p>
      <w:pPr>
        <w:ind w:firstLine="6377" w:firstLineChars="2657"/>
        <w:rPr>
          <w:color w:val="000000"/>
        </w:rPr>
      </w:pPr>
      <w:r>
        <w:rPr>
          <w:rFonts w:eastAsia="宋体"/>
          <w:color w:val="000000"/>
        </w:rPr>
        <w:t>承董事會命</w:t>
      </w:r>
    </w:p>
    <w:p>
      <w:pPr>
        <w:ind w:firstLine="5533" w:firstLineChars="2303"/>
        <w:rPr>
          <w:rFonts w:hint="eastAsia"/>
          <w:b/>
          <w:color w:val="000000"/>
        </w:rPr>
      </w:pPr>
      <w:r>
        <w:rPr>
          <w:rFonts w:hint="eastAsia" w:eastAsia="宋体"/>
          <w:b/>
          <w:color w:val="000000"/>
        </w:rPr>
        <w:t>山東新華製藥股份有限公司</w:t>
      </w:r>
    </w:p>
    <w:p>
      <w:pPr>
        <w:ind w:firstLine="5533" w:firstLineChars="2303"/>
        <w:rPr>
          <w:rFonts w:hint="eastAsia" w:eastAsia="宋体"/>
          <w:b/>
          <w:color w:val="000000"/>
          <w:lang w:val="en-US" w:eastAsia="zh-CN"/>
        </w:rPr>
      </w:pPr>
      <w:r>
        <w:rPr>
          <w:rFonts w:hint="eastAsia" w:eastAsia="宋体"/>
          <w:b/>
          <w:color w:val="000000"/>
          <w:lang w:val="en-US" w:eastAsia="zh-CN"/>
        </w:rPr>
        <w:t xml:space="preserve">              董事長</w:t>
      </w:r>
    </w:p>
    <w:p>
      <w:pPr>
        <w:ind w:firstLine="6235" w:firstLineChars="2598"/>
        <w:rPr>
          <w:rFonts w:hint="eastAsia" w:eastAsia="宋体"/>
          <w:color w:val="000000"/>
          <w:lang w:eastAsia="zh-CN"/>
        </w:rPr>
      </w:pPr>
      <w:r>
        <w:rPr>
          <w:rFonts w:hint="eastAsia" w:eastAsia="宋体"/>
          <w:color w:val="000000"/>
          <w:lang w:val="en-US" w:eastAsia="zh-CN"/>
        </w:rPr>
        <w:t xml:space="preserve">  </w:t>
      </w:r>
      <w:r>
        <w:rPr>
          <w:rFonts w:hint="eastAsia" w:eastAsia="宋体"/>
          <w:color w:val="000000"/>
          <w:lang w:eastAsia="zh-CN"/>
        </w:rPr>
        <w:t>張代銘</w:t>
      </w:r>
    </w:p>
    <w:p>
      <w:pPr>
        <w:rPr>
          <w:color w:val="000000"/>
        </w:rPr>
      </w:pPr>
      <w:r>
        <w:rPr>
          <w:rFonts w:eastAsia="宋体"/>
          <w:color w:val="000000"/>
        </w:rPr>
        <w:t>二零一八年十一月</w:t>
      </w:r>
      <w:r>
        <w:rPr>
          <w:rFonts w:hint="eastAsia" w:eastAsia="宋体"/>
          <w:color w:val="000000"/>
          <w:lang w:eastAsia="zh-CN"/>
        </w:rPr>
        <w:t>六</w:t>
      </w:r>
      <w:r>
        <w:rPr>
          <w:rFonts w:eastAsia="宋体"/>
          <w:color w:val="000000"/>
        </w:rPr>
        <w:t>日</w:t>
      </w:r>
    </w:p>
    <w:p>
      <w:pPr>
        <w:pStyle w:val="4"/>
        <w:snapToGrid w:val="0"/>
        <w:ind w:left="-117"/>
        <w:jc w:val="both"/>
        <w:rPr>
          <w:rFonts w:ascii="Times New Roman" w:hAnsi="Times New Roman"/>
          <w:color w:val="000000"/>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Times">
    <w:altName w:val="Times New Roman"/>
    <w:panose1 w:val="02020603050405020304"/>
    <w:charset w:val="00"/>
    <w:family w:val="auto"/>
    <w:pitch w:val="default"/>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rPr>
        <w:sz w:val="16"/>
      </w:rPr>
    </w:pPr>
  </w:p>
  <w:p>
    <w:pPr>
      <w:pStyle w:val="6"/>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5848883">
    <w:nsid w:val="5CBC5EB3"/>
    <w:multiLevelType w:val="multilevel"/>
    <w:tmpl w:val="5CBC5EB3"/>
    <w:lvl w:ilvl="0" w:tentative="1">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89059055">
    <w:nsid w:val="58C13CEF"/>
    <w:multiLevelType w:val="multilevel"/>
    <w:tmpl w:val="58C13CEF"/>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6817427">
    <w:nsid w:val="1BD31193"/>
    <w:multiLevelType w:val="multilevel"/>
    <w:tmpl w:val="1BD31193"/>
    <w:lvl w:ilvl="0" w:tentative="1">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93451102">
    <w:nsid w:val="5904415E"/>
    <w:multiLevelType w:val="multilevel"/>
    <w:tmpl w:val="5904415E"/>
    <w:lvl w:ilvl="0" w:tentative="1">
      <w:start w:val="1"/>
      <w:numFmt w:val="decimal"/>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54301720">
    <w:nsid w:val="7A722818"/>
    <w:multiLevelType w:val="multilevel"/>
    <w:tmpl w:val="7A722818"/>
    <w:lvl w:ilvl="0" w:tentative="1">
      <w:start w:val="1"/>
      <w:numFmt w:val="taiwaneseCountingThousand"/>
      <w:lvlText w:val="（%1）"/>
      <w:lvlJc w:val="left"/>
      <w:pPr>
        <w:ind w:left="765" w:hanging="765"/>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1489059055"/>
  </w:num>
  <w:num w:numId="2">
    <w:abstractNumId w:val="466817427"/>
  </w:num>
  <w:num w:numId="3">
    <w:abstractNumId w:val="2054301720"/>
  </w:num>
  <w:num w:numId="4">
    <w:abstractNumId w:val="1555848883"/>
  </w:num>
  <w:num w:numId="5">
    <w:abstractNumId w:val="1493451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US" w:eastAsia="zh-TW" w:bidi="ar-SA"/>
    </w:rPr>
  </w:style>
  <w:style w:type="character" w:default="1" w:styleId="9">
    <w:name w:val="Default Paragraph Font"/>
    <w:semiHidden/>
    <w:unhideWhenUsed/>
    <w:uiPriority w:val="1"/>
  </w:style>
  <w:style w:type="paragraph" w:styleId="2">
    <w:name w:val="annotation subject"/>
    <w:basedOn w:val="3"/>
    <w:next w:val="3"/>
    <w:link w:val="23"/>
    <w:semiHidden/>
    <w:unhideWhenUsed/>
    <w:uiPriority w:val="99"/>
    <w:rPr>
      <w:b/>
      <w:bCs/>
    </w:rPr>
  </w:style>
  <w:style w:type="paragraph" w:styleId="3">
    <w:name w:val="annotation text"/>
    <w:basedOn w:val="1"/>
    <w:link w:val="22"/>
    <w:semiHidden/>
    <w:unhideWhenUsed/>
    <w:uiPriority w:val="99"/>
    <w:rPr>
      <w:sz w:val="20"/>
      <w:szCs w:val="20"/>
    </w:rPr>
  </w:style>
  <w:style w:type="paragraph" w:styleId="4">
    <w:name w:val="Plain Text"/>
    <w:basedOn w:val="1"/>
    <w:link w:val="21"/>
    <w:semiHidden/>
    <w:uiPriority w:val="0"/>
    <w:rPr>
      <w:rFonts w:ascii="MingLiU" w:hAnsi="Courier New" w:eastAsia="MingLiU"/>
      <w:szCs w:val="22"/>
    </w:rPr>
  </w:style>
  <w:style w:type="paragraph" w:styleId="5">
    <w:name w:val="Balloon Text"/>
    <w:basedOn w:val="1"/>
    <w:link w:val="24"/>
    <w:semiHidden/>
    <w:unhideWhenUsed/>
    <w:uiPriority w:val="99"/>
    <w:rPr>
      <w:rFonts w:ascii="Segoe UI" w:hAnsi="Segoe UI" w:cs="Segoe UI"/>
      <w:sz w:val="18"/>
      <w:szCs w:val="18"/>
    </w:rPr>
  </w:style>
  <w:style w:type="paragraph" w:styleId="6">
    <w:name w:val="footer"/>
    <w:basedOn w:val="1"/>
    <w:link w:val="20"/>
    <w:unhideWhenUsed/>
    <w:uiPriority w:val="0"/>
    <w:pPr>
      <w:tabs>
        <w:tab w:val="center" w:pos="4513"/>
        <w:tab w:val="right" w:pos="9026"/>
      </w:tabs>
    </w:pPr>
  </w:style>
  <w:style w:type="paragraph" w:styleId="7">
    <w:name w:val="header"/>
    <w:basedOn w:val="1"/>
    <w:link w:val="19"/>
    <w:unhideWhenUsed/>
    <w:uiPriority w:val="99"/>
    <w:pPr>
      <w:tabs>
        <w:tab w:val="center" w:pos="4513"/>
        <w:tab w:val="right" w:pos="9026"/>
      </w:tabs>
    </w:pPr>
  </w:style>
  <w:style w:type="paragraph" w:styleId="8">
    <w:name w:val="Body Text Indent 3"/>
    <w:basedOn w:val="1"/>
    <w:link w:val="25"/>
    <w:uiPriority w:val="99"/>
    <w:pPr>
      <w:spacing w:after="120"/>
      <w:ind w:left="420" w:leftChars="200"/>
      <w:jc w:val="both"/>
    </w:pPr>
    <w:rPr>
      <w:rFonts w:eastAsia="宋体"/>
      <w:sz w:val="16"/>
      <w:szCs w:val="16"/>
      <w:lang w:eastAsia="zh-CN"/>
    </w:rPr>
  </w:style>
  <w:style w:type="character" w:styleId="10">
    <w:name w:val="annotation reference"/>
    <w:basedOn w:val="9"/>
    <w:semiHidden/>
    <w:unhideWhenUsed/>
    <w:uiPriority w:val="99"/>
    <w:rPr>
      <w:sz w:val="16"/>
      <w:szCs w:val="16"/>
    </w:rPr>
  </w:style>
  <w:style w:type="paragraph" w:customStyle="1" w:styleId="11">
    <w:name w:val="題目"/>
    <w:uiPriority w:val="0"/>
    <w:pPr>
      <w:spacing w:after="0" w:line="240" w:lineRule="auto"/>
      <w:jc w:val="center"/>
    </w:pPr>
    <w:rPr>
      <w:rFonts w:eastAsia="MingLiU"/>
      <w:b/>
      <w:sz w:val="36"/>
    </w:rPr>
  </w:style>
  <w:style w:type="paragraph" w:customStyle="1" w:styleId="12">
    <w:name w:val="Leading 12"/>
    <w:uiPriority w:val="0"/>
    <w:pPr>
      <w:widowControl w:val="0"/>
      <w:tabs>
        <w:tab w:val="left" w:pos="340"/>
        <w:tab w:val="left" w:pos="680"/>
        <w:tab w:val="left" w:pos="1020"/>
        <w:tab w:val="left" w:pos="1361"/>
      </w:tabs>
      <w:autoSpaceDE w:val="0"/>
      <w:autoSpaceDN w:val="0"/>
      <w:adjustRightInd w:val="0"/>
      <w:spacing w:after="0" w:line="182" w:lineRule="atLeast"/>
      <w:jc w:val="both"/>
    </w:pPr>
    <w:rPr>
      <w:rFonts w:ascii="Times" w:hAnsi="Times" w:eastAsia="PMingLiU"/>
      <w:sz w:val="10"/>
      <w:szCs w:val="10"/>
    </w:rPr>
  </w:style>
  <w:style w:type="paragraph" w:customStyle="1" w:styleId="13">
    <w:name w:val="Leading 06"/>
    <w:uiPriority w:val="0"/>
    <w:pPr>
      <w:widowControl w:val="0"/>
      <w:tabs>
        <w:tab w:val="left" w:pos="340"/>
        <w:tab w:val="left" w:pos="680"/>
        <w:tab w:val="left" w:pos="1020"/>
        <w:tab w:val="left" w:pos="1361"/>
      </w:tabs>
      <w:autoSpaceDE w:val="0"/>
      <w:autoSpaceDN w:val="0"/>
      <w:adjustRightInd w:val="0"/>
      <w:spacing w:after="0" w:line="180" w:lineRule="atLeast"/>
      <w:jc w:val="both"/>
    </w:pPr>
    <w:rPr>
      <w:rFonts w:ascii="Times" w:hAnsi="Times" w:eastAsia="PMingLiU"/>
      <w:sz w:val="10"/>
      <w:szCs w:val="10"/>
    </w:rPr>
  </w:style>
  <w:style w:type="paragraph" w:customStyle="1" w:styleId="14">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00" w:lineRule="atLeast"/>
      <w:ind w:left="340"/>
      <w:jc w:val="both"/>
    </w:pPr>
    <w:rPr>
      <w:rFonts w:ascii="Times" w:hAnsi="Times" w:eastAsia="PMingLiU"/>
      <w:color w:val="000000"/>
      <w:sz w:val="17"/>
      <w:szCs w:val="17"/>
    </w:rPr>
  </w:style>
  <w:style w:type="paragraph" w:customStyle="1" w:styleId="15">
    <w:name w:val="List Paragraph1"/>
    <w:basedOn w:val="1"/>
    <w:qFormat/>
    <w:uiPriority w:val="34"/>
    <w:pPr>
      <w:ind w:left="720"/>
    </w:pPr>
  </w:style>
  <w:style w:type="paragraph" w:customStyle="1" w:styleId="16">
    <w:name w:val="Revision"/>
    <w:hidden/>
    <w:semiHidden/>
    <w:uiPriority w:val="99"/>
    <w:pPr>
      <w:spacing w:after="0" w:line="240" w:lineRule="auto"/>
    </w:pPr>
    <w:rPr>
      <w:rFonts w:eastAsia="PMingLiU"/>
      <w:kern w:val="2"/>
      <w:sz w:val="24"/>
      <w:szCs w:val="24"/>
      <w:lang w:eastAsia="zh-TW"/>
    </w:rPr>
  </w:style>
  <w:style w:type="paragraph" w:customStyle="1" w:styleId="17">
    <w:name w:val="List Paragraph"/>
    <w:basedOn w:val="1"/>
    <w:qFormat/>
    <w:uiPriority w:val="34"/>
    <w:pPr>
      <w:ind w:left="720"/>
    </w:pPr>
  </w:style>
  <w:style w:type="paragraph" w:customStyle="1" w:styleId="18">
    <w:name w:val="No Spacing"/>
    <w:qFormat/>
    <w:uiPriority w:val="1"/>
    <w:pPr>
      <w:widowControl w:val="0"/>
      <w:spacing w:after="0" w:line="240" w:lineRule="auto"/>
    </w:pPr>
    <w:rPr>
      <w:rFonts w:ascii="Times New Roman" w:hAnsi="Times New Roman" w:eastAsia="PMingLiU" w:cs="Times New Roman"/>
      <w:kern w:val="2"/>
      <w:sz w:val="22"/>
      <w:szCs w:val="24"/>
      <w:lang w:val="en-US" w:eastAsia="zh-TW" w:bidi="ar-SA"/>
    </w:rPr>
  </w:style>
  <w:style w:type="character" w:customStyle="1" w:styleId="19">
    <w:name w:val="Header Char"/>
    <w:basedOn w:val="9"/>
    <w:link w:val="7"/>
    <w:uiPriority w:val="99"/>
    <w:rPr/>
  </w:style>
  <w:style w:type="character" w:customStyle="1" w:styleId="20">
    <w:name w:val="Footer Char"/>
    <w:basedOn w:val="9"/>
    <w:link w:val="6"/>
    <w:uiPriority w:val="99"/>
    <w:rPr/>
  </w:style>
  <w:style w:type="character" w:customStyle="1" w:styleId="21">
    <w:name w:val="Plain Text Char"/>
    <w:basedOn w:val="9"/>
    <w:link w:val="4"/>
    <w:semiHidden/>
    <w:uiPriority w:val="0"/>
    <w:rPr>
      <w:rFonts w:ascii="MingLiU" w:hAnsi="Courier New" w:eastAsia="MingLiU" w:cs="Times New Roman"/>
      <w:kern w:val="2"/>
      <w:sz w:val="24"/>
      <w:lang w:val="en-US"/>
    </w:rPr>
  </w:style>
  <w:style w:type="character" w:customStyle="1" w:styleId="22">
    <w:name w:val="Comment Text Char"/>
    <w:basedOn w:val="9"/>
    <w:link w:val="3"/>
    <w:semiHidden/>
    <w:uiPriority w:val="99"/>
    <w:rPr>
      <w:rFonts w:ascii="Times New Roman" w:hAnsi="Times New Roman" w:eastAsia="PMingLiU" w:cs="Times New Roman"/>
      <w:kern w:val="2"/>
      <w:sz w:val="20"/>
      <w:szCs w:val="20"/>
      <w:lang w:val="en-US"/>
    </w:rPr>
  </w:style>
  <w:style w:type="character" w:customStyle="1" w:styleId="23">
    <w:name w:val="Comment Subject Char"/>
    <w:basedOn w:val="22"/>
    <w:link w:val="2"/>
    <w:semiHidden/>
    <w:uiPriority w:val="99"/>
    <w:rPr>
      <w:rFonts w:ascii="Times New Roman" w:hAnsi="Times New Roman" w:eastAsia="PMingLiU" w:cs="Times New Roman"/>
      <w:b/>
      <w:bCs/>
      <w:kern w:val="2"/>
      <w:sz w:val="20"/>
      <w:szCs w:val="20"/>
      <w:lang w:val="en-US"/>
    </w:rPr>
  </w:style>
  <w:style w:type="character" w:customStyle="1" w:styleId="24">
    <w:name w:val="Balloon Text Char"/>
    <w:basedOn w:val="9"/>
    <w:link w:val="5"/>
    <w:semiHidden/>
    <w:uiPriority w:val="99"/>
    <w:rPr>
      <w:rFonts w:ascii="Segoe UI" w:hAnsi="Segoe UI" w:eastAsia="PMingLiU" w:cs="Segoe UI"/>
      <w:kern w:val="2"/>
      <w:sz w:val="18"/>
      <w:szCs w:val="18"/>
      <w:lang w:val="en-US"/>
    </w:rPr>
  </w:style>
  <w:style w:type="character" w:customStyle="1" w:styleId="25">
    <w:name w:val="Body Text Indent 3 Char"/>
    <w:basedOn w:val="9"/>
    <w:link w:val="8"/>
    <w:uiPriority w:val="99"/>
    <w:rPr>
      <w:rFonts w:ascii="Times New Roman" w:hAnsi="Times New Roman" w:eastAsia="宋体" w:cs="Times New Roman"/>
      <w:kern w:val="2"/>
      <w:sz w:val="16"/>
      <w:szCs w:val="16"/>
      <w:lang w:val="en-US" w:eastAsia="zh-CN"/>
    </w:rPr>
  </w:style>
  <w:style w:type="character" w:customStyle="1" w:styleId="26">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Charltons</Company>
  <Pages>10</Pages>
  <Words>5968</Words>
  <Characters>6311</Characters>
  <Lines>7</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2018-11-02T11:04:00Z</dcterms:created>
  <dc:creator>Charltons</dc:creator>
  <cp:lastModifiedBy>曹长求</cp:lastModifiedBy>
  <cp:lastPrinted>2018-11-02T10:46:00Z</cp:lastPrinted>
  <dcterms:modified xsi:type="dcterms:W3CDTF">2018-11-05T12:30:24Z</dcterms:modified>
  <dc:title>Hong Kong Exchanges and Clearing Limited and The Stock Exchange of Hong Kong Limited take no responsibility for the contents of this announcement, make no representation as to its accuracy or completeness and expressly disclaim any liability whatsoever f</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