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rPr>
          <w:rFonts w:ascii="Times New Roman"/>
          <w:sz w:val="20"/>
        </w:rPr>
      </w:pPr>
    </w:p>
    <w:p>
      <w:pPr>
        <w:pStyle w:val="5"/>
        <w:spacing w:before="8"/>
        <w:rPr>
          <w:rFonts w:ascii="Times New Roman"/>
          <w:sz w:val="17"/>
        </w:rPr>
      </w:pPr>
    </w:p>
    <w:p>
      <w:pPr>
        <w:spacing w:before="83" w:line="218" w:lineRule="auto"/>
        <w:ind w:left="148" w:right="226"/>
        <w:jc w:val="both"/>
        <w:rPr>
          <w:i/>
          <w:sz w:val="20"/>
          <w:lang w:eastAsia="zh-TW"/>
        </w:rPr>
      </w:pPr>
      <w:r>
        <w:rPr>
          <w:rFonts w:ascii="PMingLiU" w:hAnsi="PMingLiU" w:eastAsia="PMingLiU" w:cs="PMingLiU"/>
          <w:sz w:val="22"/>
          <w:szCs w:val="22"/>
          <w:lang w:val="en-US" w:eastAsia="zh-TW" w:bidi="ar-SA"/>
        </w:rPr>
        <w:pict>
          <v:shape id="image1.png" o:spid="_x0000_s1027" type="#_x0000_t75" style="position:absolute;left:0;margin-left:280.9pt;margin-top:37.5pt;height:46.45pt;width:39.9pt;mso-position-horizontal-relative:page;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i/>
          <w:w w:val="95"/>
          <w:sz w:val="20"/>
          <w:lang w:eastAsia="zh-TW"/>
        </w:rPr>
        <w:t xml:space="preserve">香港交易及結算所有限公司及香港聯合交易所有限公司對本公告之內容概不負責，對其準確性或完  整性亦不發表任何聲明，並明確表示概不就因本公告全部或任何部分內容而產生或因倚賴該等內容  </w:t>
      </w:r>
      <w:r>
        <w:rPr>
          <w:i/>
          <w:sz w:val="20"/>
          <w:lang w:eastAsia="zh-TW"/>
        </w:rPr>
        <w:t>而引致之任何損失承擔任何責任。</w:t>
      </w:r>
    </w:p>
    <w:p>
      <w:pPr>
        <w:pStyle w:val="5"/>
        <w:rPr>
          <w:i/>
          <w:sz w:val="20"/>
          <w:lang w:eastAsia="zh-TW"/>
        </w:rPr>
      </w:pPr>
    </w:p>
    <w:p>
      <w:pPr>
        <w:pStyle w:val="5"/>
        <w:rPr>
          <w:i/>
          <w:sz w:val="20"/>
          <w:lang w:eastAsia="zh-TW"/>
        </w:rPr>
      </w:pPr>
    </w:p>
    <w:p>
      <w:pPr>
        <w:pStyle w:val="5"/>
        <w:spacing w:before="13"/>
        <w:rPr>
          <w:i/>
          <w:sz w:val="24"/>
          <w:lang w:eastAsia="zh-TW"/>
        </w:rPr>
      </w:pPr>
    </w:p>
    <w:p>
      <w:pPr>
        <w:pStyle w:val="2"/>
        <w:spacing w:line="225" w:lineRule="auto"/>
        <w:ind w:left="2015" w:right="2099" w:firstLine="934"/>
      </w:pPr>
      <w:r>
        <w:t>山 東 新 華 製 藥 股 份 有 限 公 司 Shandong Xinhua Pharmaceutical Company Limited</w:t>
      </w:r>
    </w:p>
    <w:p>
      <w:pPr>
        <w:pStyle w:val="5"/>
        <w:spacing w:line="301" w:lineRule="exact"/>
        <w:ind w:left="1901"/>
      </w:pPr>
      <w:r>
        <w:t>（於中華人民共和國註冊成立之股份有限公司）</w:t>
      </w:r>
    </w:p>
    <w:p>
      <w:pPr>
        <w:spacing w:line="453" w:lineRule="auto"/>
        <w:ind w:left="3315" w:right="3394"/>
        <w:jc w:val="center"/>
        <w:rPr>
          <w:b/>
          <w:sz w:val="23"/>
          <w:lang w:eastAsia="zh-TW"/>
        </w:rPr>
      </w:pPr>
      <w:r>
        <w:rPr>
          <w:sz w:val="23"/>
          <w:lang w:eastAsia="zh-TW"/>
        </w:rPr>
        <w:t xml:space="preserve">（股份代碼：0719） </w:t>
      </w:r>
      <w:r>
        <w:rPr>
          <w:b/>
          <w:sz w:val="23"/>
          <w:lang w:eastAsia="zh-TW"/>
        </w:rPr>
        <w:t>持續關連交易</w:t>
      </w:r>
      <w:r>
        <w:rPr>
          <w:rFonts w:hint="eastAsia" w:eastAsia="宋体"/>
          <w:b/>
          <w:sz w:val="23"/>
          <w:lang w:eastAsia="zh-TW"/>
        </w:rPr>
        <w:t>：</w:t>
      </w:r>
    </w:p>
    <w:p>
      <w:pPr>
        <w:spacing w:line="453" w:lineRule="auto"/>
        <w:ind w:left="3315" w:right="3394"/>
        <w:jc w:val="center"/>
        <w:rPr>
          <w:rFonts w:ascii="宋体" w:hAnsi="宋体" w:cs="宋体"/>
          <w:b/>
          <w:sz w:val="23"/>
          <w:lang w:eastAsia="zh-TW"/>
        </w:rPr>
      </w:pPr>
      <w:r>
        <w:rPr>
          <w:rFonts w:hint="eastAsia" w:eastAsia="宋体"/>
          <w:b/>
          <w:sz w:val="23"/>
          <w:lang w:eastAsia="zh-TW"/>
        </w:rPr>
        <w:t>重續新華集團</w:t>
      </w:r>
      <w:r>
        <w:rPr>
          <w:rFonts w:eastAsia="宋体"/>
          <w:b/>
          <w:sz w:val="23"/>
          <w:lang w:eastAsia="zh-TW"/>
        </w:rPr>
        <w:t>協議及</w:t>
      </w:r>
      <w:r>
        <w:rPr>
          <w:rFonts w:hint="eastAsia" w:eastAsia="宋体"/>
          <w:b/>
          <w:sz w:val="23"/>
          <w:lang w:eastAsia="zh-TW"/>
        </w:rPr>
        <w:t>華</w:t>
      </w:r>
      <w:r>
        <w:rPr>
          <w:rFonts w:hint="eastAsia"/>
          <w:b/>
          <w:sz w:val="23"/>
          <w:lang w:eastAsia="zh-TW"/>
        </w:rPr>
        <w:t>魯</w:t>
      </w:r>
      <w:r>
        <w:rPr>
          <w:rFonts w:hint="eastAsia" w:ascii="宋体" w:hAnsi="宋体" w:eastAsia="宋体" w:cs="宋体"/>
          <w:b/>
          <w:sz w:val="23"/>
          <w:lang w:eastAsia="zh-TW"/>
        </w:rPr>
        <w:t>恒升協議</w:t>
      </w:r>
    </w:p>
    <w:p>
      <w:pPr>
        <w:spacing w:line="453" w:lineRule="auto"/>
        <w:ind w:left="3315" w:right="3394"/>
        <w:jc w:val="center"/>
        <w:rPr>
          <w:b/>
          <w:sz w:val="23"/>
          <w:lang w:eastAsia="zh-TW"/>
        </w:rPr>
      </w:pPr>
    </w:p>
    <w:p>
      <w:pPr>
        <w:pStyle w:val="5"/>
        <w:spacing w:before="9"/>
        <w:ind w:left="630"/>
        <w:rPr>
          <w:b/>
          <w:sz w:val="21"/>
          <w:lang w:eastAsia="zh-TW"/>
        </w:rPr>
      </w:pPr>
      <w:r>
        <w:rPr>
          <w:rFonts w:hint="eastAsia" w:eastAsia="宋体"/>
          <w:lang w:eastAsia="zh-TW"/>
        </w:rPr>
        <w:t>茲提述山東</w:t>
      </w:r>
      <w:r>
        <w:rPr>
          <w:rFonts w:eastAsia="宋体"/>
          <w:lang w:eastAsia="zh-TW"/>
        </w:rPr>
        <w:t>新華製藥股份有限公司</w:t>
      </w:r>
      <w:r>
        <w:rPr>
          <w:rFonts w:hint="eastAsia" w:eastAsia="宋体"/>
          <w:lang w:eastAsia="zh-TW"/>
        </w:rPr>
        <w:t>（</w:t>
      </w:r>
      <w:r>
        <w:rPr>
          <w:rFonts w:hint="eastAsia" w:ascii="宋体" w:hAnsi="宋体" w:eastAsia="宋体"/>
          <w:lang w:eastAsia="zh-TW"/>
        </w:rPr>
        <w:t>「</w:t>
      </w:r>
      <w:r>
        <w:rPr>
          <w:rFonts w:hint="eastAsia" w:ascii="宋体" w:hAnsi="宋体" w:eastAsia="宋体"/>
          <w:b/>
          <w:lang w:eastAsia="zh-TW"/>
        </w:rPr>
        <w:t>本公司</w:t>
      </w:r>
      <w:r>
        <w:rPr>
          <w:rFonts w:hint="eastAsia" w:ascii="宋体" w:hAnsi="宋体" w:eastAsia="宋体"/>
          <w:lang w:eastAsia="zh-TW"/>
        </w:rPr>
        <w:t>」</w:t>
      </w:r>
      <w:r>
        <w:rPr>
          <w:rFonts w:hint="eastAsia" w:eastAsia="宋体"/>
          <w:lang w:eastAsia="zh-TW"/>
        </w:rPr>
        <w:t>）日期為</w:t>
      </w:r>
      <w:r>
        <w:rPr>
          <w:rFonts w:eastAsia="宋体"/>
          <w:lang w:eastAsia="zh-TW"/>
        </w:rPr>
        <w:t>2015年10月29日及2018年4月20日的公告及日期為2015年12月14日</w:t>
      </w:r>
      <w:r>
        <w:rPr>
          <w:rFonts w:hint="eastAsia" w:eastAsia="宋体"/>
          <w:lang w:eastAsia="zh-TW"/>
        </w:rPr>
        <w:t>及2018年6月8日</w:t>
      </w:r>
      <w:r>
        <w:rPr>
          <w:rFonts w:eastAsia="宋体"/>
          <w:lang w:eastAsia="zh-TW"/>
        </w:rPr>
        <w:t>的</w:t>
      </w:r>
      <w:r>
        <w:rPr>
          <w:rFonts w:hint="eastAsia" w:eastAsia="宋体"/>
          <w:lang w:eastAsia="zh-TW"/>
        </w:rPr>
        <w:t>通函，內容有關（其中包括）本公司持續關連交易。</w:t>
      </w:r>
      <w:r>
        <w:rPr>
          <w:lang w:eastAsia="zh-TW"/>
        </w:rPr>
        <w:t>除非本公告另有界定，本公告所用詞彙與</w:t>
      </w:r>
      <w:r>
        <w:rPr>
          <w:rFonts w:hint="eastAsia" w:eastAsia="宋体"/>
          <w:lang w:eastAsia="zh-TW"/>
        </w:rPr>
        <w:t>本公司</w:t>
      </w:r>
      <w:r>
        <w:rPr>
          <w:rFonts w:eastAsia="宋体"/>
          <w:lang w:eastAsia="zh-TW"/>
        </w:rPr>
        <w:t>日期為</w:t>
      </w:r>
      <w:r>
        <w:rPr>
          <w:rFonts w:hint="eastAsia" w:eastAsia="宋体"/>
          <w:lang w:eastAsia="zh-TW"/>
        </w:rPr>
        <w:t>2015年12月14日的</w:t>
      </w:r>
      <w:r>
        <w:rPr>
          <w:lang w:eastAsia="zh-TW"/>
        </w:rPr>
        <w:t>通函所界定者具有相同涵義</w:t>
      </w:r>
      <w:r>
        <w:rPr>
          <w:rFonts w:hint="eastAsia"/>
          <w:lang w:eastAsia="zh-TW"/>
        </w:rPr>
        <w:t>。</w:t>
      </w:r>
    </w:p>
    <w:p>
      <w:pPr>
        <w:pStyle w:val="5"/>
        <w:spacing w:line="225" w:lineRule="auto"/>
        <w:ind w:left="630" w:right="222"/>
        <w:jc w:val="both"/>
        <w:rPr>
          <w:lang w:eastAsia="zh-TW"/>
        </w:rPr>
      </w:pPr>
    </w:p>
    <w:p>
      <w:pPr>
        <w:pStyle w:val="5"/>
        <w:ind w:left="630"/>
        <w:rPr>
          <w:sz w:val="20"/>
          <w:lang w:eastAsia="zh-TW"/>
        </w:rPr>
      </w:pPr>
    </w:p>
    <w:p>
      <w:pPr>
        <w:pStyle w:val="5"/>
        <w:spacing w:before="7"/>
        <w:ind w:left="630"/>
        <w:rPr>
          <w:sz w:val="19"/>
          <w:lang w:eastAsia="zh-TW"/>
        </w:rPr>
      </w:pPr>
    </w:p>
    <w:p>
      <w:pPr>
        <w:pStyle w:val="2"/>
        <w:spacing w:before="57"/>
        <w:ind w:left="630"/>
        <w:rPr>
          <w:lang w:eastAsia="zh-TW"/>
        </w:rPr>
      </w:pPr>
      <w:r>
        <w:rPr>
          <w:lang w:eastAsia="zh-TW"/>
        </w:rPr>
        <w:t>A． 背景資料</w:t>
      </w:r>
    </w:p>
    <w:p>
      <w:pPr>
        <w:pStyle w:val="5"/>
        <w:spacing w:before="4"/>
        <w:rPr>
          <w:b/>
          <w:sz w:val="20"/>
          <w:lang w:eastAsia="zh-TW"/>
        </w:rPr>
      </w:pPr>
    </w:p>
    <w:p>
      <w:pPr>
        <w:spacing w:line="313" w:lineRule="exact"/>
        <w:ind w:left="615"/>
        <w:rPr>
          <w:b/>
          <w:sz w:val="23"/>
          <w:lang w:eastAsia="zh-TW"/>
        </w:rPr>
      </w:pPr>
      <w:r>
        <w:rPr>
          <w:b/>
          <w:sz w:val="23"/>
          <w:u w:val="single"/>
          <w:lang w:eastAsia="zh-TW"/>
        </w:rPr>
        <w:t>新華集團協議</w:t>
      </w:r>
    </w:p>
    <w:p>
      <w:pPr>
        <w:pStyle w:val="5"/>
        <w:spacing w:line="304" w:lineRule="exact"/>
        <w:ind w:left="615"/>
        <w:jc w:val="both"/>
        <w:rPr>
          <w:lang w:eastAsia="zh-TW"/>
        </w:rPr>
      </w:pPr>
      <w:r>
        <w:rPr>
          <w:lang w:eastAsia="zh-TW"/>
        </w:rPr>
        <w:t>於 2015 年 10 月 29 日，本公司與</w:t>
      </w:r>
      <w:r>
        <w:rPr>
          <w:rFonts w:hint="eastAsia" w:eastAsia="宋体"/>
          <w:lang w:eastAsia="zh-TW"/>
        </w:rPr>
        <w:t>本公司</w:t>
      </w:r>
      <w:r>
        <w:rPr>
          <w:rFonts w:eastAsia="宋体"/>
          <w:lang w:eastAsia="zh-TW"/>
        </w:rPr>
        <w:t>直接控股股東</w:t>
      </w:r>
      <w:r>
        <w:rPr>
          <w:rFonts w:hint="eastAsia" w:eastAsia="宋体"/>
          <w:lang w:eastAsia="zh-TW"/>
        </w:rPr>
        <w:t>（定義見上市規則）</w:t>
      </w:r>
      <w:r>
        <w:rPr>
          <w:lang w:eastAsia="zh-TW"/>
        </w:rPr>
        <w:t>新華集團就本</w:t>
      </w:r>
      <w:r>
        <w:rPr>
          <w:rFonts w:hint="eastAsia" w:eastAsia="宋体"/>
          <w:lang w:eastAsia="zh-TW"/>
        </w:rPr>
        <w:t>集團</w:t>
      </w:r>
      <w:r>
        <w:rPr>
          <w:lang w:eastAsia="zh-TW"/>
        </w:rPr>
        <w:t>向</w:t>
      </w:r>
      <w:r>
        <w:rPr>
          <w:rFonts w:hint="eastAsia" w:eastAsia="宋体"/>
          <w:lang w:eastAsia="zh-TW"/>
        </w:rPr>
        <w:t>控股股東</w:t>
      </w:r>
      <w:r>
        <w:rPr>
          <w:lang w:eastAsia="zh-TW"/>
        </w:rPr>
        <w:t>及其附屬公司</w:t>
      </w:r>
      <w:r>
        <w:rPr>
          <w:rFonts w:hint="eastAsia" w:eastAsia="宋体"/>
          <w:lang w:eastAsia="zh-TW"/>
        </w:rPr>
        <w:t>（統稱</w:t>
      </w:r>
      <w:r>
        <w:rPr>
          <w:rFonts w:hint="eastAsia" w:ascii="宋体" w:hAnsi="宋体" w:eastAsia="宋体"/>
          <w:lang w:eastAsia="zh-TW"/>
        </w:rPr>
        <w:t>「</w:t>
      </w:r>
      <w:r>
        <w:rPr>
          <w:rFonts w:hint="eastAsia" w:ascii="宋体" w:hAnsi="宋体" w:eastAsia="宋体"/>
          <w:b/>
          <w:lang w:eastAsia="zh-TW"/>
        </w:rPr>
        <w:t>控股股東集團</w:t>
      </w:r>
      <w:r>
        <w:rPr>
          <w:rFonts w:hint="eastAsia" w:ascii="宋体" w:hAnsi="宋体" w:eastAsia="宋体"/>
          <w:lang w:eastAsia="zh-TW"/>
        </w:rPr>
        <w:t>」</w:t>
      </w:r>
      <w:r>
        <w:rPr>
          <w:rFonts w:hint="eastAsia" w:eastAsia="宋体"/>
          <w:lang w:eastAsia="zh-TW"/>
        </w:rPr>
        <w:t>）</w:t>
      </w:r>
      <w:r>
        <w:rPr>
          <w:lang w:eastAsia="zh-TW"/>
        </w:rPr>
        <w:t>銷售及購買某些產品及服務訂立協議，期限自 2016年 1 月1 日至 2018 年 12 月 31 日止，為期 3 年  ，該協議將於 2018 年 12 月 31 日到期。</w:t>
      </w:r>
    </w:p>
    <w:p>
      <w:pPr>
        <w:pStyle w:val="5"/>
        <w:spacing w:before="6"/>
        <w:rPr>
          <w:sz w:val="20"/>
          <w:lang w:eastAsia="zh-TW"/>
        </w:rPr>
      </w:pPr>
    </w:p>
    <w:p>
      <w:pPr>
        <w:pStyle w:val="5"/>
        <w:spacing w:line="313" w:lineRule="exact"/>
        <w:ind w:left="615"/>
        <w:rPr>
          <w:lang w:eastAsia="zh-TW"/>
        </w:rPr>
      </w:pPr>
      <w:r>
        <w:rPr>
          <w:lang w:eastAsia="zh-TW"/>
        </w:rPr>
        <w:t>在此情况下，本公司已與新華集團</w:t>
      </w:r>
      <w:r>
        <w:rPr>
          <w:rFonts w:hint="eastAsia"/>
          <w:lang w:eastAsia="zh-TW"/>
        </w:rPr>
        <w:t>及</w:t>
      </w:r>
      <w:r>
        <w:rPr>
          <w:lang w:eastAsia="zh-TW"/>
        </w:rPr>
        <w:t>華魯控股訂立自 2019 年 1 月 1 日起至 2021 年 12 月 31日止，為期 3 年的</w:t>
      </w:r>
      <w:r>
        <w:rPr>
          <w:rFonts w:hint="eastAsia"/>
          <w:lang w:eastAsia="zh-TW"/>
        </w:rPr>
        <w:t>經</w:t>
      </w:r>
      <w:r>
        <w:rPr>
          <w:rFonts w:hint="eastAsia" w:eastAsia="宋体"/>
          <w:lang w:eastAsia="zh-TW"/>
        </w:rPr>
        <w:t>重續</w:t>
      </w:r>
      <w:r>
        <w:rPr>
          <w:lang w:eastAsia="zh-TW"/>
        </w:rPr>
        <w:t>新華集團協議。</w:t>
      </w:r>
    </w:p>
    <w:p>
      <w:pPr>
        <w:spacing w:line="313" w:lineRule="exact"/>
        <w:rPr>
          <w:lang w:eastAsia="zh-TW"/>
        </w:rPr>
        <w:sectPr>
          <w:footerReference r:id="rId4" w:type="default"/>
          <w:pgSz w:w="11910" w:h="16840"/>
          <w:pgMar w:top="1600" w:right="1520" w:bottom="1600" w:left="1600" w:header="0" w:footer="1418" w:gutter="0"/>
          <w:cols w:space="720" w:num="1"/>
        </w:sectPr>
      </w:pPr>
    </w:p>
    <w:p>
      <w:pPr>
        <w:pStyle w:val="5"/>
        <w:rPr>
          <w:sz w:val="20"/>
          <w:lang w:eastAsia="zh-TW"/>
        </w:rPr>
      </w:pPr>
    </w:p>
    <w:p>
      <w:pPr>
        <w:pStyle w:val="5"/>
        <w:spacing w:before="1"/>
        <w:rPr>
          <w:sz w:val="16"/>
          <w:lang w:eastAsia="zh-TW"/>
        </w:rPr>
      </w:pPr>
    </w:p>
    <w:p>
      <w:pPr>
        <w:pStyle w:val="2"/>
        <w:spacing w:line="313" w:lineRule="exact"/>
        <w:rPr>
          <w:lang w:eastAsia="zh-TW"/>
        </w:rPr>
      </w:pPr>
      <w:r>
        <w:rPr>
          <w:u w:val="single"/>
          <w:lang w:eastAsia="zh-TW"/>
        </w:rPr>
        <w:t>華魯恒升協議</w:t>
      </w:r>
    </w:p>
    <w:p>
      <w:pPr>
        <w:pStyle w:val="5"/>
        <w:spacing w:line="304" w:lineRule="exact"/>
        <w:ind w:left="615"/>
        <w:jc w:val="both"/>
        <w:rPr>
          <w:lang w:eastAsia="zh-TW"/>
        </w:rPr>
      </w:pPr>
      <w:r>
        <w:rPr>
          <w:lang w:eastAsia="zh-TW"/>
        </w:rPr>
        <w:t xml:space="preserve">於 2015 年 10 月 </w:t>
      </w:r>
      <w:r>
        <w:rPr>
          <w:rFonts w:hint="eastAsia"/>
          <w:lang w:eastAsia="zh-TW"/>
        </w:rPr>
        <w:t>2</w:t>
      </w:r>
      <w:r>
        <w:rPr>
          <w:lang w:eastAsia="zh-TW"/>
        </w:rPr>
        <w:t>9 日，本公司與華魯恒升就</w:t>
      </w:r>
      <w:r>
        <w:rPr>
          <w:rFonts w:hint="eastAsia" w:eastAsia="宋体"/>
          <w:lang w:eastAsia="zh-TW"/>
        </w:rPr>
        <w:t>本集團</w:t>
      </w:r>
      <w:r>
        <w:rPr>
          <w:lang w:eastAsia="zh-TW"/>
        </w:rPr>
        <w:t>向華魯恒升及</w:t>
      </w:r>
      <w:r>
        <w:rPr>
          <w:rFonts w:hint="eastAsia"/>
          <w:lang w:eastAsia="zh-TW"/>
        </w:rPr>
        <w:t>／</w:t>
      </w:r>
      <w:r>
        <w:rPr>
          <w:lang w:eastAsia="zh-TW"/>
        </w:rPr>
        <w:t>或其附屬公司</w:t>
      </w:r>
      <w:r>
        <w:rPr>
          <w:rFonts w:hint="eastAsia" w:eastAsia="宋体"/>
          <w:lang w:eastAsia="zh-TW"/>
        </w:rPr>
        <w:t>（</w:t>
      </w:r>
      <w:r>
        <w:rPr>
          <w:rFonts w:hint="eastAsia" w:ascii="宋体" w:hAnsi="宋体" w:eastAsia="宋体"/>
          <w:lang w:eastAsia="zh-TW"/>
        </w:rPr>
        <w:t>「華魯恆升集團」</w:t>
      </w:r>
      <w:r>
        <w:rPr>
          <w:rFonts w:hint="eastAsia" w:eastAsia="宋体"/>
          <w:lang w:eastAsia="zh-TW"/>
        </w:rPr>
        <w:t>）</w:t>
      </w:r>
      <w:r>
        <w:rPr>
          <w:lang w:eastAsia="zh-TW"/>
        </w:rPr>
        <w:t>採購某些化工原料訂立協議，期限自 2016 年 1 月 1 日至 2018年 12 月 31 日止，該協議將於 2018年 12 月 31 日到期。</w:t>
      </w:r>
    </w:p>
    <w:p>
      <w:pPr>
        <w:pStyle w:val="5"/>
        <w:spacing w:before="6"/>
        <w:rPr>
          <w:sz w:val="20"/>
          <w:lang w:eastAsia="zh-TW"/>
        </w:rPr>
      </w:pPr>
    </w:p>
    <w:p>
      <w:pPr>
        <w:pStyle w:val="5"/>
        <w:spacing w:line="313" w:lineRule="exact"/>
        <w:ind w:left="615"/>
        <w:jc w:val="both"/>
        <w:rPr>
          <w:lang w:eastAsia="zh-TW"/>
        </w:rPr>
      </w:pPr>
      <w:r>
        <w:rPr>
          <w:lang w:eastAsia="zh-TW"/>
        </w:rPr>
        <w:t>在此情况下，本公司已與華魯恒升訂立自 2019 年 1 月 1 日起至 2021 年 12 月 31</w:t>
      </w:r>
    </w:p>
    <w:p>
      <w:pPr>
        <w:pStyle w:val="5"/>
        <w:spacing w:line="313" w:lineRule="exact"/>
        <w:ind w:left="615"/>
        <w:rPr>
          <w:lang w:eastAsia="zh-TW"/>
        </w:rPr>
      </w:pPr>
      <w:r>
        <w:rPr>
          <w:lang w:eastAsia="zh-TW"/>
        </w:rPr>
        <w:t>日止，為期 3 年的</w:t>
      </w:r>
      <w:r>
        <w:rPr>
          <w:rFonts w:hint="eastAsia"/>
          <w:lang w:eastAsia="zh-TW"/>
        </w:rPr>
        <w:t>經</w:t>
      </w:r>
      <w:r>
        <w:rPr>
          <w:rFonts w:hint="eastAsia" w:eastAsia="宋体"/>
          <w:lang w:eastAsia="zh-TW"/>
        </w:rPr>
        <w:t>重續</w:t>
      </w:r>
      <w:r>
        <w:rPr>
          <w:lang w:eastAsia="zh-TW"/>
        </w:rPr>
        <w:t>華魯恒升協議</w:t>
      </w:r>
      <w:r>
        <w:rPr>
          <w:rFonts w:hint="eastAsia" w:eastAsia="宋体"/>
          <w:lang w:eastAsia="zh-TW"/>
        </w:rPr>
        <w:t>（與新華集團協議統稱為</w:t>
      </w:r>
      <w:r>
        <w:rPr>
          <w:rFonts w:hint="eastAsia" w:ascii="宋体" w:hAnsi="宋体" w:eastAsia="宋体"/>
          <w:lang w:eastAsia="zh-TW"/>
        </w:rPr>
        <w:t>「</w:t>
      </w:r>
      <w:r>
        <w:rPr>
          <w:rFonts w:hint="eastAsia" w:ascii="宋体" w:hAnsi="宋体" w:eastAsia="宋体"/>
          <w:b/>
          <w:lang w:eastAsia="zh-TW"/>
        </w:rPr>
        <w:t>協議</w:t>
      </w:r>
      <w:r>
        <w:rPr>
          <w:rFonts w:hint="eastAsia" w:ascii="宋体" w:hAnsi="宋体" w:eastAsia="宋体"/>
          <w:lang w:eastAsia="zh-TW"/>
        </w:rPr>
        <w:t>」</w:t>
      </w:r>
      <w:r>
        <w:rPr>
          <w:rFonts w:hint="eastAsia" w:eastAsia="宋体"/>
          <w:lang w:eastAsia="zh-TW"/>
        </w:rPr>
        <w:t>）</w:t>
      </w:r>
      <w:r>
        <w:rPr>
          <w:lang w:eastAsia="zh-TW"/>
        </w:rPr>
        <w:t>。</w:t>
      </w:r>
    </w:p>
    <w:p>
      <w:pPr>
        <w:pStyle w:val="5"/>
        <w:spacing w:before="5"/>
        <w:rPr>
          <w:sz w:val="20"/>
          <w:lang w:eastAsia="zh-TW"/>
        </w:rPr>
      </w:pPr>
    </w:p>
    <w:p>
      <w:pPr>
        <w:pStyle w:val="2"/>
        <w:spacing w:line="453" w:lineRule="auto"/>
        <w:ind w:left="630" w:right="3480"/>
        <w:rPr>
          <w:lang w:eastAsia="zh-TW"/>
        </w:rPr>
      </w:pPr>
      <w:r>
        <w:rPr>
          <w:lang w:eastAsia="zh-TW"/>
        </w:rPr>
        <w:t>B．</w:t>
      </w:r>
      <w:r>
        <w:rPr>
          <w:rFonts w:hint="eastAsia" w:eastAsia="宋体"/>
          <w:lang w:eastAsia="zh-TW"/>
        </w:rPr>
        <w:t>經重續</w:t>
      </w:r>
      <w:r>
        <w:rPr>
          <w:lang w:eastAsia="zh-TW"/>
        </w:rPr>
        <w:t>新華集團協議項下的持續關連交易</w:t>
      </w:r>
    </w:p>
    <w:p>
      <w:pPr>
        <w:tabs>
          <w:tab w:val="left" w:pos="1604"/>
        </w:tabs>
        <w:spacing w:line="453" w:lineRule="auto"/>
        <w:ind w:left="671" w:right="5310"/>
        <w:rPr>
          <w:sz w:val="23"/>
          <w:lang w:eastAsia="zh-TW"/>
        </w:rPr>
      </w:pPr>
      <w:r>
        <w:rPr>
          <w:rFonts w:hint="eastAsia" w:eastAsia="宋体"/>
          <w:lang w:eastAsia="zh-TW"/>
        </w:rPr>
        <w:t>經重續</w:t>
      </w:r>
      <w:r>
        <w:rPr>
          <w:lang w:eastAsia="zh-TW"/>
        </w:rPr>
        <w:t>新華集團協議日期</w:t>
      </w:r>
      <w:r>
        <w:rPr>
          <w:b/>
          <w:sz w:val="23"/>
          <w:lang w:eastAsia="zh-TW"/>
        </w:rPr>
        <w:t>：</w:t>
      </w:r>
      <w:r>
        <w:rPr>
          <w:b/>
          <w:sz w:val="23"/>
          <w:lang w:eastAsia="zh-TW"/>
        </w:rPr>
        <w:tab/>
      </w:r>
      <w:r>
        <w:rPr>
          <w:sz w:val="23"/>
          <w:lang w:eastAsia="zh-TW"/>
        </w:rPr>
        <w:t>2018 年 10 月 22</w:t>
      </w:r>
      <w:r>
        <w:rPr>
          <w:spacing w:val="8"/>
          <w:sz w:val="23"/>
          <w:lang w:eastAsia="zh-TW"/>
        </w:rPr>
        <w:t xml:space="preserve"> </w:t>
      </w:r>
      <w:r>
        <w:rPr>
          <w:sz w:val="23"/>
          <w:lang w:eastAsia="zh-TW"/>
        </w:rPr>
        <w:t>日</w:t>
      </w:r>
      <w:r>
        <w:rPr>
          <w:b/>
          <w:sz w:val="23"/>
          <w:lang w:eastAsia="zh-TW"/>
        </w:rPr>
        <w:t>協議訂立方：</w:t>
      </w:r>
      <w:r>
        <w:rPr>
          <w:sz w:val="23"/>
          <w:lang w:eastAsia="zh-TW"/>
        </w:rPr>
        <w:t>（1）本公司</w:t>
      </w:r>
    </w:p>
    <w:p>
      <w:pPr>
        <w:spacing w:line="453" w:lineRule="auto"/>
        <w:ind w:left="671" w:right="3403" w:firstLine="1398"/>
        <w:rPr>
          <w:rFonts w:eastAsia="宋体"/>
          <w:sz w:val="23"/>
          <w:lang w:eastAsia="zh-TW"/>
        </w:rPr>
      </w:pPr>
      <w:r>
        <w:rPr>
          <w:sz w:val="23"/>
          <w:lang w:eastAsia="zh-TW"/>
        </w:rPr>
        <w:t>（2）新華集團</w:t>
      </w:r>
      <w:r>
        <w:rPr>
          <w:rFonts w:hint="eastAsia" w:eastAsia="宋体"/>
          <w:sz w:val="23"/>
          <w:lang w:eastAsia="zh-TW"/>
        </w:rPr>
        <w:t>及華魯控股</w:t>
      </w:r>
    </w:p>
    <w:p>
      <w:pPr>
        <w:spacing w:line="453" w:lineRule="auto"/>
        <w:ind w:left="671" w:right="5203"/>
        <w:rPr>
          <w:b/>
          <w:sz w:val="23"/>
          <w:lang w:eastAsia="zh-TW"/>
        </w:rPr>
      </w:pPr>
      <w:r>
        <w:rPr>
          <w:b/>
          <w:sz w:val="23"/>
          <w:lang w:eastAsia="zh-TW"/>
        </w:rPr>
        <w:t>主要條款及條件</w:t>
      </w:r>
    </w:p>
    <w:p>
      <w:pPr>
        <w:pStyle w:val="2"/>
        <w:spacing w:line="320" w:lineRule="exact"/>
        <w:ind w:left="672"/>
        <w:rPr>
          <w:b w:val="0"/>
          <w:lang w:eastAsia="zh-TW"/>
        </w:rPr>
      </w:pPr>
      <w:r>
        <w:rPr>
          <w:lang w:eastAsia="zh-TW"/>
        </w:rPr>
        <w:t>新華集團協議載有下列主要條款</w:t>
      </w:r>
      <w:r>
        <w:rPr>
          <w:b w:val="0"/>
          <w:lang w:eastAsia="zh-TW"/>
        </w:rPr>
        <w:t>：</w:t>
      </w:r>
    </w:p>
    <w:p>
      <w:pPr>
        <w:pStyle w:val="5"/>
        <w:spacing w:before="4"/>
        <w:rPr>
          <w:sz w:val="21"/>
          <w:lang w:eastAsia="zh-TW"/>
        </w:rPr>
      </w:pPr>
    </w:p>
    <w:p>
      <w:pPr>
        <w:pStyle w:val="9"/>
        <w:numPr>
          <w:ilvl w:val="0"/>
          <w:numId w:val="1"/>
        </w:numPr>
        <w:tabs>
          <w:tab w:val="left" w:pos="966"/>
        </w:tabs>
        <w:spacing w:line="225" w:lineRule="auto"/>
        <w:ind w:right="228" w:hanging="350"/>
        <w:rPr>
          <w:sz w:val="23"/>
          <w:lang w:eastAsia="zh-TW"/>
        </w:rPr>
      </w:pPr>
      <w:r>
        <w:rPr>
          <w:sz w:val="23"/>
          <w:lang w:eastAsia="zh-TW"/>
        </w:rPr>
        <w:t>本</w:t>
      </w:r>
      <w:r>
        <w:rPr>
          <w:rFonts w:hint="eastAsia" w:eastAsia="宋体"/>
          <w:sz w:val="23"/>
          <w:lang w:eastAsia="zh-TW"/>
        </w:rPr>
        <w:t>集團</w:t>
      </w:r>
      <w:r>
        <w:rPr>
          <w:sz w:val="23"/>
          <w:lang w:eastAsia="zh-TW"/>
        </w:rPr>
        <w:t>可按市場價格，從</w:t>
      </w:r>
      <w:r>
        <w:rPr>
          <w:rFonts w:hint="eastAsia" w:eastAsia="宋体"/>
          <w:sz w:val="23"/>
          <w:lang w:eastAsia="zh-TW"/>
        </w:rPr>
        <w:t>控股</w:t>
      </w:r>
      <w:r>
        <w:rPr>
          <w:rFonts w:eastAsia="宋体"/>
          <w:sz w:val="23"/>
          <w:lang w:eastAsia="zh-TW"/>
        </w:rPr>
        <w:t>股東集團</w:t>
      </w:r>
      <w:r>
        <w:rPr>
          <w:sz w:val="23"/>
          <w:lang w:eastAsia="zh-TW"/>
        </w:rPr>
        <w:t>採購以下產品及服務：</w:t>
      </w:r>
    </w:p>
    <w:p>
      <w:pPr>
        <w:pStyle w:val="5"/>
        <w:spacing w:before="12"/>
        <w:rPr>
          <w:sz w:val="21"/>
          <w:lang w:eastAsia="zh-TW"/>
        </w:rPr>
      </w:pPr>
    </w:p>
    <w:p>
      <w:pPr>
        <w:pStyle w:val="9"/>
        <w:numPr>
          <w:ilvl w:val="1"/>
          <w:numId w:val="1"/>
        </w:numPr>
        <w:tabs>
          <w:tab w:val="left" w:pos="1462"/>
        </w:tabs>
        <w:spacing w:before="1" w:line="225" w:lineRule="auto"/>
        <w:ind w:right="221"/>
        <w:jc w:val="both"/>
        <w:rPr>
          <w:sz w:val="23"/>
          <w:lang w:eastAsia="zh-TW"/>
        </w:rPr>
      </w:pPr>
      <w:r>
        <w:rPr>
          <w:sz w:val="23"/>
          <w:lang w:eastAsia="zh-TW"/>
        </w:rPr>
        <w:t>維修設備所用的零部件：小五金、閥門、工具類、儀器儀錶、軸承、泵類、化學試劑、玻璃儀器，以及上述產品的維修服務；</w:t>
      </w:r>
    </w:p>
    <w:p>
      <w:pPr>
        <w:pStyle w:val="5"/>
        <w:spacing w:before="12"/>
        <w:rPr>
          <w:sz w:val="21"/>
          <w:lang w:eastAsia="zh-TW"/>
        </w:rPr>
      </w:pPr>
    </w:p>
    <w:p>
      <w:pPr>
        <w:pStyle w:val="9"/>
        <w:numPr>
          <w:ilvl w:val="1"/>
          <w:numId w:val="1"/>
        </w:numPr>
        <w:tabs>
          <w:tab w:val="left" w:pos="1462"/>
        </w:tabs>
        <w:spacing w:line="225" w:lineRule="auto"/>
        <w:ind w:right="223"/>
        <w:jc w:val="both"/>
        <w:rPr>
          <w:sz w:val="23"/>
          <w:lang w:eastAsia="zh-TW"/>
        </w:rPr>
      </w:pPr>
      <w:r>
        <w:rPr>
          <w:sz w:val="23"/>
          <w:lang w:eastAsia="zh-TW"/>
        </w:rPr>
        <w:t>各類包裝材料及服務：輕印、木器加工、包裝、吹塑、彩印、紙盒、紙桶、制瓶以及其他零星包裝材料和服務；及</w:t>
      </w:r>
    </w:p>
    <w:p>
      <w:pPr>
        <w:pStyle w:val="5"/>
        <w:spacing w:before="12"/>
        <w:rPr>
          <w:sz w:val="21"/>
          <w:lang w:eastAsia="zh-TW"/>
        </w:rPr>
      </w:pPr>
    </w:p>
    <w:p>
      <w:pPr>
        <w:pStyle w:val="9"/>
        <w:numPr>
          <w:ilvl w:val="1"/>
          <w:numId w:val="1"/>
        </w:numPr>
        <w:tabs>
          <w:tab w:val="left" w:pos="1462"/>
        </w:tabs>
        <w:spacing w:before="1" w:line="225" w:lineRule="auto"/>
        <w:ind w:right="169"/>
        <w:jc w:val="both"/>
        <w:rPr>
          <w:sz w:val="23"/>
          <w:lang w:eastAsia="zh-TW"/>
        </w:rPr>
      </w:pPr>
      <w:r>
        <w:rPr>
          <w:rFonts w:hint="eastAsia" w:eastAsia="宋体"/>
          <w:sz w:val="23"/>
          <w:lang w:eastAsia="zh-TW"/>
        </w:rPr>
        <w:t>本集團</w:t>
      </w:r>
      <w:r>
        <w:rPr>
          <w:sz w:val="23"/>
          <w:lang w:eastAsia="zh-TW"/>
        </w:rPr>
        <w:t>藥品生產</w:t>
      </w:r>
      <w:r>
        <w:rPr>
          <w:rFonts w:hint="eastAsia" w:eastAsia="宋体"/>
          <w:sz w:val="23"/>
          <w:lang w:eastAsia="zh-TW"/>
        </w:rPr>
        <w:t>所需</w:t>
      </w:r>
      <w:r>
        <w:rPr>
          <w:sz w:val="23"/>
          <w:lang w:eastAsia="zh-TW"/>
        </w:rPr>
        <w:t>的化工原料類：原甲酸三甲酯、丙二酸二乙酯、丙二酸</w:t>
      </w:r>
      <w:r>
        <w:rPr>
          <w:spacing w:val="-11"/>
          <w:sz w:val="23"/>
          <w:lang w:eastAsia="zh-TW"/>
        </w:rPr>
        <w:t>二甲酯、氯代丙醯氯、甲醇鈉、氯乙酸、硫酸、水楊酸、硫酸二甲酯、焦鈉、還原劑以及其他化工原料等。</w:t>
      </w:r>
    </w:p>
    <w:p>
      <w:pPr>
        <w:pStyle w:val="5"/>
        <w:spacing w:before="13"/>
        <w:rPr>
          <w:sz w:val="21"/>
          <w:lang w:eastAsia="zh-TW"/>
        </w:rPr>
      </w:pPr>
    </w:p>
    <w:p>
      <w:pPr>
        <w:pStyle w:val="5"/>
        <w:spacing w:line="225" w:lineRule="auto"/>
        <w:ind w:left="934" w:right="226"/>
        <w:rPr>
          <w:lang w:eastAsia="zh-TW"/>
        </w:rPr>
      </w:pPr>
      <w:r>
        <w:rPr>
          <w:lang w:eastAsia="zh-TW"/>
        </w:rPr>
        <w:t>上述產品及服務價格需根據市場慣例厘定。唯所有相關價格不得高於由</w:t>
      </w:r>
      <w:r>
        <w:rPr>
          <w:rFonts w:hint="eastAsia" w:eastAsia="宋体"/>
          <w:lang w:eastAsia="zh-TW"/>
        </w:rPr>
        <w:t>控股股東</w:t>
      </w:r>
      <w:r>
        <w:rPr>
          <w:rFonts w:eastAsia="宋体"/>
          <w:lang w:eastAsia="zh-TW"/>
        </w:rPr>
        <w:t>集團</w:t>
      </w:r>
      <w:r>
        <w:rPr>
          <w:lang w:eastAsia="zh-TW"/>
        </w:rPr>
        <w:t>向任何獨立第三方銷售相關產品的價格。</w:t>
      </w:r>
    </w:p>
    <w:p>
      <w:pPr>
        <w:pStyle w:val="5"/>
        <w:spacing w:before="13"/>
        <w:rPr>
          <w:sz w:val="20"/>
          <w:lang w:eastAsia="zh-TW"/>
        </w:rPr>
      </w:pPr>
    </w:p>
    <w:p>
      <w:pPr>
        <w:pStyle w:val="9"/>
        <w:numPr>
          <w:ilvl w:val="0"/>
          <w:numId w:val="1"/>
        </w:numPr>
        <w:tabs>
          <w:tab w:val="left" w:pos="966"/>
        </w:tabs>
        <w:ind w:hanging="350"/>
        <w:rPr>
          <w:sz w:val="23"/>
          <w:lang w:eastAsia="zh-TW"/>
        </w:rPr>
      </w:pPr>
      <w:r>
        <w:rPr>
          <w:sz w:val="23"/>
          <w:lang w:eastAsia="zh-TW"/>
        </w:rPr>
        <w:t>本</w:t>
      </w:r>
      <w:r>
        <w:rPr>
          <w:rFonts w:hint="eastAsia" w:eastAsia="宋体"/>
          <w:sz w:val="23"/>
          <w:lang w:eastAsia="zh-TW"/>
        </w:rPr>
        <w:t>集團</w:t>
      </w:r>
      <w:r>
        <w:rPr>
          <w:sz w:val="23"/>
          <w:lang w:eastAsia="zh-TW"/>
        </w:rPr>
        <w:t>向</w:t>
      </w:r>
      <w:r>
        <w:rPr>
          <w:rFonts w:hint="eastAsia" w:eastAsia="宋体"/>
          <w:sz w:val="23"/>
          <w:lang w:eastAsia="zh-TW"/>
        </w:rPr>
        <w:t>控股股東集團</w:t>
      </w:r>
      <w:r>
        <w:rPr>
          <w:sz w:val="23"/>
          <w:lang w:eastAsia="zh-TW"/>
        </w:rPr>
        <w:t>銷售以下產品：</w:t>
      </w:r>
    </w:p>
    <w:p>
      <w:pPr>
        <w:pStyle w:val="5"/>
        <w:spacing w:before="6"/>
        <w:rPr>
          <w:sz w:val="20"/>
          <w:lang w:eastAsia="zh-TW"/>
        </w:rPr>
      </w:pPr>
    </w:p>
    <w:p>
      <w:pPr>
        <w:pStyle w:val="9"/>
        <w:numPr>
          <w:ilvl w:val="1"/>
          <w:numId w:val="1"/>
        </w:numPr>
        <w:tabs>
          <w:tab w:val="left" w:pos="1548"/>
          <w:tab w:val="left" w:pos="1549"/>
        </w:tabs>
        <w:ind w:left="1548" w:hanging="583"/>
        <w:rPr>
          <w:sz w:val="23"/>
          <w:lang w:eastAsia="zh-TW"/>
        </w:rPr>
      </w:pPr>
      <w:r>
        <w:rPr>
          <w:sz w:val="23"/>
          <w:lang w:eastAsia="zh-TW"/>
        </w:rPr>
        <w:t>水、電及蒸汽（按成本加相關的稅費及管理費用）；及</w:t>
      </w:r>
    </w:p>
    <w:p>
      <w:pPr>
        <w:rPr>
          <w:sz w:val="23"/>
          <w:lang w:eastAsia="zh-TW"/>
        </w:rPr>
        <w:sectPr>
          <w:pgSz w:w="11910" w:h="16840"/>
          <w:pgMar w:top="1600" w:right="1520" w:bottom="1600" w:left="1600" w:header="0" w:footer="1418" w:gutter="0"/>
          <w:cols w:space="720" w:num="1"/>
        </w:sectPr>
      </w:pPr>
    </w:p>
    <w:p>
      <w:pPr>
        <w:pStyle w:val="9"/>
        <w:numPr>
          <w:ilvl w:val="1"/>
          <w:numId w:val="1"/>
        </w:numPr>
        <w:tabs>
          <w:tab w:val="left" w:pos="1548"/>
          <w:tab w:val="left" w:pos="1549"/>
        </w:tabs>
        <w:spacing w:before="71" w:line="225" w:lineRule="auto"/>
        <w:ind w:left="1548" w:right="227" w:hanging="583"/>
        <w:rPr>
          <w:sz w:val="23"/>
          <w:lang w:eastAsia="zh-TW"/>
        </w:rPr>
      </w:pPr>
      <w:bookmarkStart w:id="0" w:name="_GoBack"/>
      <w:bookmarkEnd w:id="0"/>
      <w:r>
        <w:rPr>
          <w:sz w:val="23"/>
          <w:lang w:eastAsia="zh-TW"/>
        </w:rPr>
        <w:t>於生產過程中的副產品（按市場價格），如廢水、廢氣及其它固體廢物。</w:t>
      </w:r>
    </w:p>
    <w:p>
      <w:pPr>
        <w:pStyle w:val="5"/>
        <w:spacing w:before="12"/>
        <w:rPr>
          <w:sz w:val="21"/>
          <w:lang w:eastAsia="zh-TW"/>
        </w:rPr>
      </w:pPr>
    </w:p>
    <w:p>
      <w:pPr>
        <w:pStyle w:val="5"/>
        <w:spacing w:before="1" w:line="225" w:lineRule="auto"/>
        <w:ind w:left="1023" w:right="226"/>
        <w:rPr>
          <w:lang w:eastAsia="zh-TW"/>
        </w:rPr>
      </w:pPr>
      <w:r>
        <w:rPr>
          <w:lang w:eastAsia="zh-TW"/>
        </w:rPr>
        <w:t>無論如何，上述列示的有關價格不得低於本</w:t>
      </w:r>
      <w:r>
        <w:rPr>
          <w:rFonts w:hint="eastAsia" w:eastAsia="宋体"/>
          <w:lang w:eastAsia="zh-TW"/>
        </w:rPr>
        <w:t>集團</w:t>
      </w:r>
      <w:r>
        <w:rPr>
          <w:lang w:eastAsia="zh-TW"/>
        </w:rPr>
        <w:t>將上述產品向獨立第三方銷售的價格。</w:t>
      </w:r>
    </w:p>
    <w:p>
      <w:pPr>
        <w:pStyle w:val="5"/>
        <w:spacing w:before="12"/>
        <w:rPr>
          <w:sz w:val="21"/>
          <w:lang w:eastAsia="zh-TW"/>
        </w:rPr>
      </w:pPr>
    </w:p>
    <w:p>
      <w:pPr>
        <w:pStyle w:val="9"/>
        <w:numPr>
          <w:ilvl w:val="0"/>
          <w:numId w:val="1"/>
        </w:numPr>
        <w:tabs>
          <w:tab w:val="left" w:pos="966"/>
        </w:tabs>
        <w:spacing w:line="225" w:lineRule="auto"/>
        <w:ind w:right="226" w:hanging="350"/>
        <w:jc w:val="both"/>
        <w:rPr>
          <w:sz w:val="23"/>
          <w:lang w:eastAsia="zh-TW"/>
        </w:rPr>
      </w:pPr>
      <w:r>
        <w:rPr>
          <w:spacing w:val="-10"/>
          <w:sz w:val="23"/>
          <w:lang w:eastAsia="zh-TW"/>
        </w:rPr>
        <w:t>付款期限：雙方須依據本</w:t>
      </w:r>
      <w:r>
        <w:rPr>
          <w:rFonts w:hint="eastAsia" w:eastAsia="宋体"/>
          <w:spacing w:val="-14"/>
          <w:sz w:val="23"/>
          <w:lang w:eastAsia="zh-TW"/>
        </w:rPr>
        <w:t>集團</w:t>
      </w:r>
      <w:r>
        <w:rPr>
          <w:rFonts w:hint="eastAsia" w:eastAsia="宋体"/>
          <w:spacing w:val="-10"/>
          <w:sz w:val="23"/>
          <w:lang w:eastAsia="zh-TW"/>
        </w:rPr>
        <w:t>及控股股東</w:t>
      </w:r>
      <w:r>
        <w:rPr>
          <w:rFonts w:eastAsia="宋体"/>
          <w:spacing w:val="-10"/>
          <w:sz w:val="23"/>
          <w:lang w:eastAsia="zh-TW"/>
        </w:rPr>
        <w:t>集團</w:t>
      </w:r>
      <w:r>
        <w:rPr>
          <w:spacing w:val="-14"/>
          <w:sz w:val="23"/>
          <w:lang w:eastAsia="zh-TW"/>
        </w:rPr>
        <w:t>訂單所指定的時間，適時向另一方支付訂購產品及享用服務的費用，並於開票後60天內結算。</w:t>
      </w:r>
    </w:p>
    <w:p>
      <w:pPr>
        <w:pStyle w:val="5"/>
        <w:rPr>
          <w:sz w:val="22"/>
          <w:lang w:eastAsia="zh-TW"/>
        </w:rPr>
      </w:pPr>
    </w:p>
    <w:p>
      <w:pPr>
        <w:pStyle w:val="9"/>
        <w:numPr>
          <w:ilvl w:val="0"/>
          <w:numId w:val="1"/>
        </w:numPr>
        <w:tabs>
          <w:tab w:val="left" w:pos="966"/>
        </w:tabs>
        <w:spacing w:line="225" w:lineRule="auto"/>
        <w:ind w:right="226" w:hanging="350"/>
        <w:jc w:val="both"/>
        <w:rPr>
          <w:sz w:val="23"/>
          <w:lang w:eastAsia="zh-TW"/>
        </w:rPr>
      </w:pPr>
      <w:r>
        <w:rPr>
          <w:sz w:val="23"/>
          <w:lang w:eastAsia="zh-TW"/>
        </w:rPr>
        <w:t>本</w:t>
      </w:r>
      <w:r>
        <w:rPr>
          <w:rFonts w:hint="eastAsia" w:eastAsia="宋体"/>
          <w:sz w:val="23"/>
          <w:lang w:eastAsia="zh-TW"/>
        </w:rPr>
        <w:t>集團</w:t>
      </w:r>
      <w:r>
        <w:rPr>
          <w:sz w:val="23"/>
          <w:lang w:eastAsia="zh-TW"/>
        </w:rPr>
        <w:t>可不受限制地向任何第三方就銷售或採購有關產品或服務進行交易。</w:t>
      </w:r>
    </w:p>
    <w:p>
      <w:pPr>
        <w:pStyle w:val="5"/>
        <w:spacing w:before="12"/>
        <w:rPr>
          <w:sz w:val="20"/>
          <w:lang w:eastAsia="zh-TW"/>
        </w:rPr>
      </w:pPr>
    </w:p>
    <w:p>
      <w:pPr>
        <w:pStyle w:val="9"/>
        <w:numPr>
          <w:ilvl w:val="0"/>
          <w:numId w:val="1"/>
        </w:numPr>
        <w:tabs>
          <w:tab w:val="left" w:pos="966"/>
        </w:tabs>
        <w:spacing w:line="225" w:lineRule="auto"/>
        <w:ind w:left="965" w:right="226" w:hanging="350"/>
        <w:jc w:val="both"/>
        <w:rPr>
          <w:b/>
          <w:sz w:val="23"/>
          <w:lang w:eastAsia="zh-TW"/>
        </w:rPr>
      </w:pPr>
      <w:r>
        <w:rPr>
          <w:rFonts w:hint="eastAsia" w:eastAsia="宋体"/>
          <w:spacing w:val="-1"/>
          <w:sz w:val="23"/>
          <w:lang w:eastAsia="zh-TW"/>
        </w:rPr>
        <w:t>經重續</w:t>
      </w:r>
      <w:r>
        <w:rPr>
          <w:spacing w:val="-1"/>
          <w:sz w:val="23"/>
          <w:lang w:eastAsia="zh-TW"/>
        </w:rPr>
        <w:t>新華集團協議的期限自</w:t>
      </w:r>
      <w:r>
        <w:rPr>
          <w:sz w:val="23"/>
          <w:lang w:eastAsia="zh-TW"/>
        </w:rPr>
        <w:t>2019年1月1日起至2021年12月31日止。</w:t>
      </w:r>
    </w:p>
    <w:p>
      <w:pPr>
        <w:pStyle w:val="9"/>
        <w:rPr>
          <w:b/>
          <w:sz w:val="23"/>
          <w:lang w:eastAsia="zh-TW"/>
        </w:rPr>
      </w:pPr>
    </w:p>
    <w:p>
      <w:pPr>
        <w:pStyle w:val="9"/>
        <w:tabs>
          <w:tab w:val="left" w:pos="966"/>
        </w:tabs>
        <w:spacing w:line="453" w:lineRule="auto"/>
        <w:ind w:left="615" w:right="1617" w:firstLine="0"/>
        <w:rPr>
          <w:b/>
          <w:sz w:val="23"/>
          <w:lang w:eastAsia="zh-TW"/>
        </w:rPr>
      </w:pPr>
      <w:r>
        <w:rPr>
          <w:b/>
          <w:sz w:val="23"/>
          <w:lang w:eastAsia="zh-TW"/>
        </w:rPr>
        <w:t>建議的新華集團協議</w:t>
      </w:r>
      <w:r>
        <w:rPr>
          <w:rFonts w:hint="eastAsia"/>
          <w:b/>
          <w:sz w:val="23"/>
          <w:lang w:eastAsia="zh-TW"/>
        </w:rPr>
        <w:t>年度上限</w:t>
      </w:r>
    </w:p>
    <w:p>
      <w:pPr>
        <w:pStyle w:val="5"/>
        <w:spacing w:line="320" w:lineRule="exact"/>
        <w:ind w:left="615"/>
        <w:rPr>
          <w:lang w:eastAsia="zh-TW"/>
        </w:rPr>
      </w:pPr>
      <w:r>
        <w:rPr>
          <w:lang w:eastAsia="zh-TW"/>
        </w:rPr>
        <w:t>新華集團協議項下持續關連交易的建議年度上限如下：</w:t>
      </w:r>
    </w:p>
    <w:p>
      <w:pPr>
        <w:pStyle w:val="5"/>
        <w:spacing w:before="1"/>
        <w:rPr>
          <w:sz w:val="21"/>
          <w:lang w:eastAsia="zh-TW"/>
        </w:rPr>
      </w:pPr>
    </w:p>
    <w:tbl>
      <w:tblPr>
        <w:tblW w:w="7386" w:type="dxa"/>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2763"/>
        <w:gridCol w:w="1603"/>
        <w:gridCol w:w="160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6" w:hRule="atLeast"/>
        </w:trPr>
        <w:tc>
          <w:tcPr>
            <w:tcW w:w="2763" w:type="dxa"/>
            <w:vAlign w:val="top"/>
          </w:tcPr>
          <w:p>
            <w:pPr>
              <w:pStyle w:val="10"/>
              <w:spacing w:line="240" w:lineRule="auto"/>
              <w:jc w:val="left"/>
              <w:rPr>
                <w:rFonts w:ascii="Times New Roman"/>
                <w:lang w:eastAsia="zh-TW"/>
              </w:rPr>
            </w:pPr>
          </w:p>
        </w:tc>
        <w:tc>
          <w:tcPr>
            <w:tcW w:w="1603" w:type="dxa"/>
            <w:vAlign w:val="top"/>
          </w:tcPr>
          <w:p>
            <w:pPr>
              <w:pStyle w:val="10"/>
              <w:spacing w:line="303" w:lineRule="exact"/>
              <w:ind w:left="202" w:right="197"/>
              <w:rPr>
                <w:sz w:val="23"/>
              </w:rPr>
            </w:pPr>
            <w:r>
              <w:rPr>
                <w:sz w:val="23"/>
              </w:rPr>
              <w:t>2019年</w:t>
            </w:r>
          </w:p>
          <w:p>
            <w:pPr>
              <w:pStyle w:val="10"/>
              <w:ind w:left="206" w:right="197"/>
              <w:rPr>
                <w:sz w:val="23"/>
              </w:rPr>
            </w:pPr>
            <w:r>
              <w:rPr>
                <w:sz w:val="23"/>
              </w:rPr>
              <w:t>人民幣千元</w:t>
            </w:r>
          </w:p>
        </w:tc>
        <w:tc>
          <w:tcPr>
            <w:tcW w:w="1602" w:type="dxa"/>
            <w:vAlign w:val="top"/>
          </w:tcPr>
          <w:p>
            <w:pPr>
              <w:pStyle w:val="10"/>
              <w:spacing w:line="303" w:lineRule="exact"/>
              <w:ind w:left="201" w:right="198"/>
              <w:rPr>
                <w:sz w:val="23"/>
              </w:rPr>
            </w:pPr>
            <w:r>
              <w:rPr>
                <w:sz w:val="23"/>
              </w:rPr>
              <w:t>2020年</w:t>
            </w:r>
          </w:p>
          <w:p>
            <w:pPr>
              <w:pStyle w:val="10"/>
              <w:ind w:left="203" w:right="198"/>
              <w:rPr>
                <w:sz w:val="23"/>
              </w:rPr>
            </w:pPr>
            <w:r>
              <w:rPr>
                <w:sz w:val="23"/>
              </w:rPr>
              <w:t>人民幣千元</w:t>
            </w:r>
          </w:p>
        </w:tc>
        <w:tc>
          <w:tcPr>
            <w:tcW w:w="1418" w:type="dxa"/>
            <w:vAlign w:val="top"/>
          </w:tcPr>
          <w:p>
            <w:pPr>
              <w:pStyle w:val="10"/>
              <w:spacing w:line="303" w:lineRule="exact"/>
              <w:ind w:left="110" w:right="105"/>
              <w:rPr>
                <w:sz w:val="23"/>
              </w:rPr>
            </w:pPr>
            <w:r>
              <w:rPr>
                <w:sz w:val="23"/>
              </w:rPr>
              <w:t>2021年</w:t>
            </w:r>
          </w:p>
          <w:p>
            <w:pPr>
              <w:pStyle w:val="10"/>
              <w:ind w:left="112" w:right="105"/>
              <w:rPr>
                <w:sz w:val="23"/>
              </w:rPr>
            </w:pPr>
            <w:r>
              <w:rPr>
                <w:sz w:val="23"/>
              </w:rPr>
              <w:t>人民幣千元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14" w:hRule="atLeast"/>
        </w:trPr>
        <w:tc>
          <w:tcPr>
            <w:tcW w:w="2763" w:type="dxa"/>
            <w:vAlign w:val="top"/>
          </w:tcPr>
          <w:p>
            <w:pPr>
              <w:pStyle w:val="10"/>
              <w:spacing w:before="4" w:line="225" w:lineRule="auto"/>
              <w:ind w:left="24" w:right="-44"/>
              <w:jc w:val="left"/>
              <w:rPr>
                <w:b/>
                <w:sz w:val="23"/>
                <w:lang w:eastAsia="zh-TW"/>
              </w:rPr>
            </w:pPr>
            <w:r>
              <w:rPr>
                <w:b/>
                <w:sz w:val="23"/>
                <w:lang w:eastAsia="zh-TW"/>
              </w:rPr>
              <w:t>向</w:t>
            </w:r>
            <w:r>
              <w:rPr>
                <w:rFonts w:hint="eastAsia" w:eastAsia="宋体"/>
                <w:b/>
                <w:sz w:val="23"/>
                <w:lang w:eastAsia="zh-TW"/>
              </w:rPr>
              <w:t>控股股東集團</w:t>
            </w:r>
            <w:r>
              <w:rPr>
                <w:b/>
                <w:spacing w:val="-7"/>
                <w:sz w:val="23"/>
                <w:lang w:eastAsia="zh-TW"/>
              </w:rPr>
              <w:t>銷售廢料，供應水、電、蒸汽</w:t>
            </w:r>
          </w:p>
        </w:tc>
        <w:tc>
          <w:tcPr>
            <w:tcW w:w="1603" w:type="dxa"/>
            <w:vAlign w:val="top"/>
          </w:tcPr>
          <w:p>
            <w:pPr>
              <w:pStyle w:val="10"/>
              <w:spacing w:line="312" w:lineRule="exact"/>
              <w:ind w:left="203" w:right="197"/>
              <w:rPr>
                <w:sz w:val="23"/>
              </w:rPr>
            </w:pPr>
            <w:r>
              <w:rPr>
                <w:sz w:val="23"/>
              </w:rPr>
              <w:t>125,000</w:t>
            </w:r>
          </w:p>
        </w:tc>
        <w:tc>
          <w:tcPr>
            <w:tcW w:w="1602" w:type="dxa"/>
            <w:vAlign w:val="top"/>
          </w:tcPr>
          <w:p>
            <w:pPr>
              <w:pStyle w:val="10"/>
              <w:spacing w:line="312" w:lineRule="exact"/>
              <w:ind w:left="198" w:right="198"/>
              <w:rPr>
                <w:sz w:val="23"/>
              </w:rPr>
            </w:pPr>
            <w:r>
              <w:rPr>
                <w:sz w:val="23"/>
              </w:rPr>
              <w:t>140,000</w:t>
            </w:r>
          </w:p>
        </w:tc>
        <w:tc>
          <w:tcPr>
            <w:tcW w:w="1418" w:type="dxa"/>
            <w:vAlign w:val="top"/>
          </w:tcPr>
          <w:p>
            <w:pPr>
              <w:pStyle w:val="10"/>
              <w:spacing w:line="312" w:lineRule="exact"/>
              <w:ind w:right="401"/>
              <w:jc w:val="right"/>
              <w:rPr>
                <w:sz w:val="23"/>
              </w:rPr>
            </w:pPr>
            <w:r>
              <w:rPr>
                <w:sz w:val="23"/>
              </w:rPr>
              <w:t>155,000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11" w:hRule="atLeast"/>
        </w:trPr>
        <w:tc>
          <w:tcPr>
            <w:tcW w:w="2763" w:type="dxa"/>
            <w:vAlign w:val="top"/>
          </w:tcPr>
          <w:p>
            <w:pPr>
              <w:pStyle w:val="10"/>
              <w:spacing w:before="3" w:line="225" w:lineRule="auto"/>
              <w:ind w:left="24" w:right="16"/>
              <w:jc w:val="left"/>
              <w:rPr>
                <w:b/>
                <w:sz w:val="23"/>
                <w:lang w:eastAsia="zh-TW"/>
              </w:rPr>
            </w:pPr>
            <w:r>
              <w:rPr>
                <w:b/>
                <w:sz w:val="23"/>
                <w:lang w:eastAsia="zh-TW"/>
              </w:rPr>
              <w:t>從</w:t>
            </w:r>
            <w:r>
              <w:rPr>
                <w:rFonts w:hint="eastAsia" w:eastAsia="宋体"/>
                <w:b/>
                <w:spacing w:val="-11"/>
                <w:sz w:val="23"/>
                <w:lang w:eastAsia="zh-TW"/>
              </w:rPr>
              <w:t>控股股東集團</w:t>
            </w:r>
            <w:r>
              <w:rPr>
                <w:b/>
                <w:spacing w:val="-11"/>
                <w:sz w:val="23"/>
                <w:lang w:eastAsia="zh-TW"/>
              </w:rPr>
              <w:t>採購配件、原材料及包裝</w:t>
            </w:r>
          </w:p>
          <w:p>
            <w:pPr>
              <w:pStyle w:val="10"/>
              <w:spacing w:line="283" w:lineRule="exact"/>
              <w:jc w:val="left"/>
              <w:rPr>
                <w:b/>
                <w:sz w:val="23"/>
              </w:rPr>
            </w:pPr>
            <w:r>
              <w:rPr>
                <w:b/>
                <w:sz w:val="23"/>
              </w:rPr>
              <w:t>材料</w:t>
            </w:r>
          </w:p>
        </w:tc>
        <w:tc>
          <w:tcPr>
            <w:tcW w:w="1603" w:type="dxa"/>
            <w:vAlign w:val="top"/>
          </w:tcPr>
          <w:p>
            <w:pPr>
              <w:pStyle w:val="10"/>
              <w:spacing w:line="312" w:lineRule="exact"/>
              <w:ind w:left="204" w:right="197"/>
              <w:rPr>
                <w:sz w:val="23"/>
              </w:rPr>
            </w:pPr>
            <w:r>
              <w:rPr>
                <w:sz w:val="23"/>
              </w:rPr>
              <w:t>15,000</w:t>
            </w:r>
          </w:p>
        </w:tc>
        <w:tc>
          <w:tcPr>
            <w:tcW w:w="1602" w:type="dxa"/>
            <w:vAlign w:val="top"/>
          </w:tcPr>
          <w:p>
            <w:pPr>
              <w:pStyle w:val="10"/>
              <w:spacing w:line="312" w:lineRule="exact"/>
              <w:ind w:left="197" w:right="198"/>
              <w:rPr>
                <w:sz w:val="23"/>
              </w:rPr>
            </w:pPr>
            <w:r>
              <w:rPr>
                <w:sz w:val="23"/>
              </w:rPr>
              <w:t>16,000</w:t>
            </w:r>
          </w:p>
        </w:tc>
        <w:tc>
          <w:tcPr>
            <w:tcW w:w="1418" w:type="dxa"/>
            <w:vAlign w:val="top"/>
          </w:tcPr>
          <w:p>
            <w:pPr>
              <w:pStyle w:val="10"/>
              <w:spacing w:line="312" w:lineRule="exact"/>
              <w:ind w:right="348"/>
              <w:jc w:val="right"/>
              <w:rPr>
                <w:sz w:val="23"/>
              </w:rPr>
            </w:pPr>
            <w:r>
              <w:rPr>
                <w:sz w:val="23"/>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2" w:hRule="atLeast"/>
        </w:trPr>
        <w:tc>
          <w:tcPr>
            <w:tcW w:w="2763" w:type="dxa"/>
            <w:vAlign w:val="top"/>
          </w:tcPr>
          <w:p>
            <w:pPr>
              <w:pStyle w:val="10"/>
              <w:spacing w:line="282" w:lineRule="exact"/>
              <w:ind w:left="24"/>
              <w:jc w:val="left"/>
              <w:rPr>
                <w:b/>
                <w:sz w:val="23"/>
              </w:rPr>
            </w:pPr>
            <w:r>
              <w:rPr>
                <w:b/>
                <w:sz w:val="23"/>
              </w:rPr>
              <w:t>總計</w:t>
            </w:r>
          </w:p>
        </w:tc>
        <w:tc>
          <w:tcPr>
            <w:tcW w:w="1603" w:type="dxa"/>
            <w:vAlign w:val="top"/>
          </w:tcPr>
          <w:p>
            <w:pPr>
              <w:pStyle w:val="10"/>
              <w:spacing w:line="282" w:lineRule="exact"/>
              <w:ind w:left="204" w:right="197"/>
              <w:rPr>
                <w:sz w:val="23"/>
              </w:rPr>
            </w:pPr>
            <w:r>
              <w:t>14</w:t>
            </w:r>
            <w:r>
              <w:rPr>
                <w:rFonts w:eastAsia="宋体"/>
                <w:lang w:eastAsia="zh-CN"/>
              </w:rPr>
              <w:t>0</w:t>
            </w:r>
            <w:r>
              <w:t xml:space="preserve">,000 </w:t>
            </w:r>
          </w:p>
        </w:tc>
        <w:tc>
          <w:tcPr>
            <w:tcW w:w="1602" w:type="dxa"/>
            <w:vAlign w:val="top"/>
          </w:tcPr>
          <w:p>
            <w:pPr>
              <w:pStyle w:val="10"/>
              <w:spacing w:line="282" w:lineRule="exact"/>
              <w:ind w:left="198" w:right="198"/>
              <w:rPr>
                <w:sz w:val="23"/>
              </w:rPr>
            </w:pPr>
            <w:r>
              <w:t>1</w:t>
            </w:r>
            <w:r>
              <w:rPr>
                <w:rFonts w:eastAsia="宋体"/>
                <w:lang w:eastAsia="zh-CN"/>
              </w:rPr>
              <w:t>56</w:t>
            </w:r>
            <w:r>
              <w:t xml:space="preserve">,000 </w:t>
            </w:r>
          </w:p>
        </w:tc>
        <w:tc>
          <w:tcPr>
            <w:tcW w:w="1418" w:type="dxa"/>
            <w:vAlign w:val="top"/>
          </w:tcPr>
          <w:p>
            <w:pPr>
              <w:pStyle w:val="10"/>
              <w:spacing w:line="282" w:lineRule="exact"/>
              <w:ind w:right="348"/>
              <w:jc w:val="right"/>
              <w:rPr>
                <w:sz w:val="23"/>
              </w:rPr>
            </w:pPr>
            <w:r>
              <w:rPr>
                <w:rFonts w:eastAsia="宋体"/>
                <w:lang w:eastAsia="zh-CN"/>
              </w:rPr>
              <w:t>173</w:t>
            </w:r>
            <w:r>
              <w:t xml:space="preserve">,000 </w:t>
            </w:r>
          </w:p>
        </w:tc>
      </w:tr>
    </w:tbl>
    <w:p>
      <w:pPr>
        <w:pStyle w:val="5"/>
        <w:spacing w:before="1"/>
        <w:rPr>
          <w:sz w:val="21"/>
        </w:rPr>
      </w:pPr>
    </w:p>
    <w:p>
      <w:pPr>
        <w:pStyle w:val="2"/>
        <w:spacing w:before="1"/>
        <w:ind w:left="672"/>
        <w:rPr>
          <w:lang w:eastAsia="zh-TW"/>
        </w:rPr>
      </w:pPr>
      <w:r>
        <w:rPr>
          <w:lang w:eastAsia="zh-TW"/>
        </w:rPr>
        <w:t>本公司基於下列因素確定上述新華集團協議項下的年度上限：</w:t>
      </w:r>
    </w:p>
    <w:p>
      <w:pPr>
        <w:pStyle w:val="5"/>
        <w:spacing w:before="5"/>
        <w:rPr>
          <w:b/>
          <w:sz w:val="20"/>
          <w:lang w:eastAsia="zh-TW"/>
        </w:rPr>
      </w:pPr>
    </w:p>
    <w:p>
      <w:pPr>
        <w:pStyle w:val="9"/>
        <w:numPr>
          <w:ilvl w:val="1"/>
          <w:numId w:val="1"/>
        </w:numPr>
        <w:tabs>
          <w:tab w:val="left" w:pos="1199"/>
        </w:tabs>
        <w:spacing w:before="1" w:line="312" w:lineRule="exact"/>
        <w:ind w:left="1198" w:hanging="438"/>
        <w:rPr>
          <w:lang w:eastAsia="zh-TW"/>
        </w:rPr>
      </w:pPr>
      <w:r>
        <w:rPr>
          <w:sz w:val="23"/>
          <w:lang w:eastAsia="zh-TW"/>
        </w:rPr>
        <w:t>本</w:t>
      </w:r>
      <w:r>
        <w:rPr>
          <w:rFonts w:hint="eastAsia" w:eastAsia="宋体"/>
          <w:sz w:val="23"/>
          <w:lang w:eastAsia="zh-TW"/>
        </w:rPr>
        <w:t>集團</w:t>
      </w:r>
      <w:r>
        <w:rPr>
          <w:sz w:val="23"/>
          <w:lang w:eastAsia="zh-TW"/>
        </w:rPr>
        <w:t>與</w:t>
      </w:r>
      <w:r>
        <w:rPr>
          <w:rFonts w:hint="eastAsia" w:eastAsia="宋体"/>
          <w:sz w:val="23"/>
          <w:lang w:eastAsia="zh-TW"/>
        </w:rPr>
        <w:t>控股股東</w:t>
      </w:r>
      <w:r>
        <w:rPr>
          <w:rFonts w:eastAsia="宋体"/>
          <w:sz w:val="23"/>
          <w:lang w:eastAsia="zh-TW"/>
        </w:rPr>
        <w:t>集團</w:t>
      </w:r>
      <w:r>
        <w:rPr>
          <w:sz w:val="23"/>
          <w:lang w:eastAsia="zh-TW"/>
        </w:rPr>
        <w:t>於2016年、2017年及</w:t>
      </w:r>
      <w:r>
        <w:rPr>
          <w:lang w:eastAsia="zh-TW"/>
        </w:rPr>
        <w:t>2018年1月份至9月份的實際交易數額（詳見下述表1）；</w:t>
      </w:r>
    </w:p>
    <w:p>
      <w:pPr>
        <w:pStyle w:val="5"/>
        <w:spacing w:before="5"/>
        <w:rPr>
          <w:sz w:val="20"/>
          <w:lang w:eastAsia="zh-TW"/>
        </w:rPr>
      </w:pPr>
    </w:p>
    <w:p>
      <w:pPr>
        <w:pStyle w:val="9"/>
        <w:numPr>
          <w:ilvl w:val="1"/>
          <w:numId w:val="1"/>
        </w:numPr>
        <w:tabs>
          <w:tab w:val="left" w:pos="1199"/>
        </w:tabs>
        <w:ind w:left="1198" w:hanging="438"/>
        <w:rPr>
          <w:sz w:val="23"/>
          <w:lang w:eastAsia="zh-TW"/>
        </w:rPr>
      </w:pPr>
      <w:r>
        <w:rPr>
          <w:rFonts w:hint="eastAsia" w:eastAsia="宋体"/>
          <w:sz w:val="23"/>
          <w:lang w:eastAsia="zh-CN"/>
        </w:rPr>
        <w:t>控股股東</w:t>
      </w:r>
      <w:r>
        <w:rPr>
          <w:rFonts w:eastAsia="宋体"/>
          <w:sz w:val="23"/>
          <w:lang w:eastAsia="zh-CN"/>
        </w:rPr>
        <w:t>集團</w:t>
      </w:r>
      <w:r>
        <w:rPr>
          <w:sz w:val="23"/>
          <w:lang w:eastAsia="zh-TW"/>
        </w:rPr>
        <w:t>的需求；</w:t>
      </w:r>
    </w:p>
    <w:p>
      <w:pPr>
        <w:pStyle w:val="5"/>
        <w:spacing w:before="7"/>
        <w:rPr>
          <w:sz w:val="20"/>
          <w:lang w:eastAsia="zh-TW"/>
        </w:rPr>
      </w:pPr>
    </w:p>
    <w:p>
      <w:pPr>
        <w:pStyle w:val="9"/>
        <w:numPr>
          <w:ilvl w:val="1"/>
          <w:numId w:val="1"/>
        </w:numPr>
        <w:tabs>
          <w:tab w:val="left" w:pos="1199"/>
        </w:tabs>
        <w:ind w:left="1198" w:hanging="438"/>
        <w:rPr>
          <w:sz w:val="23"/>
          <w:lang w:eastAsia="zh-TW"/>
        </w:rPr>
      </w:pPr>
      <w:r>
        <w:rPr>
          <w:sz w:val="23"/>
          <w:lang w:eastAsia="zh-TW"/>
        </w:rPr>
        <w:t>本</w:t>
      </w:r>
      <w:r>
        <w:rPr>
          <w:rFonts w:hint="eastAsia" w:eastAsia="宋体"/>
          <w:sz w:val="23"/>
          <w:lang w:eastAsia="zh-CN"/>
        </w:rPr>
        <w:t>集團</w:t>
      </w:r>
      <w:r>
        <w:rPr>
          <w:sz w:val="23"/>
          <w:lang w:eastAsia="zh-TW"/>
        </w:rPr>
        <w:t>的需求；</w:t>
      </w:r>
    </w:p>
    <w:p>
      <w:pPr>
        <w:pStyle w:val="5"/>
        <w:spacing w:before="6"/>
        <w:rPr>
          <w:sz w:val="20"/>
          <w:lang w:eastAsia="zh-TW"/>
        </w:rPr>
      </w:pPr>
    </w:p>
    <w:p>
      <w:pPr>
        <w:pStyle w:val="9"/>
        <w:numPr>
          <w:ilvl w:val="1"/>
          <w:numId w:val="1"/>
        </w:numPr>
        <w:tabs>
          <w:tab w:val="left" w:pos="1199"/>
        </w:tabs>
        <w:ind w:left="1198" w:hanging="438"/>
        <w:rPr>
          <w:sz w:val="23"/>
          <w:lang w:eastAsia="zh-TW"/>
        </w:rPr>
      </w:pPr>
      <w:r>
        <w:rPr>
          <w:sz w:val="23"/>
          <w:lang w:eastAsia="zh-TW"/>
        </w:rPr>
        <w:t>本</w:t>
      </w:r>
      <w:r>
        <w:rPr>
          <w:rFonts w:hint="eastAsia" w:eastAsia="宋体"/>
          <w:sz w:val="23"/>
          <w:lang w:eastAsia="zh-CN"/>
        </w:rPr>
        <w:t>集團</w:t>
      </w:r>
      <w:r>
        <w:rPr>
          <w:sz w:val="23"/>
          <w:lang w:eastAsia="zh-TW"/>
        </w:rPr>
        <w:t>的業務發展；及</w:t>
      </w:r>
    </w:p>
    <w:p>
      <w:pPr>
        <w:rPr>
          <w:sz w:val="23"/>
          <w:lang w:eastAsia="zh-TW"/>
        </w:rPr>
        <w:sectPr>
          <w:pgSz w:w="11910" w:h="16840"/>
          <w:pgMar w:top="1600" w:right="1520" w:bottom="1600" w:left="1600" w:header="0" w:footer="1418" w:gutter="0"/>
          <w:cols w:space="720" w:num="1"/>
        </w:sectPr>
      </w:pPr>
    </w:p>
    <w:p>
      <w:pPr>
        <w:pStyle w:val="5"/>
        <w:rPr>
          <w:sz w:val="20"/>
          <w:lang w:eastAsia="zh-TW"/>
        </w:rPr>
      </w:pPr>
    </w:p>
    <w:p>
      <w:pPr>
        <w:pStyle w:val="5"/>
        <w:spacing w:before="1"/>
        <w:rPr>
          <w:sz w:val="16"/>
          <w:lang w:eastAsia="zh-TW"/>
        </w:rPr>
      </w:pPr>
    </w:p>
    <w:p>
      <w:pPr>
        <w:pStyle w:val="9"/>
        <w:numPr>
          <w:ilvl w:val="1"/>
          <w:numId w:val="1"/>
        </w:numPr>
        <w:tabs>
          <w:tab w:val="left" w:pos="1199"/>
        </w:tabs>
        <w:ind w:left="1198" w:hanging="438"/>
        <w:rPr>
          <w:sz w:val="23"/>
          <w:lang w:eastAsia="zh-TW"/>
        </w:rPr>
      </w:pPr>
      <w:r>
        <w:rPr>
          <w:sz w:val="23"/>
          <w:lang w:eastAsia="zh-TW"/>
        </w:rPr>
        <w:t>對化工產品的市場價格的預計</w:t>
      </w:r>
      <w:r>
        <w:rPr>
          <w:rFonts w:hint="eastAsia" w:eastAsia="宋体"/>
          <w:sz w:val="23"/>
          <w:lang w:eastAsia="zh-TW"/>
        </w:rPr>
        <w:t>趨勢</w:t>
      </w:r>
      <w:r>
        <w:rPr>
          <w:sz w:val="23"/>
          <w:lang w:eastAsia="zh-TW"/>
        </w:rPr>
        <w:t>。</w:t>
      </w:r>
    </w:p>
    <w:p>
      <w:pPr>
        <w:pStyle w:val="5"/>
        <w:spacing w:before="6"/>
        <w:rPr>
          <w:sz w:val="20"/>
          <w:lang w:eastAsia="zh-TW"/>
        </w:rPr>
      </w:pPr>
    </w:p>
    <w:p>
      <w:pPr>
        <w:pStyle w:val="5"/>
        <w:spacing w:line="312" w:lineRule="exact"/>
        <w:ind w:left="615"/>
        <w:jc w:val="both"/>
        <w:rPr>
          <w:lang w:eastAsia="zh-TW"/>
        </w:rPr>
      </w:pPr>
      <w:r>
        <w:rPr>
          <w:lang w:eastAsia="zh-TW"/>
        </w:rPr>
        <w:t>表1 - 本</w:t>
      </w:r>
      <w:r>
        <w:rPr>
          <w:rFonts w:hint="eastAsia" w:eastAsia="宋体"/>
          <w:lang w:eastAsia="zh-TW"/>
        </w:rPr>
        <w:t>集團</w:t>
      </w:r>
      <w:r>
        <w:rPr>
          <w:lang w:eastAsia="zh-TW"/>
        </w:rPr>
        <w:t>與</w:t>
      </w:r>
      <w:r>
        <w:rPr>
          <w:rFonts w:hint="eastAsia" w:eastAsia="宋体"/>
          <w:lang w:eastAsia="zh-TW"/>
        </w:rPr>
        <w:t>控股股東集團</w:t>
      </w:r>
      <w:r>
        <w:rPr>
          <w:lang w:eastAsia="zh-TW"/>
        </w:rPr>
        <w:t>2016年、2017年及2018年1月份至9月份的實際交易數額</w:t>
      </w:r>
    </w:p>
    <w:p>
      <w:pPr>
        <w:pStyle w:val="5"/>
        <w:spacing w:before="2" w:after="1"/>
        <w:rPr>
          <w:sz w:val="21"/>
          <w:lang w:eastAsia="zh-TW"/>
        </w:rPr>
      </w:pPr>
    </w:p>
    <w:tbl>
      <w:tblPr>
        <w:tblW w:w="7908" w:type="dxa"/>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447"/>
        <w:gridCol w:w="2447"/>
        <w:gridCol w:w="1494"/>
        <w:gridCol w:w="169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6" w:hRule="atLeast"/>
        </w:trPr>
        <w:tc>
          <w:tcPr>
            <w:tcW w:w="447" w:type="dxa"/>
            <w:vAlign w:val="top"/>
          </w:tcPr>
          <w:p>
            <w:pPr>
              <w:pStyle w:val="10"/>
              <w:spacing w:line="240" w:lineRule="auto"/>
              <w:jc w:val="left"/>
              <w:rPr>
                <w:rFonts w:ascii="Times New Roman"/>
                <w:lang w:eastAsia="zh-TW"/>
              </w:rPr>
            </w:pPr>
          </w:p>
        </w:tc>
        <w:tc>
          <w:tcPr>
            <w:tcW w:w="2447" w:type="dxa"/>
            <w:vAlign w:val="top"/>
          </w:tcPr>
          <w:p>
            <w:pPr>
              <w:pStyle w:val="10"/>
              <w:spacing w:line="240" w:lineRule="auto"/>
              <w:jc w:val="left"/>
              <w:rPr>
                <w:rFonts w:ascii="Times New Roman"/>
                <w:lang w:eastAsia="zh-TW"/>
              </w:rPr>
            </w:pPr>
          </w:p>
        </w:tc>
        <w:tc>
          <w:tcPr>
            <w:tcW w:w="1494" w:type="dxa"/>
            <w:vAlign w:val="top"/>
          </w:tcPr>
          <w:p>
            <w:pPr>
              <w:pStyle w:val="10"/>
              <w:spacing w:line="303" w:lineRule="exact"/>
              <w:ind w:left="149" w:right="145"/>
              <w:rPr>
                <w:sz w:val="23"/>
                <w:lang w:eastAsia="zh-TW"/>
              </w:rPr>
            </w:pPr>
            <w:r>
              <w:rPr>
                <w:sz w:val="23"/>
                <w:lang w:eastAsia="zh-TW"/>
              </w:rPr>
              <w:t>2016年</w:t>
            </w:r>
          </w:p>
          <w:p>
            <w:pPr>
              <w:pStyle w:val="10"/>
              <w:spacing w:line="283" w:lineRule="exact"/>
              <w:ind w:left="149" w:right="145"/>
              <w:rPr>
                <w:rFonts w:eastAsia="宋体"/>
                <w:sz w:val="23"/>
                <w:lang w:eastAsia="zh-TW"/>
              </w:rPr>
            </w:pPr>
            <w:r>
              <w:rPr>
                <w:rFonts w:hint="eastAsia" w:eastAsia="宋体"/>
                <w:sz w:val="23"/>
                <w:lang w:eastAsia="zh-TW"/>
              </w:rPr>
              <w:t>（約至</w:t>
            </w:r>
            <w:r>
              <w:rPr>
                <w:sz w:val="23"/>
                <w:lang w:eastAsia="zh-TW"/>
              </w:rPr>
              <w:t>人民幣千元</w:t>
            </w:r>
            <w:r>
              <w:rPr>
                <w:rFonts w:hint="eastAsia" w:eastAsia="宋体"/>
                <w:sz w:val="23"/>
                <w:lang w:eastAsia="zh-TW"/>
              </w:rPr>
              <w:t>）</w:t>
            </w:r>
          </w:p>
        </w:tc>
        <w:tc>
          <w:tcPr>
            <w:tcW w:w="1690" w:type="dxa"/>
            <w:vAlign w:val="top"/>
          </w:tcPr>
          <w:p>
            <w:pPr>
              <w:pStyle w:val="10"/>
              <w:spacing w:line="303" w:lineRule="exact"/>
              <w:ind w:left="247" w:right="242"/>
              <w:rPr>
                <w:sz w:val="23"/>
                <w:lang w:eastAsia="zh-TW"/>
              </w:rPr>
            </w:pPr>
            <w:r>
              <w:rPr>
                <w:sz w:val="23"/>
                <w:lang w:eastAsia="zh-TW"/>
              </w:rPr>
              <w:t>2017年</w:t>
            </w:r>
          </w:p>
          <w:p>
            <w:pPr>
              <w:pStyle w:val="10"/>
              <w:spacing w:line="283" w:lineRule="exact"/>
              <w:ind w:left="247" w:right="242"/>
              <w:rPr>
                <w:rFonts w:eastAsia="宋体"/>
                <w:sz w:val="23"/>
                <w:lang w:eastAsia="zh-TW"/>
              </w:rPr>
            </w:pPr>
            <w:r>
              <w:rPr>
                <w:rFonts w:hint="eastAsia" w:eastAsia="宋体"/>
                <w:sz w:val="23"/>
                <w:lang w:eastAsia="zh-TW"/>
              </w:rPr>
              <w:t>（約至</w:t>
            </w:r>
            <w:r>
              <w:rPr>
                <w:sz w:val="23"/>
                <w:lang w:eastAsia="zh-TW"/>
              </w:rPr>
              <w:t>人民幣千元</w:t>
            </w:r>
            <w:r>
              <w:rPr>
                <w:rFonts w:hint="eastAsia" w:eastAsia="宋体"/>
                <w:sz w:val="23"/>
                <w:lang w:eastAsia="zh-TW"/>
              </w:rPr>
              <w:t>）</w:t>
            </w:r>
          </w:p>
        </w:tc>
        <w:tc>
          <w:tcPr>
            <w:tcW w:w="1830" w:type="dxa"/>
            <w:vAlign w:val="top"/>
          </w:tcPr>
          <w:p>
            <w:pPr>
              <w:pStyle w:val="10"/>
              <w:spacing w:line="303" w:lineRule="exact"/>
              <w:ind w:left="108" w:right="102"/>
              <w:rPr>
                <w:sz w:val="23"/>
                <w:lang w:eastAsia="zh-TW"/>
              </w:rPr>
            </w:pPr>
            <w:r>
              <w:rPr>
                <w:sz w:val="23"/>
                <w:lang w:eastAsia="zh-TW"/>
              </w:rPr>
              <w:t>2018年1月至9月</w:t>
            </w:r>
          </w:p>
          <w:p>
            <w:pPr>
              <w:pStyle w:val="10"/>
              <w:spacing w:line="283" w:lineRule="exact"/>
              <w:ind w:left="108" w:right="99"/>
              <w:rPr>
                <w:rFonts w:eastAsia="宋体"/>
                <w:sz w:val="23"/>
                <w:lang w:eastAsia="zh-TW"/>
              </w:rPr>
            </w:pPr>
            <w:r>
              <w:rPr>
                <w:rFonts w:hint="eastAsia" w:eastAsia="宋体"/>
                <w:sz w:val="23"/>
                <w:lang w:eastAsia="zh-TW"/>
              </w:rPr>
              <w:t>（約至</w:t>
            </w:r>
            <w:r>
              <w:rPr>
                <w:sz w:val="23"/>
                <w:lang w:eastAsia="zh-TW"/>
              </w:rPr>
              <w:t>人民幣千元</w:t>
            </w:r>
            <w:r>
              <w:rPr>
                <w:rFonts w:hint="eastAsia" w:eastAsia="宋体"/>
                <w:sz w:val="23"/>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14" w:hRule="atLeast"/>
        </w:trPr>
        <w:tc>
          <w:tcPr>
            <w:tcW w:w="447" w:type="dxa"/>
            <w:vAlign w:val="top"/>
          </w:tcPr>
          <w:p>
            <w:pPr>
              <w:pStyle w:val="10"/>
              <w:spacing w:line="312" w:lineRule="exact"/>
              <w:ind w:left="24"/>
              <w:jc w:val="left"/>
              <w:rPr>
                <w:b/>
                <w:sz w:val="23"/>
              </w:rPr>
            </w:pPr>
            <w:r>
              <w:rPr>
                <w:b/>
                <w:sz w:val="23"/>
              </w:rPr>
              <w:t>1.</w:t>
            </w:r>
          </w:p>
        </w:tc>
        <w:tc>
          <w:tcPr>
            <w:tcW w:w="2447" w:type="dxa"/>
            <w:vAlign w:val="top"/>
          </w:tcPr>
          <w:p>
            <w:pPr>
              <w:pStyle w:val="10"/>
              <w:spacing w:before="1" w:line="228" w:lineRule="auto"/>
              <w:ind w:left="26" w:right="71"/>
              <w:jc w:val="left"/>
              <w:rPr>
                <w:b/>
                <w:sz w:val="23"/>
                <w:lang w:eastAsia="zh-TW"/>
              </w:rPr>
            </w:pPr>
            <w:r>
              <w:rPr>
                <w:b/>
                <w:sz w:val="23"/>
                <w:lang w:eastAsia="zh-TW"/>
              </w:rPr>
              <w:t>向</w:t>
            </w:r>
            <w:r>
              <w:rPr>
                <w:rFonts w:hint="eastAsia" w:eastAsia="宋体"/>
                <w:b/>
                <w:sz w:val="23"/>
                <w:lang w:eastAsia="zh-TW"/>
              </w:rPr>
              <w:t>控股股東集團</w:t>
            </w:r>
            <w:r>
              <w:rPr>
                <w:b/>
                <w:sz w:val="23"/>
                <w:lang w:eastAsia="zh-TW"/>
              </w:rPr>
              <w:t>銷售廢料，供應水、電、蒸汽</w:t>
            </w:r>
          </w:p>
        </w:tc>
        <w:tc>
          <w:tcPr>
            <w:tcW w:w="1494" w:type="dxa"/>
            <w:vAlign w:val="top"/>
          </w:tcPr>
          <w:p>
            <w:pPr>
              <w:pStyle w:val="10"/>
              <w:spacing w:line="312" w:lineRule="exact"/>
              <w:ind w:left="149" w:right="144"/>
              <w:rPr>
                <w:sz w:val="23"/>
                <w:lang w:eastAsia="zh-TW"/>
              </w:rPr>
            </w:pPr>
            <w:r>
              <w:rPr>
                <w:rFonts w:eastAsia="宋体"/>
                <w:lang w:eastAsia="zh-CN"/>
              </w:rPr>
              <w:t>59,959</w:t>
            </w:r>
          </w:p>
        </w:tc>
        <w:tc>
          <w:tcPr>
            <w:tcW w:w="1690" w:type="dxa"/>
            <w:vAlign w:val="top"/>
          </w:tcPr>
          <w:p>
            <w:pPr>
              <w:pStyle w:val="10"/>
              <w:spacing w:line="312" w:lineRule="exact"/>
              <w:ind w:right="534"/>
              <w:jc w:val="right"/>
              <w:rPr>
                <w:sz w:val="23"/>
                <w:lang w:eastAsia="zh-TW"/>
              </w:rPr>
            </w:pPr>
            <w:r>
              <w:rPr>
                <w:rFonts w:eastAsia="宋体"/>
                <w:lang w:eastAsia="zh-CN"/>
              </w:rPr>
              <w:t>60,241</w:t>
            </w:r>
          </w:p>
        </w:tc>
        <w:tc>
          <w:tcPr>
            <w:tcW w:w="1830" w:type="dxa"/>
            <w:vAlign w:val="top"/>
          </w:tcPr>
          <w:p>
            <w:pPr>
              <w:pStyle w:val="10"/>
              <w:spacing w:line="312" w:lineRule="exact"/>
              <w:ind w:left="103" w:right="102"/>
              <w:rPr>
                <w:sz w:val="23"/>
                <w:lang w:eastAsia="zh-TW"/>
              </w:rPr>
            </w:pPr>
            <w:r>
              <w:rPr>
                <w:rFonts w:eastAsia="宋体"/>
                <w:lang w:eastAsia="zh-CN"/>
              </w:rPr>
              <w:t>57,688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213" w:hRule="atLeast"/>
        </w:trPr>
        <w:tc>
          <w:tcPr>
            <w:tcW w:w="447" w:type="dxa"/>
            <w:vAlign w:val="top"/>
          </w:tcPr>
          <w:p>
            <w:pPr>
              <w:pStyle w:val="10"/>
              <w:spacing w:line="311" w:lineRule="exact"/>
              <w:ind w:left="24"/>
              <w:jc w:val="left"/>
              <w:rPr>
                <w:b/>
                <w:sz w:val="23"/>
              </w:rPr>
            </w:pPr>
            <w:r>
              <w:rPr>
                <w:b/>
                <w:sz w:val="23"/>
              </w:rPr>
              <w:t>2.</w:t>
            </w:r>
          </w:p>
        </w:tc>
        <w:tc>
          <w:tcPr>
            <w:tcW w:w="2447" w:type="dxa"/>
            <w:vAlign w:val="top"/>
          </w:tcPr>
          <w:p>
            <w:pPr>
              <w:pStyle w:val="10"/>
              <w:spacing w:before="1" w:line="228" w:lineRule="auto"/>
              <w:ind w:left="26" w:right="71"/>
              <w:jc w:val="left"/>
              <w:rPr>
                <w:b/>
                <w:sz w:val="23"/>
                <w:lang w:eastAsia="zh-TW"/>
              </w:rPr>
            </w:pPr>
            <w:r>
              <w:rPr>
                <w:b/>
                <w:sz w:val="23"/>
                <w:lang w:eastAsia="zh-TW"/>
              </w:rPr>
              <w:t>從</w:t>
            </w:r>
            <w:r>
              <w:rPr>
                <w:rFonts w:hint="eastAsia" w:eastAsia="宋体"/>
                <w:b/>
                <w:sz w:val="23"/>
                <w:lang w:eastAsia="zh-TW"/>
              </w:rPr>
              <w:t>控股股東集團</w:t>
            </w:r>
            <w:r>
              <w:rPr>
                <w:b/>
                <w:sz w:val="23"/>
                <w:lang w:eastAsia="zh-TW"/>
              </w:rPr>
              <w:t>採購配件、原材料及包裝材料</w:t>
            </w:r>
          </w:p>
        </w:tc>
        <w:tc>
          <w:tcPr>
            <w:tcW w:w="1494" w:type="dxa"/>
            <w:vAlign w:val="top"/>
          </w:tcPr>
          <w:p>
            <w:pPr>
              <w:pStyle w:val="10"/>
              <w:spacing w:line="311" w:lineRule="exact"/>
              <w:ind w:left="149" w:right="143"/>
              <w:rPr>
                <w:sz w:val="23"/>
                <w:lang w:eastAsia="zh-TW"/>
              </w:rPr>
            </w:pPr>
            <w:r>
              <w:rPr>
                <w:rFonts w:eastAsia="宋体"/>
                <w:lang w:eastAsia="zh-CN"/>
              </w:rPr>
              <w:t>10,160</w:t>
            </w:r>
          </w:p>
        </w:tc>
        <w:tc>
          <w:tcPr>
            <w:tcW w:w="1690" w:type="dxa"/>
            <w:vAlign w:val="top"/>
          </w:tcPr>
          <w:p>
            <w:pPr>
              <w:pStyle w:val="10"/>
              <w:spacing w:line="311" w:lineRule="exact"/>
              <w:ind w:right="535"/>
              <w:jc w:val="right"/>
              <w:rPr>
                <w:sz w:val="23"/>
                <w:lang w:eastAsia="zh-TW"/>
              </w:rPr>
            </w:pPr>
            <w:r>
              <w:rPr>
                <w:rFonts w:eastAsia="宋体"/>
                <w:lang w:eastAsia="zh-CN"/>
              </w:rPr>
              <w:t>10,707</w:t>
            </w:r>
          </w:p>
        </w:tc>
        <w:tc>
          <w:tcPr>
            <w:tcW w:w="1830" w:type="dxa"/>
            <w:vAlign w:val="top"/>
          </w:tcPr>
          <w:p>
            <w:pPr>
              <w:pStyle w:val="10"/>
              <w:spacing w:line="311" w:lineRule="exact"/>
              <w:ind w:left="101" w:right="102"/>
              <w:rPr>
                <w:sz w:val="23"/>
                <w:lang w:eastAsia="zh-TW"/>
              </w:rPr>
            </w:pPr>
            <w:r>
              <w:rPr>
                <w:rFonts w:eastAsia="宋体"/>
                <w:lang w:eastAsia="zh-CN"/>
              </w:rPr>
              <w:t>8,962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3" w:hRule="atLeast"/>
        </w:trPr>
        <w:tc>
          <w:tcPr>
            <w:tcW w:w="447" w:type="dxa"/>
            <w:vAlign w:val="top"/>
          </w:tcPr>
          <w:p>
            <w:pPr>
              <w:pStyle w:val="10"/>
              <w:spacing w:line="240" w:lineRule="auto"/>
              <w:jc w:val="left"/>
              <w:rPr>
                <w:rFonts w:ascii="Times New Roman"/>
                <w:lang w:eastAsia="zh-TW"/>
              </w:rPr>
            </w:pPr>
          </w:p>
        </w:tc>
        <w:tc>
          <w:tcPr>
            <w:tcW w:w="2447" w:type="dxa"/>
            <w:vAlign w:val="top"/>
          </w:tcPr>
          <w:p>
            <w:pPr>
              <w:pStyle w:val="10"/>
              <w:ind w:left="26"/>
              <w:jc w:val="left"/>
              <w:rPr>
                <w:b/>
                <w:sz w:val="23"/>
              </w:rPr>
            </w:pPr>
            <w:r>
              <w:rPr>
                <w:b/>
                <w:sz w:val="23"/>
              </w:rPr>
              <w:t>合計</w:t>
            </w:r>
          </w:p>
        </w:tc>
        <w:tc>
          <w:tcPr>
            <w:tcW w:w="1494" w:type="dxa"/>
            <w:vAlign w:val="top"/>
          </w:tcPr>
          <w:p>
            <w:pPr>
              <w:pStyle w:val="10"/>
              <w:ind w:left="149" w:right="143"/>
              <w:rPr>
                <w:sz w:val="23"/>
              </w:rPr>
            </w:pPr>
            <w:r>
              <w:rPr>
                <w:rFonts w:eastAsia="宋体"/>
                <w:lang w:eastAsia="zh-CN"/>
              </w:rPr>
              <w:t>70,119</w:t>
            </w:r>
          </w:p>
        </w:tc>
        <w:tc>
          <w:tcPr>
            <w:tcW w:w="1690" w:type="dxa"/>
            <w:vAlign w:val="top"/>
          </w:tcPr>
          <w:p>
            <w:pPr>
              <w:pStyle w:val="10"/>
              <w:ind w:right="535"/>
              <w:jc w:val="right"/>
              <w:rPr>
                <w:sz w:val="23"/>
              </w:rPr>
            </w:pPr>
            <w:r>
              <w:rPr>
                <w:rFonts w:eastAsia="宋体"/>
                <w:lang w:eastAsia="zh-CN"/>
              </w:rPr>
              <w:t>70,948</w:t>
            </w:r>
          </w:p>
        </w:tc>
        <w:tc>
          <w:tcPr>
            <w:tcW w:w="1830" w:type="dxa"/>
            <w:vAlign w:val="top"/>
          </w:tcPr>
          <w:p>
            <w:pPr>
              <w:pStyle w:val="10"/>
              <w:ind w:left="101" w:right="102"/>
              <w:rPr>
                <w:sz w:val="23"/>
              </w:rPr>
            </w:pPr>
            <w:r>
              <w:rPr>
                <w:rFonts w:eastAsia="宋体"/>
                <w:lang w:eastAsia="zh-CN"/>
              </w:rPr>
              <w:t>66,650</w:t>
            </w:r>
          </w:p>
        </w:tc>
      </w:tr>
    </w:tbl>
    <w:p>
      <w:pPr>
        <w:pStyle w:val="5"/>
        <w:rPr>
          <w:sz w:val="21"/>
        </w:rPr>
      </w:pPr>
    </w:p>
    <w:p>
      <w:pPr>
        <w:pStyle w:val="2"/>
        <w:jc w:val="both"/>
        <w:rPr>
          <w:lang w:eastAsia="zh-TW"/>
        </w:rPr>
      </w:pPr>
      <w:r>
        <w:rPr>
          <w:lang w:eastAsia="zh-TW"/>
        </w:rPr>
        <w:t>新華集團協議項下之持續關連交易的原因及利益</w:t>
      </w:r>
    </w:p>
    <w:p>
      <w:pPr>
        <w:pStyle w:val="5"/>
        <w:spacing w:before="7"/>
        <w:rPr>
          <w:b/>
          <w:sz w:val="21"/>
          <w:lang w:eastAsia="zh-TW"/>
        </w:rPr>
      </w:pPr>
    </w:p>
    <w:p>
      <w:pPr>
        <w:pStyle w:val="5"/>
        <w:spacing w:line="225" w:lineRule="auto"/>
        <w:ind w:left="615" w:right="226"/>
        <w:jc w:val="both"/>
        <w:rPr>
          <w:lang w:eastAsia="zh-TW"/>
        </w:rPr>
      </w:pPr>
      <w:r>
        <w:rPr>
          <w:lang w:eastAsia="zh-TW"/>
        </w:rPr>
        <w:t>通過訂立新華集團協議，本</w:t>
      </w:r>
      <w:r>
        <w:rPr>
          <w:rFonts w:hint="eastAsia" w:eastAsia="宋体"/>
          <w:lang w:eastAsia="zh-TW"/>
        </w:rPr>
        <w:t>集團</w:t>
      </w:r>
      <w:r>
        <w:rPr>
          <w:lang w:eastAsia="zh-TW"/>
        </w:rPr>
        <w:t>可以持續向</w:t>
      </w:r>
      <w:r>
        <w:rPr>
          <w:rFonts w:hint="eastAsia"/>
          <w:lang w:eastAsia="zh-TW"/>
        </w:rPr>
        <w:t>控股股東集團</w:t>
      </w:r>
      <w:r>
        <w:rPr>
          <w:lang w:eastAsia="zh-TW"/>
        </w:rPr>
        <w:t>銷售相關產品從而獲取收入，並從</w:t>
      </w:r>
      <w:r>
        <w:rPr>
          <w:rFonts w:hint="eastAsia"/>
          <w:lang w:eastAsia="zh-TW"/>
        </w:rPr>
        <w:t>控股股東集團</w:t>
      </w:r>
      <w:r>
        <w:rPr>
          <w:lang w:eastAsia="zh-TW"/>
        </w:rPr>
        <w:t>獲得穩定的原材料及雜項產品供應，從而避免向其他供應商支付額外的採購費用。</w:t>
      </w:r>
    </w:p>
    <w:p>
      <w:pPr>
        <w:pStyle w:val="5"/>
        <w:spacing w:before="10"/>
        <w:rPr>
          <w:sz w:val="21"/>
          <w:lang w:eastAsia="zh-TW"/>
        </w:rPr>
      </w:pPr>
    </w:p>
    <w:p>
      <w:pPr>
        <w:pStyle w:val="5"/>
        <w:spacing w:before="1" w:line="228" w:lineRule="auto"/>
        <w:ind w:left="615" w:right="168"/>
        <w:jc w:val="both"/>
        <w:rPr>
          <w:lang w:eastAsia="zh-TW"/>
        </w:rPr>
      </w:pPr>
      <w:r>
        <w:rPr>
          <w:lang w:eastAsia="zh-TW"/>
        </w:rPr>
        <w:t>因此，董事</w:t>
      </w:r>
      <w:r>
        <w:rPr>
          <w:rFonts w:hint="eastAsia" w:eastAsia="宋体"/>
          <w:lang w:eastAsia="zh-TW"/>
        </w:rPr>
        <w:t>（包括</w:t>
      </w:r>
      <w:r>
        <w:rPr>
          <w:rFonts w:eastAsia="宋体"/>
          <w:lang w:eastAsia="zh-TW"/>
        </w:rPr>
        <w:t>獨立非執行董事</w:t>
      </w:r>
      <w:r>
        <w:rPr>
          <w:rFonts w:hint="eastAsia" w:eastAsia="宋体"/>
          <w:lang w:eastAsia="zh-TW"/>
        </w:rPr>
        <w:t>）</w:t>
      </w:r>
      <w:r>
        <w:rPr>
          <w:lang w:eastAsia="zh-TW"/>
        </w:rPr>
        <w:t>認為，訂立新華集團協議符合本公司及其股東的整體最佳利益，並</w:t>
      </w:r>
      <w:r>
        <w:rPr>
          <w:spacing w:val="-14"/>
          <w:lang w:eastAsia="zh-TW"/>
        </w:rPr>
        <w:t>認為，有關持續關連交易乃按正常商業條款，並在日常及一般業務過程中訂立， 而新華集團協議項下的持續關連交易條款屬於公平及合理。</w:t>
      </w:r>
    </w:p>
    <w:p>
      <w:pPr>
        <w:pStyle w:val="5"/>
        <w:spacing w:before="7"/>
        <w:rPr>
          <w:sz w:val="20"/>
          <w:lang w:eastAsia="zh-TW"/>
        </w:rPr>
      </w:pPr>
    </w:p>
    <w:p>
      <w:pPr>
        <w:pStyle w:val="2"/>
        <w:ind w:left="606"/>
        <w:rPr>
          <w:lang w:eastAsia="zh-TW"/>
        </w:rPr>
      </w:pPr>
      <w:r>
        <w:rPr>
          <w:lang w:eastAsia="zh-TW"/>
        </w:rPr>
        <w:t>上市規則下的涵意</w:t>
      </w:r>
    </w:p>
    <w:p>
      <w:pPr>
        <w:pStyle w:val="5"/>
        <w:spacing w:before="5"/>
        <w:rPr>
          <w:b/>
          <w:sz w:val="21"/>
          <w:lang w:eastAsia="zh-TW"/>
        </w:rPr>
      </w:pPr>
    </w:p>
    <w:p>
      <w:pPr>
        <w:pStyle w:val="5"/>
        <w:spacing w:line="225" w:lineRule="auto"/>
        <w:ind w:left="615" w:right="221"/>
        <w:jc w:val="both"/>
        <w:rPr>
          <w:lang w:eastAsia="zh-TW"/>
        </w:rPr>
      </w:pPr>
      <w:r>
        <w:rPr>
          <w:lang w:eastAsia="zh-TW"/>
        </w:rPr>
        <w:t>新華集團協議項下2019年、2020年及2021年持續關連交易的最高年度上限為人民幣173,000,000元。</w:t>
      </w:r>
    </w:p>
    <w:p>
      <w:pPr>
        <w:pStyle w:val="5"/>
        <w:spacing w:line="225" w:lineRule="auto"/>
        <w:ind w:left="615" w:right="221"/>
        <w:jc w:val="both"/>
        <w:rPr>
          <w:lang w:eastAsia="zh-TW"/>
        </w:rPr>
      </w:pPr>
    </w:p>
    <w:p>
      <w:pPr>
        <w:pStyle w:val="5"/>
        <w:spacing w:line="225" w:lineRule="auto"/>
        <w:ind w:left="615" w:right="221"/>
        <w:jc w:val="both"/>
        <w:rPr>
          <w:lang w:eastAsia="zh-TW"/>
        </w:rPr>
      </w:pPr>
      <w:r>
        <w:rPr>
          <w:rFonts w:hint="eastAsia" w:ascii="Times New Roman" w:hAnsi="Times New Roman"/>
          <w:lang w:eastAsia="zh-TW"/>
        </w:rPr>
        <w:t>由於</w:t>
      </w:r>
      <w:r>
        <w:rPr>
          <w:rFonts w:hint="eastAsia" w:eastAsia="宋体"/>
          <w:lang w:eastAsia="zh-TW"/>
        </w:rPr>
        <w:t>一項</w:t>
      </w:r>
      <w:r>
        <w:rPr>
          <w:rFonts w:eastAsia="宋体"/>
          <w:lang w:eastAsia="zh-TW"/>
        </w:rPr>
        <w:t>或以上</w:t>
      </w:r>
      <w:r>
        <w:rPr>
          <w:lang w:eastAsia="zh-TW"/>
        </w:rPr>
        <w:t>適用的百分比率(根據上市規則定義)按年計算超過5%，而總代價超過港幣10,000,000元。根據上市規則第14A章，新華集團協議項下持續關連交易構成不獲豁免持續關連交易，須遵守</w:t>
      </w:r>
      <w:r>
        <w:rPr>
          <w:rFonts w:hint="eastAsia"/>
          <w:lang w:eastAsia="zh-TW"/>
        </w:rPr>
        <w:t>上市規則項下有關</w:t>
      </w:r>
      <w:r>
        <w:rPr>
          <w:lang w:eastAsia="zh-TW"/>
        </w:rPr>
        <w:t>公告的規定，</w:t>
      </w:r>
      <w:r>
        <w:rPr>
          <w:rFonts w:hint="eastAsia" w:eastAsia="宋体"/>
          <w:lang w:eastAsia="zh-TW"/>
        </w:rPr>
        <w:t>無利益</w:t>
      </w:r>
      <w:r>
        <w:rPr>
          <w:rFonts w:eastAsia="宋体"/>
          <w:lang w:eastAsia="zh-TW"/>
        </w:rPr>
        <w:t>關係</w:t>
      </w:r>
      <w:r>
        <w:rPr>
          <w:lang w:eastAsia="zh-TW"/>
        </w:rPr>
        <w:t>股東批准的規定，年度審核</w:t>
      </w:r>
      <w:r>
        <w:rPr>
          <w:rFonts w:hint="eastAsia" w:eastAsia="宋体"/>
          <w:lang w:eastAsia="zh-TW"/>
        </w:rPr>
        <w:t>及申報的規定</w:t>
      </w:r>
      <w:r>
        <w:rPr>
          <w:lang w:eastAsia="zh-TW"/>
        </w:rPr>
        <w:t>以及</w:t>
      </w:r>
      <w:r>
        <w:rPr>
          <w:rFonts w:hint="eastAsia" w:eastAsia="宋体"/>
          <w:lang w:eastAsia="zh-TW"/>
        </w:rPr>
        <w:t>獨立董事</w:t>
      </w:r>
      <w:r>
        <w:rPr>
          <w:rFonts w:eastAsia="宋体"/>
          <w:lang w:eastAsia="zh-TW"/>
        </w:rPr>
        <w:t>委員會及</w:t>
      </w:r>
      <w:r>
        <w:rPr>
          <w:lang w:eastAsia="zh-TW"/>
        </w:rPr>
        <w:t>獨立財務顧問的</w:t>
      </w:r>
      <w:r>
        <w:rPr>
          <w:rFonts w:hint="eastAsia" w:eastAsia="宋体"/>
          <w:lang w:eastAsia="zh-TW"/>
        </w:rPr>
        <w:t>規定</w:t>
      </w:r>
      <w:r>
        <w:rPr>
          <w:lang w:eastAsia="zh-TW"/>
        </w:rPr>
        <w:t>。</w:t>
      </w:r>
    </w:p>
    <w:p>
      <w:pPr>
        <w:pStyle w:val="5"/>
        <w:spacing w:line="225" w:lineRule="auto"/>
        <w:ind w:left="615" w:right="221"/>
        <w:jc w:val="both"/>
        <w:rPr>
          <w:lang w:eastAsia="zh-TW"/>
        </w:rPr>
      </w:pPr>
    </w:p>
    <w:p>
      <w:pPr>
        <w:pStyle w:val="5"/>
        <w:spacing w:line="225" w:lineRule="auto"/>
        <w:ind w:left="615" w:right="221"/>
        <w:jc w:val="both"/>
        <w:rPr>
          <w:lang w:eastAsia="zh-TW"/>
        </w:rPr>
      </w:pPr>
      <w:r>
        <w:rPr>
          <w:lang w:eastAsia="zh-TW"/>
        </w:rPr>
        <w:t>由於本公司董事張代銘先生、任福龍先生、徐列先生及趙斌先生各自於華魯控股及／或新華集團中任職董事或作為管理層，彼等已就董事會對</w:t>
      </w:r>
      <w:r>
        <w:rPr>
          <w:rFonts w:hint="eastAsia" w:eastAsia="宋体"/>
          <w:lang w:eastAsia="zh-TW"/>
        </w:rPr>
        <w:t>重續</w:t>
      </w:r>
      <w:r>
        <w:rPr>
          <w:rFonts w:eastAsia="宋体"/>
          <w:lang w:eastAsia="zh-TW"/>
        </w:rPr>
        <w:t>新華集團協議</w:t>
      </w:r>
      <w:r>
        <w:rPr>
          <w:lang w:eastAsia="zh-TW"/>
        </w:rPr>
        <w:t>的決定放棄投票。除上述披露者外，本公司並不知悉任何其他董事於新華集團協議中擁有重大權</w:t>
      </w:r>
      <w:r>
        <w:rPr>
          <w:rFonts w:hint="eastAsia"/>
          <w:lang w:eastAsia="zh-TW"/>
        </w:rPr>
        <w:t>益</w:t>
      </w:r>
      <w:r>
        <w:rPr>
          <w:rFonts w:hint="eastAsia" w:eastAsia="宋体"/>
          <w:lang w:eastAsia="zh-TW"/>
        </w:rPr>
        <w:t>。</w:t>
      </w:r>
    </w:p>
    <w:p>
      <w:pPr>
        <w:pStyle w:val="5"/>
        <w:spacing w:line="225" w:lineRule="auto"/>
        <w:ind w:left="615" w:right="221"/>
        <w:jc w:val="both"/>
        <w:rPr>
          <w:rFonts w:hAnsi="Calibri" w:eastAsia="宋体"/>
          <w:lang w:eastAsia="zh-TW"/>
        </w:rPr>
      </w:pPr>
    </w:p>
    <w:p>
      <w:pPr>
        <w:pStyle w:val="5"/>
        <w:spacing w:line="225" w:lineRule="auto"/>
        <w:ind w:left="615" w:right="221"/>
        <w:jc w:val="both"/>
        <w:rPr>
          <w:rFonts w:hAnsi="Calibri" w:eastAsia="宋体"/>
          <w:lang w:eastAsia="zh-TW"/>
        </w:rPr>
      </w:pPr>
      <w:r>
        <w:rPr>
          <w:lang w:eastAsia="zh-TW"/>
        </w:rPr>
        <w:t>經一切合理查詢後，就董事所盡悉、深知及確信，本</w:t>
      </w:r>
      <w:r>
        <w:rPr>
          <w:rFonts w:hint="eastAsia"/>
          <w:lang w:eastAsia="zh-TW"/>
        </w:rPr>
        <w:t>公司</w:t>
      </w:r>
      <w:r>
        <w:rPr>
          <w:lang w:eastAsia="zh-TW"/>
        </w:rPr>
        <w:t>與</w:t>
      </w:r>
      <w:r>
        <w:rPr>
          <w:rFonts w:hint="eastAsia" w:eastAsia="宋体"/>
          <w:lang w:eastAsia="zh-TW"/>
        </w:rPr>
        <w:t>其控股股東</w:t>
      </w:r>
      <w:r>
        <w:rPr>
          <w:lang w:eastAsia="zh-TW"/>
        </w:rPr>
        <w:t>及其最終實益擁有人於本公告日期起十二個月內概無訂立其他交易，其須連同</w:t>
      </w:r>
      <w:r>
        <w:rPr>
          <w:rFonts w:hint="eastAsia" w:eastAsia="宋体"/>
          <w:lang w:eastAsia="zh-TW"/>
        </w:rPr>
        <w:t>新華集團協議</w:t>
      </w:r>
      <w:r>
        <w:rPr>
          <w:lang w:eastAsia="zh-TW"/>
        </w:rPr>
        <w:t>於上市規則第14A.81條項下被視為一 系列交易，並猶如彼等構成同一項交易</w:t>
      </w:r>
      <w:r>
        <w:rPr>
          <w:rFonts w:hint="eastAsia"/>
          <w:lang w:eastAsia="zh-TW"/>
        </w:rPr>
        <w:t>。</w:t>
      </w:r>
    </w:p>
    <w:p>
      <w:pPr>
        <w:pStyle w:val="5"/>
        <w:spacing w:before="2"/>
        <w:rPr>
          <w:sz w:val="21"/>
          <w:lang w:eastAsia="zh-TW"/>
        </w:rPr>
      </w:pPr>
    </w:p>
    <w:p>
      <w:pPr>
        <w:pStyle w:val="2"/>
        <w:rPr>
          <w:lang w:eastAsia="zh-TW"/>
        </w:rPr>
      </w:pPr>
      <w:r>
        <w:rPr>
          <w:lang w:eastAsia="zh-TW"/>
        </w:rPr>
        <w:t>關連方關係</w:t>
      </w:r>
    </w:p>
    <w:p>
      <w:pPr>
        <w:pStyle w:val="5"/>
        <w:spacing w:before="3"/>
        <w:rPr>
          <w:b/>
          <w:sz w:val="21"/>
          <w:lang w:eastAsia="zh-TW"/>
        </w:rPr>
      </w:pPr>
    </w:p>
    <w:p>
      <w:pPr>
        <w:pStyle w:val="5"/>
        <w:spacing w:before="1" w:line="228" w:lineRule="auto"/>
        <w:ind w:left="615" w:right="225"/>
        <w:jc w:val="both"/>
        <w:rPr>
          <w:rFonts w:eastAsia="宋体"/>
          <w:lang w:eastAsia="zh-TW"/>
        </w:rPr>
      </w:pPr>
      <w:r>
        <w:rPr>
          <w:lang w:eastAsia="zh-TW"/>
        </w:rPr>
        <w:t>於本公告日期</w:t>
      </w:r>
      <w:r>
        <w:rPr>
          <w:rFonts w:hint="eastAsia" w:eastAsia="宋体"/>
          <w:lang w:eastAsia="zh-TW"/>
        </w:rPr>
        <w:t>：(</w:t>
      </w:r>
      <w:r>
        <w:rPr>
          <w:rFonts w:eastAsia="宋体"/>
          <w:lang w:eastAsia="zh-TW"/>
        </w:rPr>
        <w:t>1</w:t>
      </w:r>
      <w:r>
        <w:rPr>
          <w:rFonts w:hint="eastAsia" w:eastAsia="宋体"/>
          <w:lang w:eastAsia="zh-TW"/>
        </w:rPr>
        <w:t>)</w:t>
      </w:r>
      <w:r>
        <w:rPr>
          <w:lang w:eastAsia="zh-TW"/>
        </w:rPr>
        <w:t>新華集團持有本公司已發行股本總數的32.94%，</w:t>
      </w:r>
      <w:r>
        <w:rPr>
          <w:rFonts w:hint="eastAsia" w:eastAsia="宋体"/>
          <w:lang w:eastAsia="zh-TW"/>
        </w:rPr>
        <w:t>且為</w:t>
      </w:r>
      <w:r>
        <w:rPr>
          <w:rFonts w:eastAsia="宋体"/>
          <w:lang w:eastAsia="zh-TW"/>
        </w:rPr>
        <w:t>華魯控股全資附屬公司；及</w:t>
      </w:r>
      <w:r>
        <w:rPr>
          <w:rFonts w:hint="eastAsia" w:eastAsia="宋体"/>
          <w:lang w:eastAsia="zh-TW"/>
        </w:rPr>
        <w:t>(</w:t>
      </w:r>
      <w:r>
        <w:rPr>
          <w:rFonts w:eastAsia="宋体"/>
          <w:lang w:eastAsia="zh-TW"/>
        </w:rPr>
        <w:t>2</w:t>
      </w:r>
      <w:r>
        <w:rPr>
          <w:rFonts w:hint="eastAsia" w:eastAsia="宋体"/>
          <w:lang w:eastAsia="zh-TW"/>
        </w:rPr>
        <w:t>)華魯控股</w:t>
      </w:r>
      <w:r>
        <w:rPr>
          <w:rFonts w:eastAsia="宋体"/>
          <w:lang w:eastAsia="zh-TW"/>
        </w:rPr>
        <w:t>持有</w:t>
      </w:r>
      <w:r>
        <w:rPr>
          <w:lang w:eastAsia="zh-TW"/>
        </w:rPr>
        <w:t>山東華魯國際商務中心有限公</w:t>
      </w:r>
      <w:r>
        <w:rPr>
          <w:rFonts w:hint="eastAsia"/>
          <w:lang w:eastAsia="zh-TW"/>
        </w:rPr>
        <w:t>司及</w:t>
      </w:r>
      <w:r>
        <w:rPr>
          <w:rFonts w:hint="eastAsia" w:eastAsia="宋体"/>
          <w:lang w:eastAsia="zh-TW"/>
        </w:rPr>
        <w:t>華魯集團有限公司</w:t>
      </w:r>
      <w:r>
        <w:rPr>
          <w:rFonts w:hint="eastAsia" w:ascii="Times New Roman" w:hAnsi="Times New Roman"/>
          <w:lang w:eastAsia="zh-TW"/>
        </w:rPr>
        <w:t>的</w:t>
      </w:r>
      <w:r>
        <w:rPr>
          <w:rFonts w:hint="eastAsia" w:eastAsia="宋体"/>
          <w:lang w:eastAsia="zh-TW"/>
        </w:rPr>
        <w:t>100%權益</w:t>
      </w:r>
      <w:r>
        <w:rPr>
          <w:rFonts w:eastAsia="宋体"/>
          <w:lang w:eastAsia="zh-TW"/>
        </w:rPr>
        <w:t>，</w:t>
      </w:r>
      <w:r>
        <w:rPr>
          <w:lang w:eastAsia="zh-TW"/>
        </w:rPr>
        <w:t>而該兩家公司分別持有維斌有限公司99.91%及0.09%股權</w:t>
      </w:r>
      <w:r>
        <w:rPr>
          <w:rFonts w:hint="eastAsia"/>
          <w:lang w:eastAsia="zh-TW"/>
        </w:rPr>
        <w:t>;</w:t>
      </w:r>
      <w:r>
        <w:rPr>
          <w:rFonts w:hint="eastAsia" w:eastAsia="宋体"/>
          <w:lang w:eastAsia="zh-TW"/>
        </w:rPr>
        <w:t>(</w:t>
      </w:r>
      <w:r>
        <w:rPr>
          <w:rFonts w:eastAsia="宋体"/>
          <w:lang w:eastAsia="zh-TW"/>
        </w:rPr>
        <w:t>3</w:t>
      </w:r>
      <w:r>
        <w:rPr>
          <w:rFonts w:hint="eastAsia" w:eastAsia="宋体"/>
          <w:lang w:eastAsia="zh-TW"/>
        </w:rPr>
        <w:t>)</w:t>
      </w:r>
      <w:r>
        <w:rPr>
          <w:lang w:eastAsia="zh-TW"/>
        </w:rPr>
        <w:t xml:space="preserve"> 維斌有限公司</w:t>
      </w:r>
      <w:r>
        <w:rPr>
          <w:rFonts w:hint="eastAsia" w:eastAsia="宋体"/>
          <w:lang w:eastAsia="zh-TW"/>
        </w:rPr>
        <w:t>擁有</w:t>
      </w:r>
      <w:r>
        <w:rPr>
          <w:rFonts w:eastAsia="宋体"/>
          <w:lang w:eastAsia="zh-TW"/>
        </w:rPr>
        <w:t>本公司已發行股本總數的</w:t>
      </w:r>
      <w:r>
        <w:rPr>
          <w:rFonts w:hint="eastAsia" w:eastAsia="宋体"/>
          <w:lang w:eastAsia="zh-TW"/>
        </w:rPr>
        <w:t>2.86</w:t>
      </w:r>
      <w:r>
        <w:rPr>
          <w:rFonts w:eastAsia="宋体"/>
          <w:lang w:eastAsia="zh-TW"/>
        </w:rPr>
        <w:t>%</w:t>
      </w:r>
      <w:r>
        <w:rPr>
          <w:lang w:eastAsia="zh-TW"/>
        </w:rPr>
        <w:t>。</w:t>
      </w:r>
      <w:r>
        <w:rPr>
          <w:rFonts w:hint="eastAsia" w:eastAsia="宋体"/>
          <w:lang w:eastAsia="zh-TW"/>
        </w:rPr>
        <w:t>因此</w:t>
      </w:r>
      <w:r>
        <w:rPr>
          <w:rFonts w:hint="eastAsia"/>
          <w:lang w:eastAsia="zh-TW"/>
        </w:rPr>
        <w:t>，根據上市規則，</w:t>
      </w:r>
      <w:r>
        <w:rPr>
          <w:rFonts w:hint="eastAsia" w:eastAsia="宋体"/>
          <w:lang w:eastAsia="zh-TW"/>
        </w:rPr>
        <w:t>新華集團</w:t>
      </w:r>
      <w:r>
        <w:rPr>
          <w:rFonts w:hint="eastAsia"/>
          <w:lang w:eastAsia="zh-TW"/>
        </w:rPr>
        <w:t>協議項下的交易構成持續關連交易。</w:t>
      </w:r>
    </w:p>
    <w:p>
      <w:pPr>
        <w:pStyle w:val="5"/>
        <w:spacing w:before="9"/>
        <w:rPr>
          <w:sz w:val="20"/>
          <w:lang w:eastAsia="zh-TW"/>
        </w:rPr>
      </w:pPr>
    </w:p>
    <w:p>
      <w:pPr>
        <w:pStyle w:val="2"/>
        <w:jc w:val="both"/>
        <w:rPr>
          <w:lang w:eastAsia="zh-TW"/>
        </w:rPr>
      </w:pPr>
      <w:r>
        <w:rPr>
          <w:lang w:eastAsia="zh-TW"/>
        </w:rPr>
        <w:t>關於本公司及</w:t>
      </w:r>
      <w:r>
        <w:rPr>
          <w:rFonts w:hint="eastAsia" w:eastAsia="宋体"/>
          <w:lang w:eastAsia="zh-TW"/>
        </w:rPr>
        <w:t>控股股東</w:t>
      </w:r>
      <w:r>
        <w:rPr>
          <w:lang w:eastAsia="zh-TW"/>
        </w:rPr>
        <w:t>的資料</w:t>
      </w:r>
    </w:p>
    <w:p>
      <w:pPr>
        <w:jc w:val="both"/>
        <w:rPr>
          <w:lang w:eastAsia="zh-TW"/>
        </w:rPr>
      </w:pPr>
    </w:p>
    <w:p>
      <w:pPr>
        <w:pStyle w:val="5"/>
        <w:ind w:left="672"/>
        <w:rPr>
          <w:lang w:eastAsia="zh-TW"/>
        </w:rPr>
      </w:pPr>
      <w:r>
        <w:rPr>
          <w:lang w:eastAsia="zh-TW"/>
        </w:rPr>
        <w:t>本公司主要從事開發、製造及銷售化學原料藥、製劑及化學產品。</w:t>
      </w:r>
    </w:p>
    <w:p>
      <w:pPr>
        <w:pStyle w:val="5"/>
        <w:spacing w:before="6"/>
        <w:rPr>
          <w:sz w:val="21"/>
          <w:lang w:eastAsia="zh-TW"/>
        </w:rPr>
      </w:pPr>
    </w:p>
    <w:p>
      <w:pPr>
        <w:pStyle w:val="5"/>
        <w:spacing w:line="225" w:lineRule="auto"/>
        <w:ind w:left="672" w:right="219"/>
        <w:rPr>
          <w:rFonts w:eastAsia="宋体"/>
          <w:lang w:eastAsia="zh-TW"/>
        </w:rPr>
      </w:pPr>
      <w:r>
        <w:rPr>
          <w:lang w:eastAsia="zh-TW"/>
        </w:rPr>
        <w:t>新華集團為一間於中國成立的國有企業，</w:t>
      </w:r>
      <w:r>
        <w:rPr>
          <w:rFonts w:hint="eastAsia" w:eastAsia="宋体"/>
          <w:lang w:eastAsia="zh-TW"/>
        </w:rPr>
        <w:t>主要</w:t>
      </w:r>
      <w:r>
        <w:rPr>
          <w:lang w:eastAsia="zh-TW"/>
        </w:rPr>
        <w:t>從事醫藥工業、有關的化學工業、包裝及化學工程設備等投資。</w:t>
      </w:r>
      <w:r>
        <w:rPr>
          <w:rFonts w:hint="eastAsia" w:eastAsia="宋体"/>
          <w:lang w:eastAsia="zh-TW"/>
        </w:rPr>
        <w:t>新華集團為華魯</w:t>
      </w:r>
      <w:r>
        <w:rPr>
          <w:rFonts w:eastAsia="宋体"/>
          <w:lang w:eastAsia="zh-TW"/>
        </w:rPr>
        <w:t>控股全資附屬公司，</w:t>
      </w:r>
      <w:r>
        <w:rPr>
          <w:rFonts w:hint="eastAsia" w:eastAsia="宋体"/>
          <w:lang w:eastAsia="zh-TW"/>
        </w:rPr>
        <w:t>且</w:t>
      </w:r>
      <w:r>
        <w:rPr>
          <w:rFonts w:eastAsia="宋体"/>
          <w:lang w:eastAsia="zh-TW"/>
        </w:rPr>
        <w:t>為</w:t>
      </w:r>
      <w:r>
        <w:rPr>
          <w:rFonts w:hint="eastAsia" w:eastAsia="宋体"/>
          <w:lang w:eastAsia="zh-TW"/>
        </w:rPr>
        <w:t>一間</w:t>
      </w:r>
      <w:r>
        <w:rPr>
          <w:rFonts w:eastAsia="宋体"/>
          <w:lang w:eastAsia="zh-TW"/>
        </w:rPr>
        <w:t>主要</w:t>
      </w:r>
      <w:r>
        <w:rPr>
          <w:rFonts w:hint="eastAsia" w:eastAsia="宋体"/>
          <w:lang w:eastAsia="zh-TW"/>
        </w:rPr>
        <w:t>從事</w:t>
      </w:r>
      <w:r>
        <w:rPr>
          <w:rFonts w:eastAsia="宋体"/>
          <w:lang w:eastAsia="zh-TW"/>
        </w:rPr>
        <w:t>為中國大陸及香港</w:t>
      </w:r>
      <w:r>
        <w:rPr>
          <w:rFonts w:hint="eastAsia" w:eastAsia="宋体"/>
          <w:lang w:eastAsia="zh-TW"/>
        </w:rPr>
        <w:t>交易所</w:t>
      </w:r>
      <w:r>
        <w:rPr>
          <w:rFonts w:eastAsia="宋体"/>
          <w:lang w:eastAsia="zh-TW"/>
        </w:rPr>
        <w:t>上市</w:t>
      </w:r>
      <w:r>
        <w:rPr>
          <w:rFonts w:hint="eastAsia" w:ascii="Times New Roman" w:hAnsi="Times New Roman"/>
          <w:lang w:eastAsia="zh-TW"/>
        </w:rPr>
        <w:t>或</w:t>
      </w:r>
      <w:r>
        <w:rPr>
          <w:rFonts w:hint="eastAsia"/>
          <w:lang w:eastAsia="zh-TW"/>
        </w:rPr>
        <w:t>非</w:t>
      </w:r>
      <w:r>
        <w:rPr>
          <w:rFonts w:eastAsia="宋体"/>
          <w:lang w:eastAsia="zh-TW"/>
        </w:rPr>
        <w:t>上市公司投資控股</w:t>
      </w:r>
      <w:r>
        <w:rPr>
          <w:rFonts w:hint="eastAsia" w:eastAsia="宋体"/>
          <w:lang w:eastAsia="zh-TW"/>
        </w:rPr>
        <w:t>的</w:t>
      </w:r>
      <w:r>
        <w:rPr>
          <w:rFonts w:eastAsia="宋体"/>
          <w:lang w:eastAsia="zh-TW"/>
        </w:rPr>
        <w:t>國有企業。</w:t>
      </w:r>
    </w:p>
    <w:p>
      <w:pPr>
        <w:pStyle w:val="5"/>
        <w:spacing w:before="13"/>
        <w:ind w:left="630"/>
        <w:rPr>
          <w:sz w:val="20"/>
          <w:lang w:eastAsia="zh-TW"/>
        </w:rPr>
      </w:pPr>
    </w:p>
    <w:p>
      <w:pPr>
        <w:pStyle w:val="2"/>
        <w:spacing w:line="453" w:lineRule="auto"/>
        <w:ind w:left="1080" w:right="3480" w:hanging="467"/>
        <w:rPr>
          <w:lang w:eastAsia="zh-TW"/>
        </w:rPr>
      </w:pPr>
      <w:r>
        <w:rPr>
          <w:lang w:eastAsia="zh-TW"/>
        </w:rPr>
        <w:t>C．</w:t>
      </w:r>
      <w:r>
        <w:rPr>
          <w:rFonts w:hint="eastAsia" w:eastAsia="宋体"/>
          <w:lang w:eastAsia="zh-TW"/>
        </w:rPr>
        <w:t>經重續</w:t>
      </w:r>
      <w:r>
        <w:rPr>
          <w:lang w:eastAsia="zh-TW"/>
        </w:rPr>
        <w:t>華魯恒升協議項下的持續關連交易</w:t>
      </w:r>
    </w:p>
    <w:p>
      <w:pPr>
        <w:pStyle w:val="2"/>
        <w:spacing w:line="453" w:lineRule="auto"/>
        <w:ind w:left="614" w:leftChars="279" w:right="4749"/>
        <w:rPr>
          <w:lang w:eastAsia="zh-TW"/>
        </w:rPr>
      </w:pPr>
      <w:r>
        <w:rPr>
          <w:rFonts w:hint="eastAsia" w:eastAsia="宋体"/>
          <w:lang w:eastAsia="zh-TW"/>
        </w:rPr>
        <w:t>經重續</w:t>
      </w:r>
      <w:r>
        <w:rPr>
          <w:lang w:eastAsia="zh-TW"/>
        </w:rPr>
        <w:t>華魯恒升協議</w:t>
      </w:r>
    </w:p>
    <w:p>
      <w:pPr>
        <w:tabs>
          <w:tab w:val="left" w:pos="1604"/>
        </w:tabs>
        <w:spacing w:line="453" w:lineRule="auto"/>
        <w:ind w:left="671" w:right="5310"/>
        <w:rPr>
          <w:sz w:val="23"/>
          <w:lang w:eastAsia="zh-TW"/>
        </w:rPr>
      </w:pPr>
      <w:r>
        <w:rPr>
          <w:b/>
          <w:sz w:val="23"/>
          <w:lang w:eastAsia="zh-TW"/>
        </w:rPr>
        <w:t>日期：</w:t>
      </w:r>
      <w:r>
        <w:rPr>
          <w:b/>
          <w:sz w:val="23"/>
          <w:lang w:eastAsia="zh-TW"/>
        </w:rPr>
        <w:tab/>
      </w:r>
      <w:r>
        <w:rPr>
          <w:sz w:val="23"/>
          <w:lang w:eastAsia="zh-TW"/>
        </w:rPr>
        <w:t>2018 年 10 月 2</w:t>
      </w:r>
      <w:r>
        <w:rPr>
          <w:spacing w:val="8"/>
          <w:sz w:val="23"/>
          <w:lang w:eastAsia="zh-TW"/>
        </w:rPr>
        <w:t>2</w:t>
      </w:r>
      <w:r>
        <w:rPr>
          <w:sz w:val="23"/>
          <w:lang w:eastAsia="zh-TW"/>
        </w:rPr>
        <w:t>日</w:t>
      </w:r>
      <w:r>
        <w:rPr>
          <w:b/>
          <w:sz w:val="23"/>
          <w:lang w:eastAsia="zh-TW"/>
        </w:rPr>
        <w:t>協議訂立方：</w:t>
      </w:r>
      <w:r>
        <w:rPr>
          <w:sz w:val="23"/>
          <w:lang w:eastAsia="zh-TW"/>
        </w:rPr>
        <w:t>（1）本公司</w:t>
      </w:r>
    </w:p>
    <w:p>
      <w:pPr>
        <w:spacing w:line="453" w:lineRule="auto"/>
        <w:ind w:left="671" w:right="5203" w:firstLine="1398"/>
        <w:rPr>
          <w:b/>
          <w:sz w:val="23"/>
          <w:lang w:eastAsia="zh-TW"/>
        </w:rPr>
      </w:pPr>
      <w:r>
        <w:rPr>
          <w:sz w:val="23"/>
          <w:lang w:eastAsia="zh-TW"/>
        </w:rPr>
        <w:t>（2）華魯恒升</w:t>
      </w:r>
      <w:r>
        <w:rPr>
          <w:b/>
          <w:sz w:val="23"/>
          <w:lang w:eastAsia="zh-TW"/>
        </w:rPr>
        <w:t>主要條款及條件</w:t>
      </w:r>
    </w:p>
    <w:p>
      <w:pPr>
        <w:pStyle w:val="2"/>
        <w:spacing w:line="320" w:lineRule="exact"/>
        <w:ind w:left="672"/>
        <w:rPr>
          <w:b w:val="0"/>
          <w:lang w:eastAsia="zh-TW"/>
        </w:rPr>
      </w:pPr>
      <w:r>
        <w:rPr>
          <w:rFonts w:hint="eastAsia" w:eastAsia="宋体"/>
          <w:lang w:eastAsia="zh-TW"/>
        </w:rPr>
        <w:t>經重續</w:t>
      </w:r>
      <w:r>
        <w:rPr>
          <w:lang w:eastAsia="zh-TW"/>
        </w:rPr>
        <w:t>華魯恒升協議載有下列主要條款</w:t>
      </w:r>
      <w:r>
        <w:rPr>
          <w:b w:val="0"/>
          <w:lang w:eastAsia="zh-TW"/>
        </w:rPr>
        <w:t>：</w:t>
      </w:r>
    </w:p>
    <w:p>
      <w:pPr>
        <w:pStyle w:val="5"/>
        <w:spacing w:before="3"/>
        <w:rPr>
          <w:sz w:val="21"/>
          <w:lang w:eastAsia="zh-TW"/>
        </w:rPr>
      </w:pPr>
    </w:p>
    <w:p>
      <w:pPr>
        <w:pStyle w:val="9"/>
        <w:numPr>
          <w:ilvl w:val="0"/>
          <w:numId w:val="2"/>
        </w:numPr>
        <w:tabs>
          <w:tab w:val="left" w:pos="966"/>
        </w:tabs>
        <w:spacing w:line="225" w:lineRule="auto"/>
        <w:ind w:right="228" w:hanging="350"/>
        <w:rPr>
          <w:sz w:val="23"/>
          <w:lang w:eastAsia="zh-TW"/>
        </w:rPr>
      </w:pPr>
      <w:r>
        <w:rPr>
          <w:sz w:val="23"/>
          <w:lang w:eastAsia="zh-TW"/>
        </w:rPr>
        <w:t>本</w:t>
      </w:r>
      <w:r>
        <w:rPr>
          <w:rFonts w:hint="eastAsia" w:eastAsia="宋体"/>
          <w:sz w:val="23"/>
          <w:lang w:eastAsia="zh-TW"/>
        </w:rPr>
        <w:t>集團</w:t>
      </w:r>
      <w:r>
        <w:rPr>
          <w:sz w:val="23"/>
          <w:lang w:eastAsia="zh-TW"/>
        </w:rPr>
        <w:t>可按市場價格，從</w:t>
      </w:r>
      <w:r>
        <w:rPr>
          <w:rFonts w:hint="eastAsia" w:ascii="宋体" w:hAnsi="宋体" w:eastAsia="宋体"/>
          <w:sz w:val="23"/>
          <w:lang w:eastAsia="zh-TW"/>
        </w:rPr>
        <w:t>華魯恒升</w:t>
      </w:r>
      <w:r>
        <w:rPr>
          <w:rFonts w:ascii="宋体" w:hAnsi="宋体" w:eastAsia="宋体"/>
          <w:sz w:val="23"/>
          <w:lang w:eastAsia="zh-TW"/>
        </w:rPr>
        <w:t>集團</w:t>
      </w:r>
      <w:r>
        <w:rPr>
          <w:sz w:val="23"/>
          <w:lang w:eastAsia="zh-TW"/>
        </w:rPr>
        <w:t>採購醋酸、醋酐等化工產品</w:t>
      </w:r>
      <w:r>
        <w:rPr>
          <w:rFonts w:hint="eastAsia"/>
          <w:sz w:val="23"/>
        </w:rPr>
        <w:t>及其它化工原材料</w:t>
      </w:r>
      <w:r>
        <w:rPr>
          <w:rFonts w:hint="eastAsia" w:eastAsia="宋体"/>
          <w:sz w:val="23"/>
          <w:lang w:eastAsia="zh-TW"/>
        </w:rPr>
        <w:t>（</w:t>
      </w:r>
      <w:r>
        <w:rPr>
          <w:rFonts w:hint="eastAsia" w:ascii="宋体" w:hAnsi="宋体" w:eastAsia="宋体"/>
          <w:sz w:val="23"/>
          <w:lang w:eastAsia="zh-TW"/>
        </w:rPr>
        <w:t>「</w:t>
      </w:r>
      <w:r>
        <w:rPr>
          <w:rFonts w:hint="eastAsia" w:ascii="宋体" w:hAnsi="宋体" w:eastAsia="宋体"/>
          <w:b/>
          <w:sz w:val="23"/>
          <w:lang w:eastAsia="zh-TW"/>
        </w:rPr>
        <w:t>化工產品</w:t>
      </w:r>
      <w:r>
        <w:rPr>
          <w:rFonts w:hint="eastAsia" w:ascii="宋体" w:hAnsi="宋体" w:eastAsia="宋体"/>
          <w:sz w:val="23"/>
          <w:lang w:eastAsia="zh-TW"/>
        </w:rPr>
        <w:t>」</w:t>
      </w:r>
      <w:r>
        <w:rPr>
          <w:rFonts w:hint="eastAsia" w:eastAsia="宋体"/>
          <w:sz w:val="23"/>
          <w:lang w:eastAsia="zh-TW"/>
        </w:rPr>
        <w:t>）</w:t>
      </w:r>
      <w:r>
        <w:rPr>
          <w:sz w:val="23"/>
          <w:lang w:eastAsia="zh-TW"/>
        </w:rPr>
        <w:t>。</w:t>
      </w:r>
    </w:p>
    <w:p>
      <w:pPr>
        <w:pStyle w:val="5"/>
        <w:spacing w:before="8"/>
        <w:rPr>
          <w:sz w:val="21"/>
          <w:lang w:eastAsia="zh-TW"/>
        </w:rPr>
      </w:pPr>
    </w:p>
    <w:p>
      <w:pPr>
        <w:pStyle w:val="9"/>
        <w:tabs>
          <w:tab w:val="left" w:pos="966"/>
        </w:tabs>
        <w:spacing w:before="1" w:line="228" w:lineRule="auto"/>
        <w:ind w:right="226" w:firstLine="0"/>
        <w:rPr>
          <w:sz w:val="23"/>
          <w:lang w:eastAsia="zh-TW"/>
        </w:rPr>
      </w:pPr>
      <w:r>
        <w:rPr>
          <w:rFonts w:hint="eastAsia" w:eastAsia="宋体"/>
          <w:spacing w:val="-7"/>
          <w:sz w:val="23"/>
          <w:lang w:eastAsia="zh-TW"/>
        </w:rPr>
        <w:t>化工</w:t>
      </w:r>
      <w:r>
        <w:rPr>
          <w:spacing w:val="-7"/>
          <w:sz w:val="23"/>
          <w:lang w:eastAsia="zh-TW"/>
        </w:rPr>
        <w:t>產品價格需根據市場慣例</w:t>
      </w:r>
      <w:r>
        <w:rPr>
          <w:rFonts w:hint="eastAsia"/>
          <w:spacing w:val="-7"/>
          <w:sz w:val="23"/>
        </w:rPr>
        <w:t>釐</w:t>
      </w:r>
      <w:r>
        <w:rPr>
          <w:spacing w:val="-7"/>
          <w:sz w:val="23"/>
          <w:lang w:eastAsia="zh-TW"/>
        </w:rPr>
        <w:t>定。唯所有相關價格不得高於由</w:t>
      </w:r>
      <w:r>
        <w:rPr>
          <w:rFonts w:hint="eastAsia" w:eastAsia="宋体"/>
          <w:spacing w:val="-7"/>
          <w:sz w:val="23"/>
          <w:lang w:eastAsia="zh-TW"/>
        </w:rPr>
        <w:t>華魯恒升集團</w:t>
      </w:r>
      <w:r>
        <w:rPr>
          <w:spacing w:val="-7"/>
          <w:sz w:val="23"/>
          <w:lang w:eastAsia="zh-TW"/>
        </w:rPr>
        <w:t>向任何獨立第三方銷售相關產品的價格。</w:t>
      </w:r>
    </w:p>
    <w:p>
      <w:pPr>
        <w:pStyle w:val="5"/>
        <w:spacing w:before="9"/>
        <w:rPr>
          <w:sz w:val="21"/>
          <w:lang w:eastAsia="zh-TW"/>
        </w:rPr>
      </w:pPr>
    </w:p>
    <w:p>
      <w:pPr>
        <w:pStyle w:val="9"/>
        <w:numPr>
          <w:ilvl w:val="0"/>
          <w:numId w:val="2"/>
        </w:numPr>
        <w:tabs>
          <w:tab w:val="left" w:pos="966"/>
        </w:tabs>
        <w:spacing w:line="225" w:lineRule="auto"/>
        <w:ind w:right="225" w:hanging="350"/>
        <w:jc w:val="both"/>
        <w:rPr>
          <w:sz w:val="23"/>
          <w:lang w:eastAsia="zh-TW"/>
        </w:rPr>
      </w:pPr>
      <w:r>
        <w:rPr>
          <w:spacing w:val="-11"/>
          <w:sz w:val="23"/>
          <w:lang w:eastAsia="zh-TW"/>
        </w:rPr>
        <w:t>付款期限：雙方須依據本</w:t>
      </w:r>
      <w:r>
        <w:rPr>
          <w:rFonts w:hint="eastAsia" w:eastAsia="宋体"/>
          <w:spacing w:val="-11"/>
          <w:sz w:val="23"/>
          <w:lang w:eastAsia="zh-TW"/>
        </w:rPr>
        <w:t>集團</w:t>
      </w:r>
      <w:r>
        <w:rPr>
          <w:spacing w:val="-14"/>
          <w:sz w:val="23"/>
          <w:lang w:eastAsia="zh-TW"/>
        </w:rPr>
        <w:t>訂單所指定的時間，適時向另一方支付訂購產品的費用，並於開票後</w:t>
      </w:r>
      <w:r>
        <w:rPr>
          <w:sz w:val="23"/>
          <w:lang w:eastAsia="zh-TW"/>
        </w:rPr>
        <w:t>60 天內結算。</w:t>
      </w:r>
    </w:p>
    <w:p>
      <w:pPr>
        <w:pStyle w:val="5"/>
        <w:rPr>
          <w:sz w:val="22"/>
          <w:lang w:eastAsia="zh-TW"/>
        </w:rPr>
      </w:pPr>
    </w:p>
    <w:p>
      <w:pPr>
        <w:pStyle w:val="9"/>
        <w:numPr>
          <w:ilvl w:val="0"/>
          <w:numId w:val="2"/>
        </w:numPr>
        <w:tabs>
          <w:tab w:val="left" w:pos="966"/>
        </w:tabs>
        <w:spacing w:line="225" w:lineRule="auto"/>
        <w:ind w:right="226" w:hanging="350"/>
        <w:rPr>
          <w:sz w:val="23"/>
          <w:lang w:eastAsia="zh-TW"/>
        </w:rPr>
      </w:pPr>
      <w:r>
        <w:rPr>
          <w:sz w:val="23"/>
          <w:lang w:eastAsia="zh-TW"/>
        </w:rPr>
        <w:t>本</w:t>
      </w:r>
      <w:r>
        <w:rPr>
          <w:rFonts w:hint="eastAsia" w:eastAsia="宋体"/>
          <w:sz w:val="23"/>
          <w:lang w:eastAsia="zh-TW"/>
        </w:rPr>
        <w:t>集團</w:t>
      </w:r>
      <w:r>
        <w:rPr>
          <w:sz w:val="23"/>
          <w:lang w:eastAsia="zh-TW"/>
        </w:rPr>
        <w:t>可不受限制地向任何第三方就銷售或採購有關產品進行交易。</w:t>
      </w:r>
    </w:p>
    <w:p>
      <w:pPr>
        <w:pStyle w:val="5"/>
        <w:spacing w:before="12"/>
        <w:rPr>
          <w:sz w:val="20"/>
          <w:lang w:eastAsia="zh-TW"/>
        </w:rPr>
      </w:pPr>
    </w:p>
    <w:p>
      <w:pPr>
        <w:pStyle w:val="9"/>
        <w:numPr>
          <w:ilvl w:val="0"/>
          <w:numId w:val="2"/>
        </w:numPr>
        <w:tabs>
          <w:tab w:val="left" w:pos="966"/>
        </w:tabs>
        <w:spacing w:before="1" w:line="453" w:lineRule="auto"/>
        <w:ind w:left="613" w:right="1617" w:firstLine="2"/>
        <w:rPr>
          <w:b/>
          <w:sz w:val="23"/>
          <w:lang w:eastAsia="zh-TW"/>
        </w:rPr>
      </w:pPr>
      <w:r>
        <w:rPr>
          <w:spacing w:val="-1"/>
          <w:sz w:val="23"/>
          <w:lang w:eastAsia="zh-TW"/>
        </w:rPr>
        <w:t>華魯恒升協議的期限自</w:t>
      </w:r>
      <w:r>
        <w:rPr>
          <w:sz w:val="23"/>
          <w:lang w:eastAsia="zh-TW"/>
        </w:rPr>
        <w:t>2019年1月1日起至2021年12月31日止。</w:t>
      </w:r>
      <w:r>
        <w:rPr>
          <w:b/>
          <w:sz w:val="23"/>
          <w:lang w:eastAsia="zh-TW"/>
        </w:rPr>
        <w:t>建議的華魯恒升協議年度上限</w:t>
      </w:r>
    </w:p>
    <w:p>
      <w:pPr>
        <w:pStyle w:val="5"/>
        <w:spacing w:line="320" w:lineRule="exact"/>
        <w:ind w:left="615"/>
        <w:rPr>
          <w:lang w:eastAsia="zh-TW"/>
        </w:rPr>
      </w:pPr>
      <w:r>
        <w:rPr>
          <w:lang w:eastAsia="zh-TW"/>
        </w:rPr>
        <w:t>華魯恒升協議項下持續關連交易的建議年度上限如下：</w:t>
      </w:r>
    </w:p>
    <w:p>
      <w:pPr>
        <w:pStyle w:val="5"/>
        <w:spacing w:after="1"/>
        <w:rPr>
          <w:sz w:val="21"/>
          <w:lang w:eastAsia="zh-TW"/>
        </w:rPr>
      </w:pPr>
    </w:p>
    <w:tbl>
      <w:tblPr>
        <w:tblW w:w="7386" w:type="dxa"/>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2763"/>
        <w:gridCol w:w="1603"/>
        <w:gridCol w:w="160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7" w:hRule="atLeast"/>
        </w:trPr>
        <w:tc>
          <w:tcPr>
            <w:tcW w:w="2763" w:type="dxa"/>
            <w:vAlign w:val="top"/>
          </w:tcPr>
          <w:p>
            <w:pPr>
              <w:pStyle w:val="10"/>
              <w:spacing w:line="240" w:lineRule="auto"/>
              <w:jc w:val="left"/>
              <w:rPr>
                <w:rFonts w:ascii="Times New Roman"/>
                <w:lang w:eastAsia="zh-TW"/>
              </w:rPr>
            </w:pPr>
          </w:p>
        </w:tc>
        <w:tc>
          <w:tcPr>
            <w:tcW w:w="1603" w:type="dxa"/>
            <w:vAlign w:val="top"/>
          </w:tcPr>
          <w:p>
            <w:pPr>
              <w:pStyle w:val="10"/>
              <w:spacing w:line="303" w:lineRule="exact"/>
              <w:ind w:left="202" w:right="197"/>
              <w:rPr>
                <w:sz w:val="23"/>
              </w:rPr>
            </w:pPr>
            <w:r>
              <w:rPr>
                <w:sz w:val="23"/>
              </w:rPr>
              <w:t>2019年</w:t>
            </w:r>
          </w:p>
          <w:p>
            <w:pPr>
              <w:pStyle w:val="10"/>
              <w:ind w:left="206" w:right="197"/>
              <w:rPr>
                <w:sz w:val="23"/>
              </w:rPr>
            </w:pPr>
            <w:r>
              <w:rPr>
                <w:sz w:val="23"/>
              </w:rPr>
              <w:t>人民幣千元</w:t>
            </w:r>
          </w:p>
        </w:tc>
        <w:tc>
          <w:tcPr>
            <w:tcW w:w="1602" w:type="dxa"/>
            <w:vAlign w:val="top"/>
          </w:tcPr>
          <w:p>
            <w:pPr>
              <w:pStyle w:val="10"/>
              <w:spacing w:line="303" w:lineRule="exact"/>
              <w:ind w:left="201" w:right="198"/>
              <w:rPr>
                <w:sz w:val="23"/>
              </w:rPr>
            </w:pPr>
            <w:r>
              <w:rPr>
                <w:sz w:val="23"/>
              </w:rPr>
              <w:t>2020年</w:t>
            </w:r>
          </w:p>
          <w:p>
            <w:pPr>
              <w:pStyle w:val="10"/>
              <w:ind w:left="203" w:right="198"/>
              <w:rPr>
                <w:sz w:val="23"/>
              </w:rPr>
            </w:pPr>
            <w:r>
              <w:rPr>
                <w:sz w:val="23"/>
              </w:rPr>
              <w:t>人民幣千元</w:t>
            </w:r>
          </w:p>
        </w:tc>
        <w:tc>
          <w:tcPr>
            <w:tcW w:w="1418" w:type="dxa"/>
            <w:vAlign w:val="top"/>
          </w:tcPr>
          <w:p>
            <w:pPr>
              <w:pStyle w:val="10"/>
              <w:spacing w:line="303" w:lineRule="exact"/>
              <w:ind w:left="110" w:right="105"/>
              <w:rPr>
                <w:sz w:val="23"/>
              </w:rPr>
            </w:pPr>
            <w:r>
              <w:rPr>
                <w:sz w:val="23"/>
              </w:rPr>
              <w:t>2021年</w:t>
            </w:r>
          </w:p>
          <w:p>
            <w:pPr>
              <w:pStyle w:val="10"/>
              <w:ind w:left="112" w:right="105"/>
              <w:rPr>
                <w:sz w:val="23"/>
              </w:rPr>
            </w:pPr>
            <w:r>
              <w:rPr>
                <w:sz w:val="23"/>
              </w:rPr>
              <w:t>人民幣千元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7" w:hRule="atLeast"/>
        </w:trPr>
        <w:tc>
          <w:tcPr>
            <w:tcW w:w="2763" w:type="dxa"/>
            <w:vAlign w:val="top"/>
          </w:tcPr>
          <w:p>
            <w:pPr>
              <w:pStyle w:val="10"/>
              <w:spacing w:line="303" w:lineRule="exact"/>
              <w:ind w:left="24"/>
              <w:jc w:val="left"/>
              <w:rPr>
                <w:b/>
                <w:sz w:val="23"/>
                <w:lang w:eastAsia="zh-TW"/>
              </w:rPr>
            </w:pPr>
            <w:r>
              <w:rPr>
                <w:b/>
                <w:sz w:val="23"/>
                <w:lang w:eastAsia="zh-TW"/>
              </w:rPr>
              <w:t>從華魯</w:t>
            </w:r>
            <w:r>
              <w:rPr>
                <w:rFonts w:hint="eastAsia" w:eastAsia="宋体"/>
                <w:b/>
                <w:sz w:val="23"/>
                <w:lang w:eastAsia="zh-TW"/>
              </w:rPr>
              <w:t>集團</w:t>
            </w:r>
            <w:r>
              <w:rPr>
                <w:b/>
                <w:spacing w:val="-10"/>
                <w:sz w:val="23"/>
                <w:lang w:eastAsia="zh-TW"/>
              </w:rPr>
              <w:t>採購化工</w:t>
            </w:r>
            <w:r>
              <w:rPr>
                <w:rFonts w:hint="eastAsia" w:eastAsia="宋体"/>
                <w:b/>
                <w:spacing w:val="-10"/>
                <w:sz w:val="23"/>
                <w:lang w:eastAsia="zh-TW"/>
              </w:rPr>
              <w:t>產品</w:t>
            </w:r>
          </w:p>
        </w:tc>
        <w:tc>
          <w:tcPr>
            <w:tcW w:w="1603" w:type="dxa"/>
            <w:vAlign w:val="top"/>
          </w:tcPr>
          <w:p>
            <w:pPr>
              <w:pStyle w:val="10"/>
              <w:spacing w:line="312" w:lineRule="exact"/>
              <w:ind w:left="499"/>
              <w:jc w:val="left"/>
              <w:rPr>
                <w:sz w:val="23"/>
              </w:rPr>
            </w:pPr>
            <w:r>
              <w:rPr>
                <w:sz w:val="23"/>
              </w:rPr>
              <w:t>310,000</w:t>
            </w:r>
          </w:p>
        </w:tc>
        <w:tc>
          <w:tcPr>
            <w:tcW w:w="1602" w:type="dxa"/>
            <w:vAlign w:val="top"/>
          </w:tcPr>
          <w:p>
            <w:pPr>
              <w:pStyle w:val="10"/>
              <w:spacing w:line="312" w:lineRule="exact"/>
              <w:ind w:left="440"/>
              <w:jc w:val="left"/>
              <w:rPr>
                <w:sz w:val="23"/>
              </w:rPr>
            </w:pPr>
            <w:r>
              <w:rPr>
                <w:sz w:val="23"/>
              </w:rPr>
              <w:t>330,000</w:t>
            </w:r>
          </w:p>
        </w:tc>
        <w:tc>
          <w:tcPr>
            <w:tcW w:w="1418" w:type="dxa"/>
            <w:vAlign w:val="top"/>
          </w:tcPr>
          <w:p>
            <w:pPr>
              <w:pStyle w:val="10"/>
              <w:spacing w:line="312" w:lineRule="exact"/>
              <w:ind w:left="346"/>
              <w:jc w:val="left"/>
              <w:rPr>
                <w:sz w:val="23"/>
              </w:rPr>
            </w:pPr>
            <w:r>
              <w:rPr>
                <w:sz w:val="23"/>
              </w:rPr>
              <w:t>340,000</w:t>
            </w:r>
          </w:p>
        </w:tc>
      </w:tr>
    </w:tbl>
    <w:p>
      <w:pPr>
        <w:pStyle w:val="5"/>
        <w:spacing w:before="13"/>
        <w:rPr>
          <w:sz w:val="16"/>
        </w:rPr>
      </w:pPr>
    </w:p>
    <w:p>
      <w:pPr>
        <w:pStyle w:val="2"/>
        <w:spacing w:before="57"/>
        <w:rPr>
          <w:lang w:eastAsia="zh-TW"/>
        </w:rPr>
      </w:pPr>
      <w:r>
        <w:rPr>
          <w:lang w:eastAsia="zh-TW"/>
        </w:rPr>
        <w:t>本公司基於下列因素確定上述華魯恒升協議項下的年度上限：</w:t>
      </w:r>
    </w:p>
    <w:p>
      <w:pPr>
        <w:pStyle w:val="5"/>
        <w:spacing w:before="6"/>
        <w:rPr>
          <w:b/>
          <w:sz w:val="21"/>
          <w:lang w:eastAsia="zh-TW"/>
        </w:rPr>
      </w:pPr>
    </w:p>
    <w:p>
      <w:pPr>
        <w:pStyle w:val="9"/>
        <w:numPr>
          <w:ilvl w:val="0"/>
          <w:numId w:val="3"/>
        </w:numPr>
        <w:tabs>
          <w:tab w:val="left" w:pos="1548"/>
          <w:tab w:val="left" w:pos="1549"/>
        </w:tabs>
        <w:spacing w:line="225" w:lineRule="auto"/>
        <w:ind w:right="402" w:hanging="876"/>
        <w:rPr>
          <w:sz w:val="23"/>
          <w:lang w:eastAsia="zh-TW"/>
        </w:rPr>
      </w:pPr>
      <w:r>
        <w:rPr>
          <w:sz w:val="23"/>
          <w:lang w:eastAsia="zh-TW"/>
        </w:rPr>
        <w:t>本</w:t>
      </w:r>
      <w:r>
        <w:rPr>
          <w:rFonts w:hint="eastAsia" w:eastAsia="宋体"/>
          <w:sz w:val="23"/>
          <w:lang w:eastAsia="zh-TW"/>
        </w:rPr>
        <w:t>集團</w:t>
      </w:r>
      <w:r>
        <w:rPr>
          <w:sz w:val="23"/>
          <w:lang w:eastAsia="zh-TW"/>
        </w:rPr>
        <w:t>與華魯恒升</w:t>
      </w:r>
      <w:r>
        <w:rPr>
          <w:rFonts w:hint="eastAsia" w:eastAsia="宋体"/>
          <w:sz w:val="23"/>
          <w:lang w:eastAsia="zh-TW"/>
        </w:rPr>
        <w:t>集團</w:t>
      </w:r>
      <w:r>
        <w:rPr>
          <w:sz w:val="23"/>
          <w:lang w:eastAsia="zh-TW"/>
        </w:rPr>
        <w:t>2016年、2017年及2018年</w:t>
      </w:r>
      <w:r>
        <w:rPr>
          <w:rFonts w:hint="eastAsia" w:eastAsia="宋体"/>
          <w:sz w:val="23"/>
          <w:lang w:eastAsia="zh-TW"/>
        </w:rPr>
        <w:t>1月31日</w:t>
      </w:r>
      <w:r>
        <w:rPr>
          <w:rFonts w:eastAsia="宋体"/>
          <w:sz w:val="23"/>
          <w:lang w:eastAsia="zh-TW"/>
        </w:rPr>
        <w:t>至</w:t>
      </w:r>
      <w:r>
        <w:rPr>
          <w:rFonts w:hint="eastAsia" w:eastAsia="宋体"/>
          <w:sz w:val="23"/>
          <w:lang w:eastAsia="zh-TW"/>
        </w:rPr>
        <w:t>9月30日</w:t>
      </w:r>
      <w:r>
        <w:rPr>
          <w:rFonts w:hint="eastAsia" w:ascii="Times New Roman" w:hAnsi="Times New Roman"/>
          <w:sz w:val="23"/>
          <w:lang w:eastAsia="zh-TW"/>
        </w:rPr>
        <w:t>止九</w:t>
      </w:r>
      <w:r>
        <w:rPr>
          <w:rFonts w:hint="eastAsia" w:eastAsia="宋体"/>
          <w:sz w:val="23"/>
          <w:lang w:eastAsia="zh-TW"/>
        </w:rPr>
        <w:t>個月</w:t>
      </w:r>
      <w:r>
        <w:rPr>
          <w:rFonts w:eastAsia="宋体"/>
          <w:sz w:val="23"/>
          <w:lang w:eastAsia="zh-TW"/>
        </w:rPr>
        <w:t>期間</w:t>
      </w:r>
      <w:r>
        <w:rPr>
          <w:sz w:val="23"/>
          <w:lang w:eastAsia="zh-TW"/>
        </w:rPr>
        <w:t>的</w:t>
      </w:r>
      <w:r>
        <w:rPr>
          <w:rFonts w:hint="eastAsia" w:eastAsia="宋体"/>
          <w:sz w:val="23"/>
          <w:lang w:eastAsia="zh-TW"/>
        </w:rPr>
        <w:t>歷史數據</w:t>
      </w:r>
      <w:r>
        <w:rPr>
          <w:sz w:val="23"/>
          <w:lang w:eastAsia="zh-TW"/>
        </w:rPr>
        <w:t>（詳見下述表2）；</w:t>
      </w:r>
    </w:p>
    <w:p>
      <w:pPr>
        <w:pStyle w:val="5"/>
        <w:spacing w:before="12"/>
        <w:rPr>
          <w:sz w:val="20"/>
          <w:lang w:eastAsia="zh-TW"/>
        </w:rPr>
      </w:pPr>
    </w:p>
    <w:p>
      <w:pPr>
        <w:pStyle w:val="9"/>
        <w:numPr>
          <w:ilvl w:val="0"/>
          <w:numId w:val="3"/>
        </w:numPr>
        <w:tabs>
          <w:tab w:val="left" w:pos="1549"/>
        </w:tabs>
        <w:spacing w:before="1"/>
        <w:ind w:hanging="876"/>
        <w:jc w:val="both"/>
        <w:rPr>
          <w:sz w:val="23"/>
          <w:lang w:eastAsia="zh-TW"/>
        </w:rPr>
      </w:pPr>
      <w:r>
        <w:rPr>
          <w:rFonts w:hint="eastAsia" w:eastAsia="宋体"/>
          <w:sz w:val="23"/>
          <w:lang w:eastAsia="zh-CN"/>
        </w:rPr>
        <w:t>本集團</w:t>
      </w:r>
      <w:r>
        <w:rPr>
          <w:sz w:val="23"/>
          <w:lang w:eastAsia="zh-TW"/>
        </w:rPr>
        <w:t>的需求；</w:t>
      </w:r>
    </w:p>
    <w:p>
      <w:pPr>
        <w:pStyle w:val="5"/>
        <w:spacing w:before="7"/>
        <w:rPr>
          <w:sz w:val="20"/>
          <w:lang w:eastAsia="zh-TW"/>
        </w:rPr>
      </w:pPr>
    </w:p>
    <w:p>
      <w:pPr>
        <w:pStyle w:val="9"/>
        <w:tabs>
          <w:tab w:val="left" w:pos="1549"/>
        </w:tabs>
        <w:ind w:left="1548" w:firstLine="0"/>
        <w:jc w:val="both"/>
        <w:rPr>
          <w:sz w:val="23"/>
          <w:lang w:eastAsia="zh-TW"/>
        </w:rPr>
      </w:pPr>
    </w:p>
    <w:p>
      <w:pPr>
        <w:pStyle w:val="5"/>
        <w:spacing w:before="4"/>
        <w:rPr>
          <w:sz w:val="20"/>
          <w:lang w:eastAsia="zh-TW"/>
        </w:rPr>
      </w:pPr>
    </w:p>
    <w:p>
      <w:pPr>
        <w:pStyle w:val="9"/>
        <w:numPr>
          <w:ilvl w:val="0"/>
          <w:numId w:val="3"/>
        </w:numPr>
        <w:tabs>
          <w:tab w:val="left" w:pos="1549"/>
        </w:tabs>
        <w:ind w:hanging="876"/>
        <w:jc w:val="both"/>
        <w:rPr>
          <w:sz w:val="23"/>
          <w:lang w:eastAsia="zh-TW"/>
        </w:rPr>
      </w:pPr>
      <w:r>
        <w:rPr>
          <w:sz w:val="23"/>
          <w:lang w:eastAsia="zh-TW"/>
        </w:rPr>
        <w:t>本</w:t>
      </w:r>
      <w:r>
        <w:rPr>
          <w:rFonts w:hint="eastAsia" w:eastAsia="宋体"/>
          <w:sz w:val="23"/>
          <w:lang w:eastAsia="zh-CN"/>
        </w:rPr>
        <w:t>集團</w:t>
      </w:r>
      <w:r>
        <w:rPr>
          <w:sz w:val="23"/>
          <w:lang w:eastAsia="zh-TW"/>
        </w:rPr>
        <w:t>的業務發展；及</w:t>
      </w:r>
    </w:p>
    <w:p>
      <w:pPr>
        <w:pStyle w:val="5"/>
        <w:spacing w:before="6"/>
        <w:rPr>
          <w:sz w:val="20"/>
          <w:lang w:eastAsia="zh-TW"/>
        </w:rPr>
      </w:pPr>
    </w:p>
    <w:p>
      <w:pPr>
        <w:pStyle w:val="9"/>
        <w:numPr>
          <w:ilvl w:val="0"/>
          <w:numId w:val="3"/>
        </w:numPr>
        <w:tabs>
          <w:tab w:val="left" w:pos="1549"/>
        </w:tabs>
        <w:ind w:hanging="876"/>
        <w:jc w:val="both"/>
        <w:rPr>
          <w:sz w:val="23"/>
          <w:lang w:eastAsia="zh-TW"/>
        </w:rPr>
      </w:pPr>
      <w:r>
        <w:rPr>
          <w:sz w:val="23"/>
          <w:lang w:eastAsia="zh-TW"/>
        </w:rPr>
        <w:t>化工</w:t>
      </w:r>
      <w:r>
        <w:rPr>
          <w:rFonts w:hint="eastAsia" w:eastAsia="宋体"/>
          <w:sz w:val="23"/>
          <w:lang w:eastAsia="zh-TW"/>
        </w:rPr>
        <w:t>原料</w:t>
      </w:r>
      <w:r>
        <w:rPr>
          <w:sz w:val="23"/>
          <w:lang w:eastAsia="zh-TW"/>
        </w:rPr>
        <w:t>的</w:t>
      </w:r>
      <w:r>
        <w:rPr>
          <w:rFonts w:hint="eastAsia" w:eastAsia="宋体"/>
          <w:sz w:val="23"/>
          <w:lang w:eastAsia="zh-TW"/>
        </w:rPr>
        <w:t>預計</w:t>
      </w:r>
      <w:r>
        <w:rPr>
          <w:sz w:val="23"/>
          <w:lang w:eastAsia="zh-TW"/>
        </w:rPr>
        <w:t>市場</w:t>
      </w:r>
      <w:r>
        <w:rPr>
          <w:rFonts w:hint="eastAsia" w:eastAsia="宋体"/>
          <w:sz w:val="23"/>
          <w:lang w:eastAsia="zh-TW"/>
        </w:rPr>
        <w:t>趨勢</w:t>
      </w:r>
      <w:r>
        <w:rPr>
          <w:sz w:val="23"/>
          <w:lang w:eastAsia="zh-TW"/>
        </w:rPr>
        <w:t>。</w:t>
      </w:r>
    </w:p>
    <w:p>
      <w:pPr>
        <w:pStyle w:val="5"/>
        <w:spacing w:before="7"/>
        <w:rPr>
          <w:sz w:val="20"/>
          <w:lang w:eastAsia="zh-TW"/>
        </w:rPr>
      </w:pPr>
    </w:p>
    <w:p>
      <w:pPr>
        <w:pStyle w:val="5"/>
        <w:spacing w:line="313" w:lineRule="exact"/>
        <w:ind w:left="615"/>
        <w:jc w:val="both"/>
        <w:rPr>
          <w:rFonts w:eastAsia="宋体"/>
          <w:lang w:eastAsia="zh-TW"/>
        </w:rPr>
      </w:pPr>
      <w:r>
        <w:rPr>
          <w:lang w:eastAsia="zh-TW"/>
        </w:rPr>
        <w:t>表2 - 本</w:t>
      </w:r>
      <w:r>
        <w:rPr>
          <w:rFonts w:hint="eastAsia"/>
          <w:lang w:eastAsia="zh-TW"/>
        </w:rPr>
        <w:t>集團</w:t>
      </w:r>
      <w:r>
        <w:rPr>
          <w:lang w:eastAsia="zh-TW"/>
        </w:rPr>
        <w:t>與華魯恒升</w:t>
      </w:r>
      <w:r>
        <w:rPr>
          <w:rFonts w:hint="eastAsia"/>
          <w:lang w:eastAsia="zh-TW"/>
        </w:rPr>
        <w:t>集團</w:t>
      </w:r>
      <w:r>
        <w:rPr>
          <w:lang w:eastAsia="zh-TW"/>
        </w:rPr>
        <w:t>及</w:t>
      </w:r>
      <w:r>
        <w:rPr>
          <w:rFonts w:hint="eastAsia"/>
          <w:lang w:eastAsia="zh-TW"/>
        </w:rPr>
        <w:t>／</w:t>
      </w:r>
      <w:r>
        <w:rPr>
          <w:lang w:eastAsia="zh-TW"/>
        </w:rPr>
        <w:t>或其附屬公司2016年、2017年及2018年1月</w:t>
      </w:r>
      <w:r>
        <w:rPr>
          <w:rFonts w:hint="eastAsia"/>
          <w:lang w:eastAsia="zh-TW"/>
        </w:rPr>
        <w:t>31日</w:t>
      </w:r>
      <w:r>
        <w:rPr>
          <w:lang w:eastAsia="zh-TW"/>
        </w:rPr>
        <w:t>至9月</w:t>
      </w:r>
      <w:r>
        <w:rPr>
          <w:rFonts w:hint="eastAsia"/>
          <w:lang w:eastAsia="zh-TW"/>
        </w:rPr>
        <w:t>30日止九個月期間</w:t>
      </w:r>
      <w:r>
        <w:rPr>
          <w:lang w:eastAsia="zh-TW"/>
        </w:rPr>
        <w:t>交易的</w:t>
      </w:r>
      <w:r>
        <w:rPr>
          <w:rFonts w:hint="eastAsia" w:eastAsia="宋体"/>
          <w:lang w:eastAsia="zh-TW"/>
        </w:rPr>
        <w:t>歷史數據</w:t>
      </w:r>
    </w:p>
    <w:p>
      <w:pPr>
        <w:pStyle w:val="5"/>
        <w:rPr>
          <w:sz w:val="21"/>
          <w:lang w:eastAsia="zh-TW"/>
        </w:rPr>
      </w:pPr>
    </w:p>
    <w:tbl>
      <w:tblPr>
        <w:tblW w:w="7984" w:type="dxa"/>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2539"/>
        <w:gridCol w:w="1923"/>
        <w:gridCol w:w="1691"/>
        <w:gridCol w:w="1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7" w:hRule="atLeast"/>
        </w:trPr>
        <w:tc>
          <w:tcPr>
            <w:tcW w:w="2539" w:type="dxa"/>
            <w:vAlign w:val="top"/>
          </w:tcPr>
          <w:p>
            <w:pPr>
              <w:pStyle w:val="10"/>
              <w:spacing w:line="240" w:lineRule="auto"/>
              <w:jc w:val="left"/>
              <w:rPr>
                <w:rFonts w:ascii="Times New Roman"/>
                <w:lang w:eastAsia="zh-TW"/>
              </w:rPr>
            </w:pPr>
          </w:p>
        </w:tc>
        <w:tc>
          <w:tcPr>
            <w:tcW w:w="1923" w:type="dxa"/>
            <w:vAlign w:val="top"/>
          </w:tcPr>
          <w:p>
            <w:pPr>
              <w:pStyle w:val="10"/>
              <w:spacing w:line="303" w:lineRule="exact"/>
              <w:ind w:left="98" w:right="98"/>
              <w:rPr>
                <w:rFonts w:eastAsia="宋体"/>
                <w:sz w:val="23"/>
                <w:lang w:eastAsia="zh-TW"/>
              </w:rPr>
            </w:pPr>
            <w:r>
              <w:rPr>
                <w:sz w:val="23"/>
                <w:lang w:eastAsia="zh-TW"/>
              </w:rPr>
              <w:t>2016</w:t>
            </w:r>
            <w:r>
              <w:rPr>
                <w:rFonts w:hint="eastAsia" w:eastAsia="宋体"/>
                <w:sz w:val="23"/>
                <w:lang w:eastAsia="zh-TW"/>
              </w:rPr>
              <w:t>年</w:t>
            </w:r>
          </w:p>
          <w:p>
            <w:pPr>
              <w:pStyle w:val="10"/>
              <w:spacing w:line="285" w:lineRule="exact"/>
              <w:ind w:left="98" w:right="93"/>
              <w:rPr>
                <w:rFonts w:eastAsia="宋体"/>
                <w:sz w:val="23"/>
                <w:lang w:eastAsia="zh-TW"/>
              </w:rPr>
            </w:pPr>
            <w:r>
              <w:rPr>
                <w:rFonts w:hint="eastAsia" w:eastAsia="宋体"/>
                <w:sz w:val="23"/>
                <w:lang w:eastAsia="zh-TW"/>
              </w:rPr>
              <w:t>（約至</w:t>
            </w:r>
            <w:r>
              <w:rPr>
                <w:sz w:val="23"/>
                <w:lang w:eastAsia="zh-TW"/>
              </w:rPr>
              <w:t>人民幣千元</w:t>
            </w:r>
            <w:r>
              <w:rPr>
                <w:rFonts w:hint="eastAsia" w:eastAsia="宋体"/>
                <w:sz w:val="23"/>
                <w:lang w:eastAsia="zh-TW"/>
              </w:rPr>
              <w:t>）</w:t>
            </w:r>
          </w:p>
        </w:tc>
        <w:tc>
          <w:tcPr>
            <w:tcW w:w="1691" w:type="dxa"/>
            <w:vAlign w:val="top"/>
          </w:tcPr>
          <w:p>
            <w:pPr>
              <w:pStyle w:val="10"/>
              <w:spacing w:line="303" w:lineRule="exact"/>
              <w:ind w:left="247" w:right="243"/>
              <w:rPr>
                <w:sz w:val="23"/>
                <w:lang w:eastAsia="zh-TW"/>
              </w:rPr>
            </w:pPr>
            <w:r>
              <w:rPr>
                <w:sz w:val="23"/>
                <w:lang w:eastAsia="zh-TW"/>
              </w:rPr>
              <w:t>2017年</w:t>
            </w:r>
          </w:p>
          <w:p>
            <w:pPr>
              <w:pStyle w:val="10"/>
              <w:spacing w:line="285" w:lineRule="exact"/>
              <w:ind w:left="248" w:right="243"/>
              <w:rPr>
                <w:rFonts w:eastAsia="宋体"/>
                <w:sz w:val="23"/>
                <w:lang w:eastAsia="zh-TW"/>
              </w:rPr>
            </w:pPr>
            <w:r>
              <w:rPr>
                <w:sz w:val="23"/>
                <w:lang w:eastAsia="zh-TW"/>
              </w:rPr>
              <w:br/>
            </w:r>
            <w:r>
              <w:rPr>
                <w:rFonts w:hint="eastAsia" w:eastAsia="宋体"/>
                <w:sz w:val="23"/>
                <w:lang w:eastAsia="zh-TW"/>
              </w:rPr>
              <w:t>（約至</w:t>
            </w:r>
            <w:r>
              <w:rPr>
                <w:sz w:val="23"/>
                <w:lang w:eastAsia="zh-TW"/>
              </w:rPr>
              <w:t>人民幣千元</w:t>
            </w:r>
            <w:r>
              <w:rPr>
                <w:rFonts w:hint="eastAsia" w:eastAsia="宋体"/>
                <w:sz w:val="23"/>
                <w:lang w:eastAsia="zh-TW"/>
              </w:rPr>
              <w:t>）</w:t>
            </w:r>
          </w:p>
        </w:tc>
        <w:tc>
          <w:tcPr>
            <w:tcW w:w="1831" w:type="dxa"/>
            <w:vAlign w:val="top"/>
          </w:tcPr>
          <w:p>
            <w:pPr>
              <w:pStyle w:val="10"/>
              <w:spacing w:line="303" w:lineRule="exact"/>
              <w:ind w:left="106" w:right="106"/>
              <w:rPr>
                <w:sz w:val="23"/>
                <w:lang w:eastAsia="zh-TW"/>
              </w:rPr>
            </w:pPr>
            <w:r>
              <w:rPr>
                <w:sz w:val="23"/>
                <w:lang w:eastAsia="zh-TW"/>
              </w:rPr>
              <w:t>2018年1月至9月</w:t>
            </w:r>
          </w:p>
          <w:p>
            <w:pPr>
              <w:pStyle w:val="10"/>
              <w:spacing w:line="285" w:lineRule="exact"/>
              <w:ind w:left="106" w:right="102"/>
              <w:rPr>
                <w:rFonts w:eastAsia="宋体"/>
                <w:sz w:val="23"/>
                <w:lang w:eastAsia="zh-TW"/>
              </w:rPr>
            </w:pPr>
            <w:r>
              <w:rPr>
                <w:rFonts w:hint="eastAsia" w:eastAsia="宋体"/>
                <w:sz w:val="23"/>
                <w:lang w:eastAsia="zh-TW"/>
              </w:rPr>
              <w:t>（約至</w:t>
            </w:r>
            <w:r>
              <w:rPr>
                <w:sz w:val="23"/>
                <w:lang w:eastAsia="zh-TW"/>
              </w:rPr>
              <w:t>人民幣千元</w:t>
            </w:r>
            <w:r>
              <w:rPr>
                <w:rFonts w:hint="eastAsia" w:eastAsia="宋体"/>
                <w:sz w:val="23"/>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09" w:hRule="atLeast"/>
        </w:trPr>
        <w:tc>
          <w:tcPr>
            <w:tcW w:w="2539" w:type="dxa"/>
            <w:vAlign w:val="top"/>
          </w:tcPr>
          <w:p>
            <w:pPr>
              <w:pStyle w:val="10"/>
              <w:spacing w:before="3" w:line="225" w:lineRule="auto"/>
              <w:ind w:left="26" w:right="123"/>
              <w:jc w:val="left"/>
              <w:rPr>
                <w:b/>
                <w:sz w:val="23"/>
                <w:lang w:eastAsia="zh-TW"/>
              </w:rPr>
            </w:pPr>
            <w:r>
              <w:rPr>
                <w:b/>
                <w:sz w:val="23"/>
                <w:lang w:eastAsia="zh-TW"/>
              </w:rPr>
              <w:t>從華魯恒升</w:t>
            </w:r>
            <w:r>
              <w:rPr>
                <w:rFonts w:hint="eastAsia" w:eastAsia="宋体"/>
                <w:b/>
                <w:sz w:val="23"/>
                <w:lang w:eastAsia="zh-TW"/>
              </w:rPr>
              <w:t>集團</w:t>
            </w:r>
            <w:r>
              <w:rPr>
                <w:b/>
                <w:sz w:val="23"/>
                <w:lang w:eastAsia="zh-TW"/>
              </w:rPr>
              <w:t>採購化工產品</w:t>
            </w:r>
          </w:p>
        </w:tc>
        <w:tc>
          <w:tcPr>
            <w:tcW w:w="1923" w:type="dxa"/>
            <w:vAlign w:val="top"/>
          </w:tcPr>
          <w:p>
            <w:pPr>
              <w:pStyle w:val="10"/>
              <w:spacing w:line="311" w:lineRule="exact"/>
              <w:ind w:left="98" w:right="95"/>
              <w:rPr>
                <w:sz w:val="23"/>
                <w:lang w:eastAsia="zh-TW"/>
              </w:rPr>
            </w:pPr>
            <w:r>
              <w:t>56,457</w:t>
            </w:r>
          </w:p>
        </w:tc>
        <w:tc>
          <w:tcPr>
            <w:tcW w:w="1691" w:type="dxa"/>
            <w:vAlign w:val="top"/>
          </w:tcPr>
          <w:p>
            <w:pPr>
              <w:pStyle w:val="10"/>
              <w:spacing w:line="311" w:lineRule="exact"/>
              <w:ind w:right="534"/>
              <w:jc w:val="right"/>
              <w:rPr>
                <w:sz w:val="23"/>
                <w:lang w:eastAsia="zh-TW"/>
              </w:rPr>
            </w:pPr>
            <w:r>
              <w:t>98,291</w:t>
            </w:r>
          </w:p>
        </w:tc>
        <w:tc>
          <w:tcPr>
            <w:tcW w:w="1831" w:type="dxa"/>
            <w:vAlign w:val="top"/>
          </w:tcPr>
          <w:p>
            <w:pPr>
              <w:pStyle w:val="10"/>
              <w:spacing w:line="311" w:lineRule="exact"/>
              <w:ind w:left="102" w:right="106"/>
              <w:rPr>
                <w:sz w:val="23"/>
                <w:lang w:eastAsia="zh-TW"/>
              </w:rPr>
            </w:pPr>
            <w:r>
              <w:rPr>
                <w:rFonts w:eastAsia="FangSong_GB2312"/>
                <w:szCs w:val="21"/>
              </w:rPr>
              <w:t>148</w:t>
            </w:r>
            <w:r>
              <w:rPr>
                <w:rFonts w:eastAsia="FangSong_GB2312"/>
                <w:szCs w:val="21"/>
                <w:lang w:eastAsia="zh-CN"/>
              </w:rPr>
              <w:t>,</w:t>
            </w:r>
            <w:r>
              <w:rPr>
                <w:rFonts w:eastAsia="FangSong_GB2312"/>
                <w:szCs w:val="21"/>
              </w:rPr>
              <w:t>1</w:t>
            </w:r>
            <w:r>
              <w:rPr>
                <w:rFonts w:eastAsia="FangSong_GB2312"/>
                <w:szCs w:val="21"/>
                <w:lang w:eastAsia="zh-CN"/>
              </w:rPr>
              <w:t>86</w:t>
            </w:r>
          </w:p>
        </w:tc>
      </w:tr>
    </w:tbl>
    <w:p>
      <w:pPr>
        <w:pStyle w:val="5"/>
        <w:spacing w:before="13"/>
        <w:rPr>
          <w:sz w:val="20"/>
          <w:lang w:eastAsia="zh-TW"/>
        </w:rPr>
      </w:pPr>
    </w:p>
    <w:p>
      <w:pPr>
        <w:pStyle w:val="2"/>
        <w:jc w:val="both"/>
        <w:rPr>
          <w:lang w:eastAsia="zh-TW"/>
        </w:rPr>
      </w:pPr>
      <w:r>
        <w:rPr>
          <w:lang w:eastAsia="zh-TW"/>
        </w:rPr>
        <w:t>華魯恒升協議項下之持續關連交易的原因及利益</w:t>
      </w:r>
    </w:p>
    <w:p>
      <w:pPr>
        <w:pStyle w:val="5"/>
        <w:spacing w:before="7"/>
        <w:rPr>
          <w:b/>
          <w:sz w:val="21"/>
          <w:lang w:eastAsia="zh-TW"/>
        </w:rPr>
      </w:pPr>
    </w:p>
    <w:p>
      <w:pPr>
        <w:pStyle w:val="5"/>
        <w:spacing w:line="225" w:lineRule="auto"/>
        <w:ind w:left="615" w:right="168"/>
        <w:rPr>
          <w:lang w:eastAsia="zh-TW"/>
        </w:rPr>
      </w:pPr>
      <w:r>
        <w:rPr>
          <w:spacing w:val="-11"/>
          <w:lang w:eastAsia="zh-TW"/>
        </w:rPr>
        <w:t>通過訂立華魯恒升協議，本</w:t>
      </w:r>
      <w:r>
        <w:rPr>
          <w:rFonts w:hint="eastAsia" w:eastAsia="宋体"/>
          <w:spacing w:val="-11"/>
          <w:lang w:eastAsia="zh-TW"/>
        </w:rPr>
        <w:t>集團</w:t>
      </w:r>
      <w:r>
        <w:rPr>
          <w:lang w:eastAsia="zh-TW"/>
        </w:rPr>
        <w:t>可以持續向華魯恒升</w:t>
      </w:r>
      <w:r>
        <w:rPr>
          <w:rFonts w:hint="eastAsia" w:eastAsia="宋体"/>
          <w:lang w:eastAsia="zh-TW"/>
        </w:rPr>
        <w:t>集團</w:t>
      </w:r>
      <w:r>
        <w:rPr>
          <w:spacing w:val="-11"/>
          <w:lang w:eastAsia="zh-TW"/>
        </w:rPr>
        <w:t>獲得穩定的化工原料供應，從而避免向其他供應商支付額外的採購費用。</w:t>
      </w:r>
    </w:p>
    <w:p>
      <w:pPr>
        <w:pStyle w:val="5"/>
        <w:spacing w:before="11"/>
        <w:rPr>
          <w:sz w:val="21"/>
          <w:lang w:eastAsia="zh-TW"/>
        </w:rPr>
      </w:pPr>
    </w:p>
    <w:p>
      <w:pPr>
        <w:pStyle w:val="5"/>
        <w:spacing w:line="225" w:lineRule="auto"/>
        <w:ind w:left="615" w:right="167"/>
        <w:jc w:val="both"/>
        <w:rPr>
          <w:spacing w:val="-14"/>
          <w:lang w:eastAsia="zh-TW"/>
        </w:rPr>
      </w:pPr>
      <w:r>
        <w:rPr>
          <w:lang w:eastAsia="zh-TW"/>
        </w:rPr>
        <w:t>因此，董事</w:t>
      </w:r>
      <w:r>
        <w:rPr>
          <w:rFonts w:hint="eastAsia" w:eastAsia="宋体"/>
          <w:lang w:eastAsia="zh-TW"/>
        </w:rPr>
        <w:t>（包括獨立</w:t>
      </w:r>
      <w:r>
        <w:rPr>
          <w:rFonts w:eastAsia="宋体"/>
          <w:lang w:eastAsia="zh-TW"/>
        </w:rPr>
        <w:t>非執行董事</w:t>
      </w:r>
      <w:r>
        <w:rPr>
          <w:rFonts w:hint="eastAsia" w:eastAsia="宋体"/>
          <w:lang w:eastAsia="zh-TW"/>
        </w:rPr>
        <w:t>）</w:t>
      </w:r>
      <w:r>
        <w:rPr>
          <w:lang w:eastAsia="zh-TW"/>
        </w:rPr>
        <w:t>認為，訂立華魯恒升協議符合本公司及其股東的整體最佳利益，並</w:t>
      </w:r>
      <w:r>
        <w:rPr>
          <w:spacing w:val="-14"/>
          <w:lang w:eastAsia="zh-TW"/>
        </w:rPr>
        <w:t>認為，有關持續關連交易乃按正常商業條款，並在日常及一般業務過程中訂立， 而華魯恒升協議項下的持續關連交易條款屬於公平及合理。</w:t>
      </w:r>
    </w:p>
    <w:p>
      <w:pPr>
        <w:pStyle w:val="5"/>
        <w:spacing w:line="225" w:lineRule="auto"/>
        <w:ind w:left="615" w:right="167"/>
        <w:jc w:val="both"/>
        <w:rPr>
          <w:spacing w:val="-14"/>
          <w:lang w:eastAsia="zh-TW"/>
        </w:rPr>
      </w:pPr>
    </w:p>
    <w:p>
      <w:pPr>
        <w:pStyle w:val="5"/>
        <w:spacing w:line="225" w:lineRule="auto"/>
        <w:ind w:left="615" w:right="167"/>
        <w:jc w:val="both"/>
        <w:rPr>
          <w:lang w:eastAsia="zh-TW"/>
        </w:rPr>
      </w:pPr>
      <w:r>
        <w:rPr>
          <w:lang w:eastAsia="zh-TW"/>
        </w:rPr>
        <w:t>由於本公司董事張代銘先生、任福龍先生、徐列先生及趙斌先生各自於華魯控股及 ／或新華集團中任職董事或作為管理層，彼等已就董事會對建議修訂年度上限的決 定放棄投票。除上述披露者外，本公司並不知悉任何其他董事於</w:t>
      </w:r>
      <w:r>
        <w:rPr>
          <w:rFonts w:hint="eastAsia"/>
          <w:lang w:eastAsia="zh-TW"/>
        </w:rPr>
        <w:t>華魯恒升協議</w:t>
      </w:r>
      <w:r>
        <w:rPr>
          <w:lang w:eastAsia="zh-TW"/>
        </w:rPr>
        <w:t>中擁有重大權</w:t>
      </w:r>
      <w:r>
        <w:rPr>
          <w:rFonts w:hint="eastAsia"/>
          <w:lang w:eastAsia="zh-TW"/>
        </w:rPr>
        <w:t>益</w:t>
      </w:r>
      <w:r>
        <w:rPr>
          <w:rFonts w:hint="eastAsia" w:eastAsia="宋体"/>
          <w:lang w:eastAsia="zh-TW"/>
        </w:rPr>
        <w:t>。</w:t>
      </w:r>
    </w:p>
    <w:p>
      <w:pPr>
        <w:pStyle w:val="5"/>
        <w:spacing w:before="1"/>
        <w:rPr>
          <w:sz w:val="21"/>
          <w:lang w:eastAsia="zh-TW"/>
        </w:rPr>
      </w:pPr>
    </w:p>
    <w:p>
      <w:pPr>
        <w:pStyle w:val="2"/>
        <w:ind w:left="606"/>
        <w:rPr>
          <w:lang w:eastAsia="zh-TW"/>
        </w:rPr>
      </w:pPr>
      <w:r>
        <w:rPr>
          <w:lang w:eastAsia="zh-TW"/>
        </w:rPr>
        <w:t>上市規則下的涵</w:t>
      </w:r>
      <w:r>
        <w:rPr>
          <w:rFonts w:hint="eastAsia"/>
          <w:lang w:eastAsia="zh-TW"/>
        </w:rPr>
        <w:t>義</w:t>
      </w:r>
    </w:p>
    <w:p>
      <w:pPr>
        <w:pStyle w:val="5"/>
        <w:spacing w:before="6"/>
        <w:rPr>
          <w:b/>
          <w:sz w:val="21"/>
          <w:lang w:eastAsia="zh-TW"/>
        </w:rPr>
      </w:pPr>
    </w:p>
    <w:p>
      <w:pPr>
        <w:pStyle w:val="5"/>
        <w:spacing w:line="225" w:lineRule="auto"/>
        <w:ind w:left="615" w:right="221"/>
        <w:jc w:val="both"/>
        <w:rPr>
          <w:lang w:eastAsia="zh-TW"/>
        </w:rPr>
      </w:pPr>
      <w:r>
        <w:rPr>
          <w:lang w:eastAsia="zh-TW"/>
        </w:rPr>
        <w:t>華魯恒升協議項下2019年、2020年及2021年持續關連交易的最高年度上限為人民幣340,000,000元。</w:t>
      </w:r>
    </w:p>
    <w:p>
      <w:pPr>
        <w:pStyle w:val="5"/>
        <w:spacing w:line="225" w:lineRule="auto"/>
        <w:ind w:left="615" w:right="221"/>
        <w:jc w:val="both"/>
        <w:rPr>
          <w:lang w:eastAsia="zh-TW"/>
        </w:rPr>
      </w:pPr>
    </w:p>
    <w:p>
      <w:pPr>
        <w:pStyle w:val="5"/>
        <w:spacing w:line="225" w:lineRule="auto"/>
        <w:ind w:left="615" w:right="221"/>
        <w:jc w:val="both"/>
        <w:rPr>
          <w:lang w:eastAsia="zh-TW"/>
        </w:rPr>
      </w:pPr>
      <w:r>
        <w:rPr>
          <w:rFonts w:hint="eastAsia" w:ascii="Times New Roman" w:hAnsi="Times New Roman"/>
          <w:lang w:eastAsia="zh-TW"/>
        </w:rPr>
        <w:t>由於</w:t>
      </w:r>
      <w:r>
        <w:rPr>
          <w:rFonts w:hint="eastAsia" w:eastAsia="宋体"/>
          <w:lang w:eastAsia="zh-TW"/>
        </w:rPr>
        <w:t>一項</w:t>
      </w:r>
      <w:r>
        <w:rPr>
          <w:rFonts w:eastAsia="宋体"/>
          <w:lang w:eastAsia="zh-TW"/>
        </w:rPr>
        <w:t>或以上</w:t>
      </w:r>
      <w:r>
        <w:rPr>
          <w:lang w:eastAsia="zh-TW"/>
        </w:rPr>
        <w:t>適用的百分比率(根據上市規則定義)按年計算超過5%，而總代價超過港幣10,000,000元。根據上市規則第14A章，華魯恒升協議項下持續關連交易構成不獲豁免持續關連交易，須遵守上市規則</w:t>
      </w:r>
      <w:r>
        <w:rPr>
          <w:rFonts w:hint="eastAsia"/>
          <w:lang w:eastAsia="zh-TW"/>
        </w:rPr>
        <w:t>項下有關</w:t>
      </w:r>
      <w:r>
        <w:rPr>
          <w:lang w:eastAsia="zh-TW"/>
        </w:rPr>
        <w:t>公告的規定，</w:t>
      </w:r>
      <w:r>
        <w:rPr>
          <w:rFonts w:hint="eastAsia" w:eastAsia="宋体"/>
          <w:lang w:eastAsia="zh-TW"/>
        </w:rPr>
        <w:t>無利益</w:t>
      </w:r>
      <w:r>
        <w:rPr>
          <w:rFonts w:eastAsia="宋体"/>
          <w:lang w:eastAsia="zh-TW"/>
        </w:rPr>
        <w:t>關係</w:t>
      </w:r>
      <w:r>
        <w:rPr>
          <w:lang w:eastAsia="zh-TW"/>
        </w:rPr>
        <w:t>股東批准的規定，年度審核</w:t>
      </w:r>
      <w:r>
        <w:rPr>
          <w:rFonts w:hint="eastAsia" w:eastAsia="宋体"/>
          <w:lang w:eastAsia="zh-TW"/>
        </w:rPr>
        <w:t>及申報的規定</w:t>
      </w:r>
      <w:r>
        <w:rPr>
          <w:lang w:eastAsia="zh-TW"/>
        </w:rPr>
        <w:t>以及</w:t>
      </w:r>
      <w:r>
        <w:rPr>
          <w:rFonts w:hint="eastAsia" w:eastAsia="宋体"/>
          <w:lang w:eastAsia="zh-TW"/>
        </w:rPr>
        <w:t>獨立董事</w:t>
      </w:r>
      <w:r>
        <w:rPr>
          <w:rFonts w:eastAsia="宋体"/>
          <w:lang w:eastAsia="zh-TW"/>
        </w:rPr>
        <w:t>委員會及</w:t>
      </w:r>
      <w:r>
        <w:rPr>
          <w:lang w:eastAsia="zh-TW"/>
        </w:rPr>
        <w:t>獨立財務顧問的</w:t>
      </w:r>
      <w:r>
        <w:rPr>
          <w:rFonts w:hint="eastAsia" w:eastAsia="宋体"/>
          <w:lang w:eastAsia="zh-TW"/>
        </w:rPr>
        <w:t>規定</w:t>
      </w:r>
      <w:r>
        <w:rPr>
          <w:lang w:eastAsia="zh-TW"/>
        </w:rPr>
        <w:t>。</w:t>
      </w:r>
    </w:p>
    <w:p>
      <w:pPr>
        <w:spacing w:line="225" w:lineRule="auto"/>
        <w:jc w:val="both"/>
        <w:rPr>
          <w:lang w:eastAsia="zh-TW"/>
        </w:rPr>
      </w:pPr>
    </w:p>
    <w:p>
      <w:pPr>
        <w:pStyle w:val="5"/>
        <w:spacing w:line="225" w:lineRule="auto"/>
        <w:ind w:left="615" w:right="221"/>
        <w:jc w:val="both"/>
        <w:rPr>
          <w:rFonts w:hAnsi="Calibri" w:eastAsia="宋体"/>
          <w:lang w:eastAsia="zh-TW"/>
        </w:rPr>
      </w:pPr>
      <w:r>
        <w:rPr>
          <w:lang w:eastAsia="zh-TW"/>
        </w:rPr>
        <w:t>經一切合理查詢後，就董事所盡悉、深知及確信，本集團與</w:t>
      </w:r>
      <w:r>
        <w:rPr>
          <w:rFonts w:hint="eastAsia" w:eastAsia="宋体"/>
          <w:lang w:eastAsia="zh-TW"/>
        </w:rPr>
        <w:t>華</w:t>
      </w:r>
      <w:r>
        <w:rPr>
          <w:rFonts w:hint="eastAsia"/>
          <w:lang w:eastAsia="zh-TW"/>
        </w:rPr>
        <w:t>魯</w:t>
      </w:r>
      <w:r>
        <w:rPr>
          <w:rFonts w:hint="eastAsia" w:ascii="宋体" w:hAnsi="宋体" w:eastAsia="宋体" w:cs="宋体"/>
          <w:lang w:eastAsia="zh-TW"/>
        </w:rPr>
        <w:t>恒升</w:t>
      </w:r>
      <w:r>
        <w:rPr>
          <w:lang w:eastAsia="zh-TW"/>
        </w:rPr>
        <w:t>及其最終實益擁有人於本公告日期起十二個月內概無訂立其他交易，其須連同</w:t>
      </w:r>
      <w:r>
        <w:rPr>
          <w:rFonts w:hint="eastAsia"/>
          <w:lang w:eastAsia="zh-TW"/>
        </w:rPr>
        <w:t>經重續</w:t>
      </w:r>
      <w:r>
        <w:rPr>
          <w:rFonts w:hint="eastAsia" w:eastAsia="宋体"/>
          <w:lang w:eastAsia="zh-TW"/>
        </w:rPr>
        <w:t>華</w:t>
      </w:r>
      <w:r>
        <w:rPr>
          <w:rFonts w:hint="eastAsia"/>
          <w:lang w:eastAsia="zh-TW"/>
        </w:rPr>
        <w:t>魯</w:t>
      </w:r>
      <w:r>
        <w:rPr>
          <w:rFonts w:hint="eastAsia" w:ascii="宋体" w:hAnsi="宋体" w:eastAsia="宋体" w:cs="宋体"/>
          <w:lang w:eastAsia="zh-TW"/>
        </w:rPr>
        <w:t>恒升協議</w:t>
      </w:r>
      <w:r>
        <w:rPr>
          <w:lang w:eastAsia="zh-TW"/>
        </w:rPr>
        <w:t>於上市規則第14A.81條項下被視為一 系列交易，並猶如彼等構成同一項交易</w:t>
      </w:r>
      <w:r>
        <w:rPr>
          <w:rFonts w:hint="eastAsia"/>
          <w:lang w:eastAsia="zh-TW"/>
        </w:rPr>
        <w:t>。</w:t>
      </w:r>
    </w:p>
    <w:p>
      <w:pPr>
        <w:spacing w:line="225" w:lineRule="auto"/>
        <w:jc w:val="both"/>
        <w:rPr>
          <w:lang w:eastAsia="zh-TW"/>
        </w:rPr>
      </w:pPr>
    </w:p>
    <w:p>
      <w:pPr>
        <w:pStyle w:val="2"/>
        <w:spacing w:before="57"/>
        <w:jc w:val="both"/>
        <w:rPr>
          <w:lang w:eastAsia="zh-TW"/>
        </w:rPr>
      </w:pPr>
      <w:r>
        <w:rPr>
          <w:lang w:eastAsia="zh-TW"/>
        </w:rPr>
        <w:t>關連方關係</w:t>
      </w:r>
    </w:p>
    <w:p>
      <w:pPr>
        <w:pStyle w:val="5"/>
        <w:spacing w:before="2"/>
        <w:rPr>
          <w:b/>
          <w:sz w:val="21"/>
          <w:lang w:eastAsia="zh-TW"/>
        </w:rPr>
      </w:pPr>
    </w:p>
    <w:p>
      <w:pPr>
        <w:pStyle w:val="5"/>
        <w:spacing w:before="1" w:line="228" w:lineRule="auto"/>
        <w:ind w:left="615" w:right="228"/>
        <w:jc w:val="both"/>
        <w:rPr>
          <w:lang w:eastAsia="zh-TW"/>
        </w:rPr>
      </w:pPr>
      <w:r>
        <w:rPr>
          <w:spacing w:val="-5"/>
          <w:lang w:eastAsia="zh-TW"/>
        </w:rPr>
        <w:t>於本公告日期</w:t>
      </w:r>
      <w:r>
        <w:rPr>
          <w:rFonts w:hint="eastAsia" w:eastAsia="宋体"/>
          <w:spacing w:val="-5"/>
          <w:lang w:eastAsia="zh-TW"/>
        </w:rPr>
        <w:t>：(</w:t>
      </w:r>
      <w:r>
        <w:rPr>
          <w:rFonts w:eastAsia="宋体"/>
          <w:spacing w:val="-5"/>
          <w:lang w:eastAsia="zh-TW"/>
        </w:rPr>
        <w:t>1</w:t>
      </w:r>
      <w:r>
        <w:rPr>
          <w:rFonts w:hint="eastAsia" w:eastAsia="宋体"/>
          <w:spacing w:val="-5"/>
          <w:lang w:eastAsia="zh-TW"/>
        </w:rPr>
        <w:t>)</w:t>
      </w:r>
      <w:r>
        <w:rPr>
          <w:spacing w:val="-5"/>
          <w:lang w:eastAsia="zh-TW"/>
        </w:rPr>
        <w:t>新華集團持有本公司已發行</w:t>
      </w:r>
      <w:r>
        <w:rPr>
          <w:spacing w:val="-1"/>
          <w:lang w:eastAsia="zh-TW"/>
        </w:rPr>
        <w:t>股</w:t>
      </w:r>
      <w:r>
        <w:rPr>
          <w:rFonts w:hint="eastAsia" w:eastAsia="宋体"/>
          <w:spacing w:val="-1"/>
          <w:lang w:eastAsia="zh-TW"/>
        </w:rPr>
        <w:t>份</w:t>
      </w:r>
      <w:r>
        <w:rPr>
          <w:spacing w:val="-1"/>
          <w:lang w:eastAsia="zh-TW"/>
        </w:rPr>
        <w:t>總數的32.94</w:t>
      </w:r>
      <w:r>
        <w:rPr>
          <w:spacing w:val="-2"/>
          <w:lang w:eastAsia="zh-TW"/>
        </w:rPr>
        <w:t>%，</w:t>
      </w:r>
      <w:r>
        <w:rPr>
          <w:rFonts w:hint="eastAsia" w:eastAsia="宋体"/>
          <w:spacing w:val="-2"/>
          <w:lang w:eastAsia="zh-TW"/>
        </w:rPr>
        <w:t>華魯控股</w:t>
      </w:r>
      <w:r>
        <w:rPr>
          <w:rFonts w:eastAsia="宋体"/>
          <w:spacing w:val="-2"/>
          <w:lang w:eastAsia="zh-TW"/>
        </w:rPr>
        <w:t>擁有新華集團及華魯恒升</w:t>
      </w:r>
      <w:r>
        <w:rPr>
          <w:rFonts w:hint="eastAsia" w:eastAsia="宋体"/>
          <w:spacing w:val="-2"/>
          <w:lang w:eastAsia="zh-TW"/>
        </w:rPr>
        <w:t>100</w:t>
      </w:r>
      <w:r>
        <w:rPr>
          <w:rFonts w:eastAsia="宋体"/>
          <w:spacing w:val="-2"/>
          <w:lang w:eastAsia="zh-TW"/>
        </w:rPr>
        <w:t>%權益；及</w:t>
      </w:r>
      <w:r>
        <w:rPr>
          <w:rFonts w:hint="eastAsia" w:eastAsia="宋体"/>
          <w:spacing w:val="-2"/>
          <w:lang w:eastAsia="zh-TW"/>
        </w:rPr>
        <w:t>(</w:t>
      </w:r>
      <w:r>
        <w:rPr>
          <w:rFonts w:eastAsia="宋体"/>
          <w:spacing w:val="-2"/>
          <w:lang w:eastAsia="zh-TW"/>
        </w:rPr>
        <w:t>2</w:t>
      </w:r>
      <w:r>
        <w:rPr>
          <w:rFonts w:hint="eastAsia" w:eastAsia="宋体"/>
          <w:spacing w:val="-2"/>
          <w:lang w:eastAsia="zh-TW"/>
        </w:rPr>
        <w:t>)</w:t>
      </w:r>
      <w:r>
        <w:rPr>
          <w:spacing w:val="-2"/>
          <w:lang w:eastAsia="zh-TW"/>
        </w:rPr>
        <w:t>華魯控股</w:t>
      </w:r>
      <w:r>
        <w:rPr>
          <w:rFonts w:hint="eastAsia" w:eastAsia="宋体"/>
          <w:spacing w:val="-2"/>
          <w:lang w:eastAsia="zh-TW"/>
        </w:rPr>
        <w:t>擁有</w:t>
      </w:r>
      <w:r>
        <w:rPr>
          <w:spacing w:val="-2"/>
          <w:lang w:eastAsia="zh-TW"/>
        </w:rPr>
        <w:t>華魯恒升已發行股本總數32.32%。</w:t>
      </w:r>
    </w:p>
    <w:p>
      <w:pPr>
        <w:pStyle w:val="5"/>
        <w:spacing w:before="7"/>
        <w:rPr>
          <w:sz w:val="21"/>
          <w:lang w:eastAsia="zh-TW"/>
        </w:rPr>
      </w:pPr>
    </w:p>
    <w:p>
      <w:pPr>
        <w:pStyle w:val="5"/>
        <w:spacing w:line="225" w:lineRule="auto"/>
        <w:ind w:left="615" w:right="226"/>
        <w:jc w:val="both"/>
        <w:rPr>
          <w:lang w:eastAsia="zh-TW"/>
        </w:rPr>
      </w:pPr>
      <w:r>
        <w:rPr>
          <w:lang w:eastAsia="zh-TW"/>
        </w:rPr>
        <w:t>因此，根據上市規則第14A章，</w:t>
      </w:r>
      <w:r>
        <w:rPr>
          <w:rFonts w:hint="eastAsia" w:eastAsia="宋体"/>
          <w:lang w:eastAsia="zh-TW"/>
        </w:rPr>
        <w:t>華魯恒升</w:t>
      </w:r>
      <w:r>
        <w:rPr>
          <w:lang w:eastAsia="zh-TW"/>
        </w:rPr>
        <w:t>協議項下的交易構成持續關連交易。</w:t>
      </w:r>
    </w:p>
    <w:p>
      <w:pPr>
        <w:pStyle w:val="5"/>
        <w:spacing w:before="4"/>
        <w:rPr>
          <w:sz w:val="18"/>
          <w:lang w:eastAsia="zh-TW"/>
        </w:rPr>
      </w:pPr>
    </w:p>
    <w:p>
      <w:pPr>
        <w:pStyle w:val="2"/>
        <w:spacing w:before="1"/>
        <w:jc w:val="both"/>
        <w:rPr>
          <w:lang w:eastAsia="zh-TW"/>
        </w:rPr>
      </w:pPr>
      <w:r>
        <w:rPr>
          <w:lang w:eastAsia="zh-TW"/>
        </w:rPr>
        <w:t>關於華魯恒升的資料</w:t>
      </w:r>
    </w:p>
    <w:p>
      <w:pPr>
        <w:pStyle w:val="5"/>
        <w:spacing w:before="7"/>
        <w:rPr>
          <w:b/>
          <w:sz w:val="20"/>
          <w:lang w:eastAsia="zh-TW"/>
        </w:rPr>
      </w:pPr>
    </w:p>
    <w:p>
      <w:pPr>
        <w:pStyle w:val="5"/>
        <w:ind w:left="615"/>
        <w:jc w:val="both"/>
        <w:rPr>
          <w:lang w:eastAsia="zh-TW"/>
        </w:rPr>
      </w:pPr>
      <w:r>
        <w:rPr>
          <w:lang w:eastAsia="zh-TW"/>
        </w:rPr>
        <w:t>華魯恒升主要從事化工產品的生產、銷售。</w:t>
      </w:r>
    </w:p>
    <w:p>
      <w:pPr>
        <w:pStyle w:val="5"/>
        <w:spacing w:before="5"/>
        <w:rPr>
          <w:sz w:val="20"/>
          <w:lang w:eastAsia="zh-TW"/>
        </w:rPr>
      </w:pPr>
    </w:p>
    <w:p>
      <w:pPr>
        <w:pStyle w:val="2"/>
        <w:spacing w:before="1"/>
        <w:ind w:left="630"/>
        <w:rPr>
          <w:lang w:eastAsia="zh-TW"/>
        </w:rPr>
      </w:pPr>
      <w:r>
        <w:rPr>
          <w:lang w:eastAsia="zh-TW"/>
        </w:rPr>
        <w:t xml:space="preserve">D． </w:t>
      </w:r>
      <w:r>
        <w:rPr>
          <w:rFonts w:hint="eastAsia" w:eastAsia="宋体"/>
          <w:lang w:eastAsia="zh-TW"/>
        </w:rPr>
        <w:t>無利益關係</w:t>
      </w:r>
      <w:r>
        <w:rPr>
          <w:lang w:eastAsia="zh-TW"/>
        </w:rPr>
        <w:t>股東批准</w:t>
      </w:r>
    </w:p>
    <w:p>
      <w:pPr>
        <w:pStyle w:val="5"/>
        <w:spacing w:before="2"/>
        <w:rPr>
          <w:b/>
          <w:sz w:val="21"/>
          <w:lang w:eastAsia="zh-TW"/>
        </w:rPr>
      </w:pPr>
    </w:p>
    <w:p>
      <w:pPr>
        <w:pStyle w:val="5"/>
        <w:spacing w:line="228" w:lineRule="auto"/>
        <w:ind w:left="630" w:right="222"/>
        <w:jc w:val="both"/>
        <w:rPr>
          <w:rFonts w:eastAsia="宋体"/>
          <w:lang w:eastAsia="zh-TW"/>
        </w:rPr>
      </w:pPr>
      <w:r>
        <w:rPr>
          <w:rFonts w:hint="eastAsia" w:eastAsia="宋体"/>
          <w:lang w:eastAsia="zh-TW"/>
        </w:rPr>
        <w:t>協議</w:t>
      </w:r>
      <w:r>
        <w:rPr>
          <w:rFonts w:eastAsia="宋体"/>
          <w:lang w:eastAsia="zh-TW"/>
        </w:rPr>
        <w:t>、</w:t>
      </w:r>
      <w:r>
        <w:rPr>
          <w:lang w:eastAsia="zh-TW"/>
        </w:rPr>
        <w:t>年度上限及其項下</w:t>
      </w:r>
      <w:r>
        <w:rPr>
          <w:rFonts w:hint="eastAsia"/>
          <w:lang w:eastAsia="zh-TW"/>
        </w:rPr>
        <w:t>擬進行的</w:t>
      </w:r>
      <w:r>
        <w:rPr>
          <w:lang w:eastAsia="zh-TW"/>
        </w:rPr>
        <w:t>持續關連交易</w:t>
      </w:r>
      <w:r>
        <w:rPr>
          <w:rFonts w:hint="eastAsia" w:eastAsia="宋体"/>
          <w:lang w:eastAsia="zh-TW"/>
        </w:rPr>
        <w:t>須</w:t>
      </w:r>
      <w:r>
        <w:rPr>
          <w:rFonts w:eastAsia="宋体"/>
          <w:lang w:eastAsia="zh-TW"/>
        </w:rPr>
        <w:t>經</w:t>
      </w:r>
      <w:r>
        <w:rPr>
          <w:rFonts w:hint="eastAsia" w:eastAsia="宋体"/>
          <w:lang w:eastAsia="zh-TW"/>
        </w:rPr>
        <w:t>與</w:t>
      </w:r>
      <w:r>
        <w:rPr>
          <w:rFonts w:eastAsia="宋体"/>
          <w:lang w:eastAsia="zh-TW"/>
        </w:rPr>
        <w:t>協議無利益關係之</w:t>
      </w:r>
      <w:r>
        <w:rPr>
          <w:lang w:eastAsia="zh-TW"/>
        </w:rPr>
        <w:t>股東</w:t>
      </w:r>
      <w:r>
        <w:rPr>
          <w:rFonts w:hint="eastAsia" w:eastAsia="宋体"/>
          <w:lang w:eastAsia="zh-TW"/>
        </w:rPr>
        <w:t>（</w:t>
      </w:r>
      <w:r>
        <w:rPr>
          <w:rFonts w:hint="eastAsia" w:ascii="宋体" w:hAnsi="宋体" w:eastAsia="宋体"/>
          <w:lang w:eastAsia="zh-TW"/>
        </w:rPr>
        <w:t>「</w:t>
      </w:r>
      <w:r>
        <w:rPr>
          <w:rFonts w:hint="eastAsia" w:ascii="宋体" w:hAnsi="宋体" w:eastAsia="宋体"/>
          <w:b/>
          <w:lang w:eastAsia="zh-TW"/>
        </w:rPr>
        <w:t>無利益關係股東</w:t>
      </w:r>
      <w:r>
        <w:rPr>
          <w:rFonts w:hint="eastAsia" w:ascii="宋体" w:hAnsi="宋体" w:eastAsia="宋体"/>
          <w:lang w:eastAsia="zh-TW"/>
        </w:rPr>
        <w:t>」</w:t>
      </w:r>
      <w:r>
        <w:rPr>
          <w:rFonts w:hint="eastAsia" w:eastAsia="宋体"/>
          <w:lang w:eastAsia="zh-TW"/>
        </w:rPr>
        <w:t>）</w:t>
      </w:r>
      <w:r>
        <w:rPr>
          <w:lang w:eastAsia="zh-TW"/>
        </w:rPr>
        <w:t>批准</w:t>
      </w:r>
      <w:r>
        <w:rPr>
          <w:rFonts w:hint="eastAsia" w:eastAsia="宋体"/>
          <w:lang w:eastAsia="zh-TW"/>
        </w:rPr>
        <w:t>，</w:t>
      </w:r>
      <w:r>
        <w:rPr>
          <w:rFonts w:eastAsia="宋体"/>
          <w:lang w:eastAsia="zh-TW"/>
        </w:rPr>
        <w:t>且</w:t>
      </w:r>
      <w:r>
        <w:rPr>
          <w:lang w:eastAsia="zh-TW"/>
        </w:rPr>
        <w:t>新華集團及維斌有限公</w:t>
      </w:r>
      <w:r>
        <w:rPr>
          <w:rFonts w:hint="eastAsia"/>
          <w:lang w:eastAsia="zh-TW"/>
        </w:rPr>
        <w:t>司</w:t>
      </w:r>
      <w:r>
        <w:rPr>
          <w:lang w:eastAsia="zh-TW"/>
        </w:rPr>
        <w:t>將需放棄表決權。</w:t>
      </w:r>
      <w:r>
        <w:rPr>
          <w:rFonts w:eastAsia="宋体"/>
          <w:lang w:eastAsia="zh-TW"/>
        </w:rPr>
        <w:t>股東大會將</w:t>
      </w:r>
      <w:r>
        <w:rPr>
          <w:rFonts w:hint="eastAsia" w:ascii="Times New Roman" w:hAnsi="Times New Roman"/>
          <w:lang w:eastAsia="zh-TW"/>
        </w:rPr>
        <w:t>就</w:t>
      </w:r>
      <w:r>
        <w:rPr>
          <w:rFonts w:eastAsia="宋体"/>
          <w:lang w:eastAsia="zh-TW"/>
        </w:rPr>
        <w:t>上述目的</w:t>
      </w:r>
      <w:r>
        <w:rPr>
          <w:lang w:eastAsia="zh-TW"/>
        </w:rPr>
        <w:t>召開及舉</w:t>
      </w:r>
      <w:r>
        <w:rPr>
          <w:rFonts w:hint="eastAsia"/>
          <w:lang w:eastAsia="zh-TW"/>
        </w:rPr>
        <w:t>行</w:t>
      </w:r>
      <w:r>
        <w:rPr>
          <w:rFonts w:hint="eastAsia" w:eastAsia="宋体"/>
          <w:lang w:eastAsia="zh-TW"/>
        </w:rPr>
        <w:t>。</w:t>
      </w:r>
    </w:p>
    <w:p>
      <w:pPr>
        <w:pStyle w:val="5"/>
        <w:spacing w:before="2"/>
        <w:rPr>
          <w:sz w:val="21"/>
          <w:lang w:eastAsia="zh-TW"/>
        </w:rPr>
      </w:pPr>
    </w:p>
    <w:p>
      <w:pPr>
        <w:pStyle w:val="5"/>
        <w:spacing w:line="228" w:lineRule="auto"/>
        <w:ind w:left="615" w:right="225"/>
        <w:jc w:val="both"/>
        <w:rPr>
          <w:lang w:eastAsia="zh-TW"/>
        </w:rPr>
      </w:pPr>
      <w:r>
        <w:rPr>
          <w:lang w:eastAsia="zh-TW"/>
        </w:rPr>
        <w:t>本公司</w:t>
      </w:r>
      <w:r>
        <w:rPr>
          <w:rFonts w:hint="eastAsia"/>
          <w:lang w:eastAsia="zh-TW"/>
        </w:rPr>
        <w:t>將</w:t>
      </w:r>
      <w:r>
        <w:rPr>
          <w:lang w:eastAsia="zh-TW"/>
        </w:rPr>
        <w:t>成立獨立董事委員會</w:t>
      </w:r>
      <w:r>
        <w:rPr>
          <w:rFonts w:hint="eastAsia" w:eastAsia="宋体"/>
          <w:lang w:eastAsia="zh-TW"/>
        </w:rPr>
        <w:t>（</w:t>
      </w:r>
      <w:r>
        <w:rPr>
          <w:rFonts w:hint="eastAsia" w:ascii="宋体" w:hAnsi="宋体" w:eastAsia="宋体"/>
          <w:lang w:eastAsia="zh-TW"/>
        </w:rPr>
        <w:t>「</w:t>
      </w:r>
      <w:r>
        <w:rPr>
          <w:b/>
          <w:lang w:eastAsia="zh-TW"/>
        </w:rPr>
        <w:t>獨</w:t>
      </w:r>
      <w:r>
        <w:rPr>
          <w:rFonts w:hint="eastAsia"/>
          <w:b/>
          <w:lang w:eastAsia="zh-TW"/>
        </w:rPr>
        <w:t>立董事委員會</w:t>
      </w:r>
      <w:r>
        <w:rPr>
          <w:rFonts w:hint="eastAsia" w:ascii="宋体" w:hAnsi="宋体" w:eastAsia="宋体"/>
          <w:lang w:eastAsia="zh-TW"/>
        </w:rPr>
        <w:t>」</w:t>
      </w:r>
      <w:r>
        <w:rPr>
          <w:rFonts w:hint="eastAsia" w:eastAsia="宋体"/>
          <w:lang w:eastAsia="zh-TW"/>
        </w:rPr>
        <w:t>）</w:t>
      </w:r>
      <w:r>
        <w:rPr>
          <w:lang w:eastAsia="zh-TW"/>
        </w:rPr>
        <w:t>，就協議</w:t>
      </w:r>
      <w:r>
        <w:rPr>
          <w:rFonts w:hint="eastAsia" w:eastAsia="宋体"/>
          <w:lang w:eastAsia="zh-TW"/>
        </w:rPr>
        <w:t>、</w:t>
      </w:r>
      <w:r>
        <w:rPr>
          <w:lang w:eastAsia="zh-TW"/>
        </w:rPr>
        <w:t>建議年度上限及其項下持續關連交易，向</w:t>
      </w:r>
      <w:r>
        <w:rPr>
          <w:rFonts w:hint="eastAsia" w:eastAsia="宋体"/>
          <w:lang w:eastAsia="zh-TW"/>
        </w:rPr>
        <w:t>無利益關係</w:t>
      </w:r>
      <w:r>
        <w:rPr>
          <w:lang w:eastAsia="zh-TW"/>
        </w:rPr>
        <w:t>股東提供意見。</w:t>
      </w:r>
    </w:p>
    <w:p>
      <w:pPr>
        <w:pStyle w:val="5"/>
        <w:spacing w:before="7"/>
        <w:rPr>
          <w:sz w:val="21"/>
          <w:lang w:eastAsia="zh-TW"/>
        </w:rPr>
      </w:pPr>
    </w:p>
    <w:p>
      <w:pPr>
        <w:pStyle w:val="5"/>
        <w:spacing w:line="225" w:lineRule="auto"/>
        <w:ind w:left="615" w:right="226"/>
        <w:jc w:val="both"/>
        <w:rPr>
          <w:lang w:eastAsia="zh-TW"/>
        </w:rPr>
      </w:pPr>
      <w:r>
        <w:rPr>
          <w:lang w:eastAsia="zh-TW"/>
        </w:rPr>
        <w:t>本公司將委任獨立財務顧問</w:t>
      </w:r>
      <w:r>
        <w:rPr>
          <w:rFonts w:hint="eastAsia" w:eastAsia="宋体"/>
          <w:lang w:eastAsia="zh-TW"/>
        </w:rPr>
        <w:t>（</w:t>
      </w:r>
      <w:r>
        <w:rPr>
          <w:rFonts w:hint="eastAsia" w:ascii="宋体" w:hAnsi="宋体" w:eastAsia="宋体"/>
          <w:lang w:eastAsia="zh-TW"/>
        </w:rPr>
        <w:t>「</w:t>
      </w:r>
      <w:r>
        <w:rPr>
          <w:b/>
          <w:lang w:eastAsia="zh-TW"/>
        </w:rPr>
        <w:t>獨</w:t>
      </w:r>
      <w:r>
        <w:rPr>
          <w:rFonts w:hint="eastAsia"/>
          <w:b/>
          <w:lang w:eastAsia="zh-TW"/>
        </w:rPr>
        <w:t>立財務顧問</w:t>
      </w:r>
      <w:r>
        <w:rPr>
          <w:rFonts w:hint="eastAsia" w:ascii="宋体" w:hAnsi="宋体" w:eastAsia="宋体"/>
          <w:b/>
          <w:lang w:eastAsia="zh-TW"/>
        </w:rPr>
        <w:t>」</w:t>
      </w:r>
      <w:r>
        <w:rPr>
          <w:rFonts w:hint="eastAsia" w:eastAsia="宋体"/>
          <w:lang w:eastAsia="zh-TW"/>
        </w:rPr>
        <w:t>）</w:t>
      </w:r>
      <w:r>
        <w:rPr>
          <w:lang w:eastAsia="zh-TW"/>
        </w:rPr>
        <w:t>，就協議及其項下持續關連交易的建議年度上限向獨立董事委員會及</w:t>
      </w:r>
      <w:r>
        <w:rPr>
          <w:rFonts w:hint="eastAsia" w:eastAsia="宋体"/>
          <w:lang w:eastAsia="zh-TW"/>
        </w:rPr>
        <w:t>無利益關係</w:t>
      </w:r>
      <w:r>
        <w:rPr>
          <w:lang w:eastAsia="zh-TW"/>
        </w:rPr>
        <w:t>股東提供意見。</w:t>
      </w:r>
    </w:p>
    <w:p>
      <w:pPr>
        <w:pStyle w:val="5"/>
        <w:rPr>
          <w:sz w:val="22"/>
          <w:lang w:eastAsia="zh-TW"/>
        </w:rPr>
      </w:pPr>
    </w:p>
    <w:p>
      <w:pPr>
        <w:pStyle w:val="5"/>
        <w:spacing w:line="225" w:lineRule="auto"/>
        <w:ind w:left="615" w:right="225"/>
        <w:jc w:val="both"/>
        <w:rPr>
          <w:lang w:eastAsia="zh-TW"/>
        </w:rPr>
      </w:pPr>
      <w:r>
        <w:rPr>
          <w:lang w:eastAsia="zh-TW"/>
        </w:rPr>
        <w:t>由於預期</w:t>
      </w:r>
      <w:r>
        <w:rPr>
          <w:rFonts w:eastAsia="宋体"/>
          <w:lang w:eastAsia="zh-TW"/>
        </w:rPr>
        <w:t>本公司</w:t>
      </w:r>
      <w:r>
        <w:rPr>
          <w:rFonts w:hint="eastAsia" w:ascii="Times New Roman" w:hAnsi="Times New Roman"/>
          <w:lang w:eastAsia="zh-TW"/>
        </w:rPr>
        <w:t>將需要</w:t>
      </w:r>
      <w:r>
        <w:rPr>
          <w:rFonts w:eastAsia="宋体"/>
          <w:lang w:eastAsia="zh-TW"/>
        </w:rPr>
        <w:t>更多時間籌備</w:t>
      </w:r>
      <w:r>
        <w:rPr>
          <w:lang w:eastAsia="zh-TW"/>
        </w:rPr>
        <w:t>將包括除</w:t>
      </w:r>
      <w:r>
        <w:rPr>
          <w:rFonts w:hint="eastAsia" w:eastAsia="宋体"/>
          <w:lang w:eastAsia="zh-TW"/>
        </w:rPr>
        <w:t>協議</w:t>
      </w:r>
      <w:r>
        <w:rPr>
          <w:rFonts w:eastAsia="宋体"/>
          <w:lang w:eastAsia="zh-TW"/>
        </w:rPr>
        <w:t>及持續關</w:t>
      </w:r>
      <w:r>
        <w:rPr>
          <w:rFonts w:hint="eastAsia" w:ascii="Times New Roman" w:hAnsi="Times New Roman"/>
          <w:lang w:eastAsia="zh-TW"/>
        </w:rPr>
        <w:t>連</w:t>
      </w:r>
      <w:r>
        <w:rPr>
          <w:rFonts w:eastAsia="宋体"/>
          <w:lang w:eastAsia="zh-TW"/>
        </w:rPr>
        <w:t>交易</w:t>
      </w:r>
      <w:r>
        <w:rPr>
          <w:lang w:eastAsia="zh-TW"/>
        </w:rPr>
        <w:t>外將於股東大會</w:t>
      </w:r>
      <w:r>
        <w:rPr>
          <w:rFonts w:hint="eastAsia"/>
          <w:lang w:eastAsia="zh-TW"/>
        </w:rPr>
        <w:t>上</w:t>
      </w:r>
      <w:r>
        <w:rPr>
          <w:lang w:eastAsia="zh-TW"/>
        </w:rPr>
        <w:t>審議</w:t>
      </w:r>
      <w:r>
        <w:rPr>
          <w:rFonts w:hint="eastAsia"/>
          <w:lang w:eastAsia="zh-TW"/>
        </w:rPr>
        <w:t>的事項</w:t>
      </w:r>
      <w:r>
        <w:rPr>
          <w:rFonts w:hint="eastAsia" w:eastAsia="宋体"/>
          <w:lang w:eastAsia="zh-TW"/>
        </w:rPr>
        <w:t>，</w:t>
      </w:r>
      <w:r>
        <w:rPr>
          <w:lang w:eastAsia="zh-TW"/>
        </w:rPr>
        <w:t>本公司將於切實可行情況下</w:t>
      </w:r>
      <w:r>
        <w:rPr>
          <w:rFonts w:hint="eastAsia" w:eastAsia="宋体"/>
          <w:lang w:eastAsia="zh-TW"/>
        </w:rPr>
        <w:t>於2018年12月</w:t>
      </w:r>
      <w:r>
        <w:rPr>
          <w:rFonts w:eastAsia="宋体"/>
          <w:lang w:eastAsia="zh-TW"/>
        </w:rPr>
        <w:t>14</w:t>
      </w:r>
      <w:r>
        <w:rPr>
          <w:rFonts w:hint="eastAsia" w:eastAsia="宋体"/>
          <w:lang w:eastAsia="zh-TW"/>
        </w:rPr>
        <w:t>日或</w:t>
      </w:r>
      <w:r>
        <w:rPr>
          <w:rFonts w:eastAsia="宋体"/>
          <w:lang w:eastAsia="zh-TW"/>
        </w:rPr>
        <w:t>之前</w:t>
      </w:r>
      <w:r>
        <w:rPr>
          <w:lang w:eastAsia="zh-TW"/>
        </w:rPr>
        <w:t>將一份載有(i)協議及其項</w:t>
      </w:r>
      <w:r>
        <w:rPr>
          <w:spacing w:val="-3"/>
          <w:lang w:eastAsia="zh-TW"/>
        </w:rPr>
        <w:t>下的建議年度上限</w:t>
      </w:r>
      <w:r>
        <w:rPr>
          <w:rFonts w:hint="eastAsia" w:eastAsia="宋体"/>
          <w:spacing w:val="-3"/>
          <w:lang w:eastAsia="zh-TW"/>
        </w:rPr>
        <w:t>詳情</w:t>
      </w:r>
      <w:r>
        <w:rPr>
          <w:spacing w:val="-3"/>
          <w:lang w:eastAsia="zh-TW"/>
        </w:rPr>
        <w:t xml:space="preserve">； </w:t>
      </w:r>
      <w:r>
        <w:rPr>
          <w:spacing w:val="-2"/>
          <w:lang w:eastAsia="zh-TW"/>
        </w:rPr>
        <w:t>(ii)獨立董事委員會向</w:t>
      </w:r>
      <w:r>
        <w:rPr>
          <w:rFonts w:hint="eastAsia" w:eastAsia="宋体"/>
          <w:spacing w:val="-2"/>
          <w:lang w:eastAsia="zh-TW"/>
        </w:rPr>
        <w:t>無利益關係</w:t>
      </w:r>
      <w:r>
        <w:rPr>
          <w:spacing w:val="-2"/>
          <w:lang w:eastAsia="zh-TW"/>
        </w:rPr>
        <w:t>股東發出的函件；及(iii)獨立財務顧問的建議的通函寄發予股東。</w:t>
      </w:r>
    </w:p>
    <w:p>
      <w:pPr>
        <w:spacing w:line="225" w:lineRule="auto"/>
        <w:jc w:val="both"/>
        <w:rPr>
          <w:lang w:eastAsia="zh-TW"/>
        </w:rPr>
        <w:sectPr>
          <w:pgSz w:w="11910" w:h="16840"/>
          <w:pgMar w:top="1600" w:right="1520" w:bottom="1600" w:left="1600" w:header="0" w:footer="1418" w:gutter="0"/>
          <w:cols w:space="720" w:num="1"/>
        </w:sectPr>
      </w:pPr>
    </w:p>
    <w:p>
      <w:pPr>
        <w:pStyle w:val="5"/>
        <w:rPr>
          <w:sz w:val="22"/>
          <w:lang w:eastAsia="zh-TW"/>
        </w:rPr>
      </w:pPr>
    </w:p>
    <w:p>
      <w:pPr>
        <w:pStyle w:val="5"/>
        <w:spacing w:before="12"/>
        <w:rPr>
          <w:sz w:val="19"/>
          <w:lang w:eastAsia="zh-TW"/>
        </w:rPr>
      </w:pPr>
    </w:p>
    <w:p>
      <w:pPr>
        <w:pStyle w:val="5"/>
        <w:spacing w:line="312" w:lineRule="exact"/>
        <w:ind w:right="1514"/>
        <w:jc w:val="right"/>
        <w:rPr>
          <w:lang w:eastAsia="zh-TW"/>
        </w:rPr>
      </w:pPr>
      <w:r>
        <w:rPr>
          <w:lang w:eastAsia="zh-TW"/>
        </w:rPr>
        <w:t>承董事會命</w:t>
      </w:r>
    </w:p>
    <w:p>
      <w:pPr>
        <w:pStyle w:val="5"/>
        <w:spacing w:line="304" w:lineRule="exact"/>
        <w:ind w:left="5399"/>
        <w:rPr>
          <w:lang w:eastAsia="zh-TW"/>
        </w:rPr>
      </w:pPr>
      <w:r>
        <w:rPr>
          <w:lang w:eastAsia="zh-TW"/>
        </w:rPr>
        <w:t>山東新華製藥股份有限公司</w:t>
      </w:r>
    </w:p>
    <w:p>
      <w:pPr>
        <w:pStyle w:val="5"/>
        <w:spacing w:before="6" w:line="225" w:lineRule="auto"/>
        <w:ind w:left="6099" w:right="1515" w:firstLine="234"/>
        <w:rPr>
          <w:lang w:eastAsia="zh-TW"/>
        </w:rPr>
      </w:pPr>
      <w:r>
        <w:rPr>
          <w:lang w:eastAsia="zh-TW"/>
        </w:rPr>
        <w:t>董 事 長 張代銘先生</w:t>
      </w:r>
    </w:p>
    <w:p>
      <w:pPr>
        <w:pStyle w:val="5"/>
        <w:spacing w:before="12"/>
        <w:rPr>
          <w:sz w:val="20"/>
          <w:lang w:eastAsia="zh-TW"/>
        </w:rPr>
      </w:pPr>
    </w:p>
    <w:p>
      <w:pPr>
        <w:pStyle w:val="5"/>
        <w:ind w:left="148"/>
        <w:rPr>
          <w:lang w:eastAsia="zh-TW"/>
        </w:rPr>
      </w:pPr>
      <w:r>
        <w:rPr>
          <w:lang w:eastAsia="zh-TW"/>
        </w:rPr>
        <w:t>中國 淄博，2018年10月22日</w:t>
      </w:r>
    </w:p>
    <w:p>
      <w:pPr>
        <w:pStyle w:val="5"/>
        <w:spacing w:before="9"/>
        <w:rPr>
          <w:sz w:val="24"/>
          <w:lang w:eastAsia="zh-TW"/>
        </w:rPr>
      </w:pPr>
    </w:p>
    <w:p>
      <w:pPr>
        <w:pStyle w:val="5"/>
        <w:ind w:left="148"/>
        <w:rPr>
          <w:lang w:eastAsia="zh-TW"/>
        </w:rPr>
      </w:pPr>
      <w:r>
        <w:rPr>
          <w:lang w:eastAsia="zh-TW"/>
        </w:rPr>
        <w:t>於本公告日期，本公司董事會之成員如下：</w:t>
      </w:r>
    </w:p>
    <w:p>
      <w:pPr>
        <w:pStyle w:val="5"/>
        <w:rPr>
          <w:lang w:eastAsia="zh-TW"/>
        </w:rPr>
      </w:pPr>
    </w:p>
    <w:p>
      <w:pPr>
        <w:rPr>
          <w:lang w:eastAsia="zh-TW"/>
        </w:rPr>
        <w:sectPr>
          <w:pgSz w:w="11910" w:h="16840"/>
          <w:pgMar w:top="1600" w:right="1520" w:bottom="1600" w:left="1600" w:header="0" w:footer="1418" w:gutter="0"/>
          <w:cols w:space="720" w:num="1"/>
        </w:sectPr>
      </w:pPr>
    </w:p>
    <w:p>
      <w:pPr>
        <w:pStyle w:val="5"/>
        <w:spacing w:before="58"/>
        <w:ind w:left="148"/>
        <w:rPr>
          <w:lang w:eastAsia="zh-TW"/>
        </w:rPr>
      </w:pPr>
      <w:r>
        <w:rPr>
          <w:lang w:eastAsia="zh-TW"/>
        </w:rPr>
        <w:t>執行董事：</w:t>
      </w:r>
    </w:p>
    <w:p>
      <w:pPr>
        <w:pStyle w:val="5"/>
        <w:spacing w:before="27" w:line="261" w:lineRule="auto"/>
        <w:ind w:left="148" w:right="38"/>
        <w:rPr>
          <w:lang w:eastAsia="zh-TW"/>
        </w:rPr>
      </w:pPr>
      <w:r>
        <w:rPr>
          <w:lang w:eastAsia="zh-TW"/>
        </w:rPr>
        <w:t>張代銘先生（董事長） 杜德平先生</w:t>
      </w:r>
    </w:p>
    <w:p>
      <w:pPr>
        <w:pStyle w:val="5"/>
        <w:rPr>
          <w:sz w:val="25"/>
          <w:lang w:eastAsia="zh-TW"/>
        </w:rPr>
      </w:pPr>
    </w:p>
    <w:p>
      <w:pPr>
        <w:pStyle w:val="5"/>
        <w:tabs>
          <w:tab w:val="left" w:pos="614"/>
        </w:tabs>
        <w:spacing w:line="261" w:lineRule="auto"/>
        <w:ind w:left="148" w:right="971"/>
        <w:rPr>
          <w:lang w:eastAsia="zh-TW"/>
        </w:rPr>
      </w:pPr>
      <w:r>
        <w:rPr>
          <w:lang w:eastAsia="zh-TW"/>
        </w:rPr>
        <w:t>任福龍先生 徐</w:t>
      </w:r>
      <w:r>
        <w:rPr>
          <w:lang w:eastAsia="zh-TW"/>
        </w:rPr>
        <w:tab/>
      </w:r>
      <w:r>
        <w:rPr>
          <w:lang w:eastAsia="zh-TW"/>
        </w:rPr>
        <w:t>列 先 生 趙</w:t>
      </w:r>
      <w:r>
        <w:rPr>
          <w:lang w:eastAsia="zh-TW"/>
        </w:rPr>
        <w:tab/>
      </w:r>
      <w:r>
        <w:rPr>
          <w:spacing w:val="-1"/>
          <w:lang w:eastAsia="zh-TW"/>
        </w:rPr>
        <w:t>斌</w:t>
      </w:r>
      <w:r>
        <w:rPr>
          <w:lang w:eastAsia="zh-TW"/>
        </w:rPr>
        <w:t>先生</w:t>
      </w:r>
    </w:p>
    <w:p>
      <w:pPr>
        <w:pStyle w:val="5"/>
        <w:spacing w:before="58" w:line="261" w:lineRule="auto"/>
        <w:ind w:left="148" w:right="2699"/>
        <w:rPr>
          <w:lang w:eastAsia="zh-TW"/>
        </w:rPr>
      </w:pPr>
      <w:r>
        <w:rPr>
          <w:lang w:eastAsia="zh-TW"/>
        </w:rPr>
        <w:br w:type="column"/>
      </w:r>
      <w:r>
        <w:rPr>
          <w:lang w:eastAsia="zh-TW"/>
        </w:rPr>
        <w:t>獨立非執行董事： 杜冠華先生</w:t>
      </w:r>
    </w:p>
    <w:p>
      <w:pPr>
        <w:pStyle w:val="5"/>
        <w:spacing w:line="261" w:lineRule="auto"/>
        <w:ind w:left="148" w:right="3401"/>
      </w:pPr>
      <w:r>
        <w:t>李文明先生盧華</w:t>
      </w:r>
      <w:r>
        <w:rPr>
          <w:rFonts w:hint="eastAsia"/>
        </w:rPr>
        <w:t>威</w:t>
      </w:r>
      <w:r>
        <w:t>先生</w:t>
      </w:r>
    </w:p>
    <w:sectPr>
      <w:type w:val="continuous"/>
      <w:pgSz w:w="11910" w:h="16840"/>
      <w:pgMar w:top="1600" w:right="1520" w:bottom="1600" w:left="1600" w:header="720" w:footer="720" w:gutter="0"/>
      <w:cols w:equalWidth="0" w:num="2">
        <w:col w:w="2522" w:space="1544"/>
        <w:col w:w="47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FangSong_GB2312">
    <w:altName w:val="仿宋"/>
    <w:panose1 w:val="00000000000000000000"/>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spacing w:line="14" w:lineRule="auto"/>
      <w:rPr>
        <w:sz w:val="20"/>
      </w:rPr>
    </w:pPr>
    <w:r>
      <w:rPr>
        <w:rFonts w:ascii="PMingLiU" w:hAnsi="PMingLiU" w:eastAsia="PMingLiU" w:cs="PMingLiU"/>
        <w:sz w:val="23"/>
        <w:szCs w:val="23"/>
        <w:lang w:val="en-US" w:eastAsia="zh-TW" w:bidi="ar-SA"/>
      </w:rPr>
      <w:pict>
        <v:rect id="Text Box 1" o:spid="_x0000_s1025" style="position:absolute;left:0;margin-left:290.7pt;margin-top:760.1pt;height:12.8pt;width:13.75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16"/>
                  <w:ind w:left="40"/>
                  <w:rPr>
                    <w:rFonts w:ascii="Times New Roman"/>
                    <w:sz w:val="19"/>
                  </w:rPr>
                </w:pPr>
                <w:r>
                  <w:fldChar w:fldCharType="begin"/>
                </w:r>
                <w:r>
                  <w:rPr>
                    <w:rFonts w:ascii="Times New Roman"/>
                    <w:w w:val="105"/>
                    <w:sz w:val="19"/>
                  </w:rPr>
                  <w:instrText xml:space="preserve"> PAGE </w:instrText>
                </w:r>
                <w:r>
                  <w:fldChar w:fldCharType="separate"/>
                </w:r>
                <w:r>
                  <w:rPr>
                    <w:rFonts w:ascii="Times New Roman"/>
                    <w:w w:val="105"/>
                    <w:sz w:val="19"/>
                  </w:rPr>
                  <w:t>8</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6035241">
    <w:nsid w:val="63E644A9"/>
    <w:multiLevelType w:val="multilevel"/>
    <w:tmpl w:val="63E644A9"/>
    <w:lvl w:ilvl="0" w:tentative="1">
      <w:start w:val="1"/>
      <w:numFmt w:val="decimal"/>
      <w:lvlText w:val="%1."/>
      <w:lvlJc w:val="left"/>
      <w:pPr>
        <w:ind w:left="965" w:hanging="351"/>
      </w:pPr>
      <w:rPr>
        <w:rFonts w:hint="default" w:ascii="PMingLiU" w:hAnsi="PMingLiU" w:eastAsia="PMingLiU" w:cs="PMingLiU"/>
        <w:b w:val="0"/>
        <w:spacing w:val="-1"/>
        <w:w w:val="101"/>
        <w:sz w:val="23"/>
        <w:szCs w:val="23"/>
      </w:rPr>
    </w:lvl>
    <w:lvl w:ilvl="1" w:tentative="1">
      <w:start w:val="1"/>
      <w:numFmt w:val="lowerLetter"/>
      <w:lvlText w:val="(%2)"/>
      <w:lvlJc w:val="left"/>
      <w:pPr>
        <w:ind w:left="1461" w:hanging="496"/>
      </w:pPr>
      <w:rPr>
        <w:rFonts w:hint="default" w:ascii="PMingLiU" w:hAnsi="PMingLiU" w:eastAsia="PMingLiU" w:cs="PMingLiU"/>
        <w:spacing w:val="-1"/>
        <w:w w:val="101"/>
        <w:sz w:val="23"/>
        <w:szCs w:val="23"/>
      </w:rPr>
    </w:lvl>
    <w:lvl w:ilvl="2" w:tentative="1">
      <w:start w:val="0"/>
      <w:numFmt w:val="bullet"/>
      <w:lvlText w:val="•"/>
      <w:lvlJc w:val="left"/>
      <w:pPr>
        <w:ind w:left="1460" w:hanging="496"/>
      </w:pPr>
      <w:rPr>
        <w:rFonts w:hint="default"/>
      </w:rPr>
    </w:lvl>
    <w:lvl w:ilvl="3" w:tentative="1">
      <w:start w:val="0"/>
      <w:numFmt w:val="bullet"/>
      <w:lvlText w:val="•"/>
      <w:lvlJc w:val="left"/>
      <w:pPr>
        <w:ind w:left="1540" w:hanging="496"/>
      </w:pPr>
      <w:rPr>
        <w:rFonts w:hint="default"/>
      </w:rPr>
    </w:lvl>
    <w:lvl w:ilvl="4" w:tentative="1">
      <w:start w:val="0"/>
      <w:numFmt w:val="bullet"/>
      <w:lvlText w:val="•"/>
      <w:lvlJc w:val="left"/>
      <w:pPr>
        <w:ind w:left="2574" w:hanging="496"/>
      </w:pPr>
      <w:rPr>
        <w:rFonts w:hint="default"/>
      </w:rPr>
    </w:lvl>
    <w:lvl w:ilvl="5" w:tentative="1">
      <w:start w:val="0"/>
      <w:numFmt w:val="bullet"/>
      <w:lvlText w:val="•"/>
      <w:lvlJc w:val="left"/>
      <w:pPr>
        <w:ind w:left="3609" w:hanging="496"/>
      </w:pPr>
      <w:rPr>
        <w:rFonts w:hint="default"/>
      </w:rPr>
    </w:lvl>
    <w:lvl w:ilvl="6" w:tentative="1">
      <w:start w:val="0"/>
      <w:numFmt w:val="bullet"/>
      <w:lvlText w:val="•"/>
      <w:lvlJc w:val="left"/>
      <w:pPr>
        <w:ind w:left="4644" w:hanging="496"/>
      </w:pPr>
      <w:rPr>
        <w:rFonts w:hint="default"/>
      </w:rPr>
    </w:lvl>
    <w:lvl w:ilvl="7" w:tentative="1">
      <w:start w:val="0"/>
      <w:numFmt w:val="bullet"/>
      <w:lvlText w:val="•"/>
      <w:lvlJc w:val="left"/>
      <w:pPr>
        <w:ind w:left="5679" w:hanging="496"/>
      </w:pPr>
      <w:rPr>
        <w:rFonts w:hint="default"/>
      </w:rPr>
    </w:lvl>
    <w:lvl w:ilvl="8" w:tentative="1">
      <w:start w:val="0"/>
      <w:numFmt w:val="bullet"/>
      <w:lvlText w:val="•"/>
      <w:lvlJc w:val="left"/>
      <w:pPr>
        <w:ind w:left="6714" w:hanging="496"/>
      </w:pPr>
      <w:rPr>
        <w:rFonts w:hint="default"/>
      </w:rPr>
    </w:lvl>
  </w:abstractNum>
  <w:abstractNum w:abstractNumId="1956136784">
    <w:nsid w:val="74984750"/>
    <w:multiLevelType w:val="multilevel"/>
    <w:tmpl w:val="74984750"/>
    <w:lvl w:ilvl="0" w:tentative="1">
      <w:start w:val="1"/>
      <w:numFmt w:val="lowerLetter"/>
      <w:lvlText w:val="（%1）"/>
      <w:lvlJc w:val="left"/>
      <w:pPr>
        <w:ind w:left="1548" w:hanging="877"/>
      </w:pPr>
      <w:rPr>
        <w:rFonts w:hint="default" w:ascii="PMingLiU" w:hAnsi="PMingLiU" w:eastAsia="PMingLiU" w:cs="PMingLiU"/>
        <w:spacing w:val="-2"/>
        <w:w w:val="101"/>
        <w:sz w:val="23"/>
        <w:szCs w:val="23"/>
      </w:rPr>
    </w:lvl>
    <w:lvl w:ilvl="1" w:tentative="1">
      <w:start w:val="0"/>
      <w:numFmt w:val="bullet"/>
      <w:lvlText w:val="•"/>
      <w:lvlJc w:val="left"/>
      <w:pPr>
        <w:ind w:left="2264" w:hanging="877"/>
      </w:pPr>
      <w:rPr>
        <w:rFonts w:hint="default"/>
      </w:rPr>
    </w:lvl>
    <w:lvl w:ilvl="2" w:tentative="1">
      <w:start w:val="0"/>
      <w:numFmt w:val="bullet"/>
      <w:lvlText w:val="•"/>
      <w:lvlJc w:val="left"/>
      <w:pPr>
        <w:ind w:left="2988" w:hanging="877"/>
      </w:pPr>
      <w:rPr>
        <w:rFonts w:hint="default"/>
      </w:rPr>
    </w:lvl>
    <w:lvl w:ilvl="3" w:tentative="1">
      <w:start w:val="0"/>
      <w:numFmt w:val="bullet"/>
      <w:lvlText w:val="•"/>
      <w:lvlJc w:val="left"/>
      <w:pPr>
        <w:ind w:left="3713" w:hanging="877"/>
      </w:pPr>
      <w:rPr>
        <w:rFonts w:hint="default"/>
      </w:rPr>
    </w:lvl>
    <w:lvl w:ilvl="4" w:tentative="1">
      <w:start w:val="0"/>
      <w:numFmt w:val="bullet"/>
      <w:lvlText w:val="•"/>
      <w:lvlJc w:val="left"/>
      <w:pPr>
        <w:ind w:left="4437" w:hanging="877"/>
      </w:pPr>
      <w:rPr>
        <w:rFonts w:hint="default"/>
      </w:rPr>
    </w:lvl>
    <w:lvl w:ilvl="5" w:tentative="1">
      <w:start w:val="0"/>
      <w:numFmt w:val="bullet"/>
      <w:lvlText w:val="•"/>
      <w:lvlJc w:val="left"/>
      <w:pPr>
        <w:ind w:left="5162" w:hanging="877"/>
      </w:pPr>
      <w:rPr>
        <w:rFonts w:hint="default"/>
      </w:rPr>
    </w:lvl>
    <w:lvl w:ilvl="6" w:tentative="1">
      <w:start w:val="0"/>
      <w:numFmt w:val="bullet"/>
      <w:lvlText w:val="•"/>
      <w:lvlJc w:val="left"/>
      <w:pPr>
        <w:ind w:left="5886" w:hanging="877"/>
      </w:pPr>
      <w:rPr>
        <w:rFonts w:hint="default"/>
      </w:rPr>
    </w:lvl>
    <w:lvl w:ilvl="7" w:tentative="1">
      <w:start w:val="0"/>
      <w:numFmt w:val="bullet"/>
      <w:lvlText w:val="•"/>
      <w:lvlJc w:val="left"/>
      <w:pPr>
        <w:ind w:left="6611" w:hanging="877"/>
      </w:pPr>
      <w:rPr>
        <w:rFonts w:hint="default"/>
      </w:rPr>
    </w:lvl>
    <w:lvl w:ilvl="8" w:tentative="1">
      <w:start w:val="0"/>
      <w:numFmt w:val="bullet"/>
      <w:lvlText w:val="•"/>
      <w:lvlJc w:val="left"/>
      <w:pPr>
        <w:ind w:left="7335" w:hanging="877"/>
      </w:pPr>
      <w:rPr>
        <w:rFonts w:hint="default"/>
      </w:rPr>
    </w:lvl>
  </w:abstractNum>
  <w:abstractNum w:abstractNumId="2027053508">
    <w:nsid w:val="78D261C4"/>
    <w:multiLevelType w:val="multilevel"/>
    <w:tmpl w:val="78D261C4"/>
    <w:lvl w:ilvl="0" w:tentative="1">
      <w:start w:val="1"/>
      <w:numFmt w:val="decimal"/>
      <w:lvlText w:val="%1."/>
      <w:lvlJc w:val="left"/>
      <w:pPr>
        <w:ind w:left="965" w:hanging="351"/>
      </w:pPr>
      <w:rPr>
        <w:rFonts w:hint="default" w:ascii="PMingLiU" w:hAnsi="PMingLiU" w:eastAsia="PMingLiU" w:cs="PMingLiU"/>
        <w:b w:val="0"/>
        <w:spacing w:val="-1"/>
        <w:w w:val="101"/>
        <w:sz w:val="23"/>
        <w:szCs w:val="23"/>
      </w:rPr>
    </w:lvl>
    <w:lvl w:ilvl="1" w:tentative="1">
      <w:start w:val="0"/>
      <w:numFmt w:val="bullet"/>
      <w:lvlText w:val="•"/>
      <w:lvlJc w:val="left"/>
      <w:pPr>
        <w:ind w:left="1742" w:hanging="351"/>
      </w:pPr>
      <w:rPr>
        <w:rFonts w:hint="default"/>
      </w:rPr>
    </w:lvl>
    <w:lvl w:ilvl="2" w:tentative="1">
      <w:start w:val="0"/>
      <w:numFmt w:val="bullet"/>
      <w:lvlText w:val="•"/>
      <w:lvlJc w:val="left"/>
      <w:pPr>
        <w:ind w:left="2524" w:hanging="351"/>
      </w:pPr>
      <w:rPr>
        <w:rFonts w:hint="default"/>
      </w:rPr>
    </w:lvl>
    <w:lvl w:ilvl="3" w:tentative="1">
      <w:start w:val="0"/>
      <w:numFmt w:val="bullet"/>
      <w:lvlText w:val="•"/>
      <w:lvlJc w:val="left"/>
      <w:pPr>
        <w:ind w:left="3307" w:hanging="351"/>
      </w:pPr>
      <w:rPr>
        <w:rFonts w:hint="default"/>
      </w:rPr>
    </w:lvl>
    <w:lvl w:ilvl="4" w:tentative="1">
      <w:start w:val="0"/>
      <w:numFmt w:val="bullet"/>
      <w:lvlText w:val="•"/>
      <w:lvlJc w:val="left"/>
      <w:pPr>
        <w:ind w:left="4089" w:hanging="351"/>
      </w:pPr>
      <w:rPr>
        <w:rFonts w:hint="default"/>
      </w:rPr>
    </w:lvl>
    <w:lvl w:ilvl="5" w:tentative="1">
      <w:start w:val="0"/>
      <w:numFmt w:val="bullet"/>
      <w:lvlText w:val="•"/>
      <w:lvlJc w:val="left"/>
      <w:pPr>
        <w:ind w:left="4872" w:hanging="351"/>
      </w:pPr>
      <w:rPr>
        <w:rFonts w:hint="default"/>
      </w:rPr>
    </w:lvl>
    <w:lvl w:ilvl="6" w:tentative="1">
      <w:start w:val="0"/>
      <w:numFmt w:val="bullet"/>
      <w:lvlText w:val="•"/>
      <w:lvlJc w:val="left"/>
      <w:pPr>
        <w:ind w:left="5654" w:hanging="351"/>
      </w:pPr>
      <w:rPr>
        <w:rFonts w:hint="default"/>
      </w:rPr>
    </w:lvl>
    <w:lvl w:ilvl="7" w:tentative="1">
      <w:start w:val="0"/>
      <w:numFmt w:val="bullet"/>
      <w:lvlText w:val="•"/>
      <w:lvlJc w:val="left"/>
      <w:pPr>
        <w:ind w:left="6437" w:hanging="351"/>
      </w:pPr>
      <w:rPr>
        <w:rFonts w:hint="default"/>
      </w:rPr>
    </w:lvl>
    <w:lvl w:ilvl="8" w:tentative="1">
      <w:start w:val="0"/>
      <w:numFmt w:val="bullet"/>
      <w:lvlText w:val="•"/>
      <w:lvlJc w:val="left"/>
      <w:pPr>
        <w:ind w:left="7219" w:hanging="351"/>
      </w:pPr>
      <w:rPr>
        <w:rFonts w:hint="default"/>
      </w:rPr>
    </w:lvl>
  </w:abstractNum>
  <w:num w:numId="1">
    <w:abstractNumId w:val="1676035241"/>
  </w:num>
  <w:num w:numId="2">
    <w:abstractNumId w:val="2027053508"/>
  </w:num>
  <w:num w:numId="3">
    <w:abstractNumId w:val="1956136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1"/>
    <w:pPr>
      <w:widowControl w:val="0"/>
      <w:autoSpaceDE w:val="0"/>
      <w:autoSpaceDN w:val="0"/>
    </w:pPr>
    <w:rPr>
      <w:rFonts w:ascii="PMingLiU" w:hAnsi="PMingLiU" w:eastAsia="PMingLiU" w:cs="PMingLiU"/>
      <w:sz w:val="22"/>
      <w:szCs w:val="22"/>
      <w:lang w:val="en-US" w:eastAsia="en-US" w:bidi="ar-SA"/>
    </w:rPr>
  </w:style>
  <w:style w:type="paragraph" w:styleId="2">
    <w:name w:val="heading 1"/>
    <w:basedOn w:val="1"/>
    <w:qFormat/>
    <w:uiPriority w:val="1"/>
    <w:pPr>
      <w:ind w:left="615"/>
      <w:outlineLvl w:val="0"/>
    </w:pPr>
    <w:rPr>
      <w:b/>
      <w:bCs/>
      <w:sz w:val="23"/>
      <w:szCs w:val="23"/>
    </w:rPr>
  </w:style>
  <w:style w:type="paragraph" w:styleId="3">
    <w:name w:val="heading 2"/>
    <w:basedOn w:val="1"/>
    <w:next w:val="1"/>
    <w:link w:val="12"/>
    <w:semiHidden/>
    <w:unhideWhenUsed/>
    <w:qFormat/>
    <w:uiPriority w:val="9"/>
    <w:pPr>
      <w:keepNext/>
      <w:spacing w:line="720" w:lineRule="auto"/>
      <w:outlineLvl w:val="1"/>
    </w:pPr>
    <w:rPr>
      <w:rFonts w:ascii="Cambria" w:hAnsi="Cambria"/>
      <w:b/>
      <w:bCs/>
      <w:sz w:val="48"/>
      <w:szCs w:val="48"/>
    </w:rPr>
  </w:style>
  <w:style w:type="character" w:default="1" w:styleId="7">
    <w:name w:val="Default Paragraph Font"/>
    <w:semiHidden/>
    <w:unhideWhenUsed/>
    <w:uiPriority w:val="1"/>
  </w:style>
  <w:style w:type="paragraph" w:styleId="4">
    <w:name w:val="annotation text"/>
    <w:basedOn w:val="1"/>
    <w:link w:val="13"/>
    <w:semiHidden/>
    <w:unhideWhenUsed/>
    <w:uiPriority w:val="99"/>
    <w:pPr>
      <w:widowControl/>
      <w:spacing w:after="5"/>
      <w:ind w:left="10" w:right="7" w:hanging="10"/>
      <w:jc w:val="both"/>
    </w:pPr>
    <w:rPr>
      <w:rFonts w:ascii="Times New Roman" w:hAnsi="Times New Roman" w:eastAsia="Times New Roman" w:cs="Times New Roman"/>
      <w:color w:val="000000"/>
      <w:sz w:val="20"/>
      <w:szCs w:val="20"/>
      <w:lang w:eastAsia="zh-TW"/>
    </w:rPr>
  </w:style>
  <w:style w:type="paragraph" w:styleId="5">
    <w:name w:val="Body Text"/>
    <w:basedOn w:val="1"/>
    <w:qFormat/>
    <w:uiPriority w:val="1"/>
    <w:rPr>
      <w:sz w:val="23"/>
      <w:szCs w:val="23"/>
    </w:rPr>
  </w:style>
  <w:style w:type="paragraph" w:styleId="6">
    <w:name w:val="Balloon Text"/>
    <w:basedOn w:val="1"/>
    <w:link w:val="11"/>
    <w:semiHidden/>
    <w:unhideWhenUsed/>
    <w:uiPriority w:val="99"/>
    <w:rPr>
      <w:rFonts w:ascii="Cambria" w:hAnsi="Cambria"/>
      <w:sz w:val="18"/>
      <w:szCs w:val="18"/>
    </w:rPr>
  </w:style>
  <w:style w:type="character" w:styleId="8">
    <w:name w:val="annotation reference"/>
    <w:basedOn w:val="7"/>
    <w:semiHidden/>
    <w:unhideWhenUsed/>
    <w:uiPriority w:val="99"/>
    <w:rPr>
      <w:sz w:val="16"/>
      <w:szCs w:val="16"/>
    </w:rPr>
  </w:style>
  <w:style w:type="paragraph" w:customStyle="1" w:styleId="9">
    <w:name w:val="List Paragraph"/>
    <w:basedOn w:val="1"/>
    <w:qFormat/>
    <w:uiPriority w:val="1"/>
    <w:pPr>
      <w:ind w:left="965" w:hanging="350"/>
    </w:pPr>
  </w:style>
  <w:style w:type="paragraph" w:customStyle="1" w:styleId="10">
    <w:name w:val="Table Paragraph"/>
    <w:basedOn w:val="1"/>
    <w:qFormat/>
    <w:uiPriority w:val="1"/>
    <w:pPr>
      <w:spacing w:line="284" w:lineRule="exact"/>
      <w:jc w:val="center"/>
    </w:pPr>
  </w:style>
  <w:style w:type="character" w:customStyle="1" w:styleId="11">
    <w:name w:val="Balloon Text Char"/>
    <w:basedOn w:val="7"/>
    <w:link w:val="6"/>
    <w:semiHidden/>
    <w:uiPriority w:val="99"/>
    <w:rPr>
      <w:rFonts w:ascii="Cambria" w:hAnsi="Cambria"/>
      <w:sz w:val="18"/>
      <w:szCs w:val="18"/>
    </w:rPr>
  </w:style>
  <w:style w:type="character" w:customStyle="1" w:styleId="12">
    <w:name w:val="Heading 2 Char"/>
    <w:basedOn w:val="7"/>
    <w:link w:val="3"/>
    <w:semiHidden/>
    <w:uiPriority w:val="9"/>
    <w:rPr>
      <w:rFonts w:ascii="Cambria" w:hAnsi="Cambria"/>
      <w:b/>
      <w:bCs/>
      <w:sz w:val="48"/>
      <w:szCs w:val="48"/>
    </w:rPr>
  </w:style>
  <w:style w:type="character" w:customStyle="1" w:styleId="13">
    <w:name w:val="Comment Text Char"/>
    <w:basedOn w:val="7"/>
    <w:link w:val="4"/>
    <w:semiHidden/>
    <w:uiPriority w:val="99"/>
    <w:rPr>
      <w:rFonts w:ascii="Times New Roman" w:hAnsi="Times New Roman" w:eastAsia="Times New Roman" w:cs="Times New Roman"/>
      <w:color w:val="000000"/>
      <w:sz w:val="20"/>
      <w:szCs w:val="20"/>
      <w:lang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772</Words>
  <Characters>4407</Characters>
  <Lines>36</Lines>
  <Paragraphs>10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2018-10-17T09:47:00Z</dcterms:created>
  <dc:creator>iegm</dc:creator>
  <cp:lastModifiedBy>曹长求</cp:lastModifiedBy>
  <cp:lastPrinted>2018-10-15T05:10:00Z</cp:lastPrinted>
  <dcterms:modified xsi:type="dcterms:W3CDTF">2018-10-22T06:51:05Z</dcterms:modified>
  <dc:title>Microsoft Word - CHARLTONS-#109809-v1-Shandong_Xinhua_-2015_CCT_-_Announcement__Chinese_.doc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2015-10-29T00:00:00Z</vt:filetime>
  </property>
  <property fmtid="{D5CDD505-2E9C-101B-9397-08002B2CF9AE}" pid="3" name="Creator">
    <vt:lpwstr>PScript5.dll Version 5.2</vt:lpwstr>
  </property>
  <property fmtid="{D5CDD505-2E9C-101B-9397-08002B2CF9AE}" pid="4" name="LastSaved">
    <vt:filetime>2018-10-15T00:00:00Z</vt:filetime>
  </property>
  <property fmtid="{D5CDD505-2E9C-101B-9397-08002B2CF9AE}" pid="5" name="KSOProductBuildVer">
    <vt:lpwstr>2052-9.1.0.4688</vt:lpwstr>
  </property>
</Properties>
</file>