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snapToGrid w:val="0"/>
        <w:jc w:val="both"/>
        <w:rPr>
          <w:rFonts w:ascii="Times New Roman" w:hAnsi="Times New Roman" w:eastAsia="PMingLiU"/>
          <w:i/>
          <w:sz w:val="20"/>
          <w:szCs w:val="20"/>
        </w:rPr>
      </w:pPr>
      <w:r>
        <w:rPr>
          <w:rFonts w:ascii="Times New Roman" w:hAnsi="Times New Roman" w:eastAsia="PMingLiU"/>
          <w:i/>
          <w:sz w:val="20"/>
          <w:szCs w:val="20"/>
        </w:rPr>
        <w:t>香港交易及結算所有限公司及香港聯合交易所有限公司對本公告之內容概不負責，對其準確性或完整性亦不發表任何聲明，並明確表示概不就因本公告全部或任何部分內容而產生或因倚賴該等內容而引致之任何損失承擔任何責任。</w:t>
      </w:r>
    </w:p>
    <w:p>
      <w:pPr>
        <w:pStyle w:val="4"/>
        <w:snapToGrid w:val="0"/>
        <w:jc w:val="both"/>
        <w:rPr>
          <w:rFonts w:ascii="Times New Roman" w:hAnsi="Times New Roman" w:eastAsia="PMingLiU"/>
          <w:sz w:val="20"/>
          <w:szCs w:val="20"/>
        </w:rPr>
      </w:pPr>
    </w:p>
    <w:p>
      <w:pPr>
        <w:pStyle w:val="4"/>
        <w:snapToGrid w:val="0"/>
        <w:jc w:val="both"/>
        <w:rPr>
          <w:rFonts w:ascii="Times New Roman" w:hAnsi="Times New Roman" w:eastAsia="PMingLiU"/>
          <w:sz w:val="20"/>
          <w:szCs w:val="20"/>
        </w:rPr>
      </w:pPr>
      <w:r>
        <w:rPr>
          <w:rFonts w:ascii="Times New Roman" w:hAnsi="Times New Roman" w:eastAsia="PMingLiU" w:cs="Times New Roman"/>
          <w:i/>
          <w:iCs/>
          <w:kern w:val="2"/>
          <w:sz w:val="20"/>
          <w:szCs w:val="22"/>
          <w:lang w:eastAsia="zh-TW" w:bidi="ar-SA"/>
        </w:rPr>
        <w:pict>
          <v:shape id="Picture 1" o:spid="_x0000_s1026" type="#_x0000_t75" style="position:absolute;left:0;margin-left:203.45pt;margin-top:2.55pt;height:45.45pt;width:42pt;rotation:0f;z-index:251658240;" o:ole="f" fillcolor="#FFFFFF" filled="f" o:preferrelative="t" stroked="f" coordorigin="0,0" coordsize="21600,21600">
            <v:fill on="f" color2="#FFFFFF" focus="0%"/>
            <v:imagedata gain="65536f" blacklevel="0f" gamma="0" chromakey="#FFFFFF" o:title="" r:id="rId6"/>
            <o:lock v:ext="edit" position="f" selection="f" grouping="f" rotation="f" cropping="f" text="f" aspectratio="t"/>
          </v:shape>
        </w:pict>
      </w:r>
    </w:p>
    <w:p>
      <w:pPr>
        <w:pStyle w:val="4"/>
        <w:snapToGrid w:val="0"/>
        <w:spacing w:line="240" w:lineRule="atLeast"/>
        <w:jc w:val="center"/>
        <w:rPr>
          <w:rFonts w:ascii="Times New Roman" w:hAnsi="Times New Roman" w:eastAsia="PMingLiU"/>
          <w:sz w:val="16"/>
        </w:rPr>
      </w:pPr>
      <w:r>
        <w:rPr>
          <w:rFonts w:ascii="Times New Roman" w:hAnsi="Times New Roman" w:eastAsia="PMingLiU"/>
          <w:sz w:val="16"/>
        </w:rPr>
        <w:tab/>
      </w:r>
    </w:p>
    <w:p>
      <w:pPr>
        <w:pStyle w:val="4"/>
        <w:snapToGrid w:val="0"/>
        <w:spacing w:line="240" w:lineRule="atLeast"/>
        <w:jc w:val="center"/>
        <w:rPr>
          <w:rFonts w:ascii="Times New Roman" w:hAnsi="Times New Roman" w:eastAsia="PMingLiU"/>
          <w:sz w:val="16"/>
        </w:rPr>
      </w:pPr>
    </w:p>
    <w:p>
      <w:pPr>
        <w:pStyle w:val="4"/>
        <w:snapToGrid w:val="0"/>
        <w:spacing w:line="240" w:lineRule="atLeast"/>
        <w:jc w:val="center"/>
        <w:rPr>
          <w:rFonts w:ascii="Times New Roman" w:hAnsi="Times New Roman" w:eastAsia="PMingLiU"/>
          <w:i/>
          <w:iCs/>
          <w:sz w:val="20"/>
        </w:rPr>
      </w:pPr>
    </w:p>
    <w:p>
      <w:pPr>
        <w:pStyle w:val="4"/>
        <w:snapToGrid w:val="0"/>
        <w:spacing w:line="240" w:lineRule="atLeast"/>
        <w:jc w:val="center"/>
        <w:rPr>
          <w:rFonts w:ascii="Times New Roman" w:hAnsi="Times New Roman" w:eastAsia="PMingLiU"/>
          <w:b/>
          <w:bCs/>
          <w:sz w:val="22"/>
        </w:rPr>
      </w:pPr>
    </w:p>
    <w:p>
      <w:pPr>
        <w:pStyle w:val="4"/>
        <w:snapToGrid w:val="0"/>
        <w:spacing w:line="240" w:lineRule="atLeast"/>
        <w:jc w:val="center"/>
        <w:rPr>
          <w:rFonts w:ascii="Times New Roman" w:hAnsi="Times New Roman" w:eastAsia="PMingLiU"/>
          <w:b/>
          <w:sz w:val="22"/>
        </w:rPr>
      </w:pPr>
      <w:r>
        <w:rPr>
          <w:rFonts w:ascii="Times New Roman" w:hAnsi="Times New Roman" w:eastAsia="PMingLiU"/>
          <w:b/>
          <w:bCs/>
          <w:sz w:val="22"/>
        </w:rPr>
        <w:t>山東新華製藥股份有限公司</w:t>
      </w:r>
    </w:p>
    <w:p>
      <w:pPr>
        <w:pStyle w:val="11"/>
        <w:widowControl w:val="0"/>
        <w:tabs>
          <w:tab w:val="left" w:pos="709"/>
          <w:tab w:val="left" w:pos="1418"/>
          <w:tab w:val="left" w:pos="2126"/>
          <w:tab w:val="left" w:pos="2835"/>
          <w:tab w:val="left" w:pos="3544"/>
          <w:tab w:val="left" w:pos="4253"/>
        </w:tabs>
        <w:kinsoku w:val="0"/>
        <w:adjustRightInd w:val="0"/>
        <w:snapToGrid w:val="0"/>
        <w:spacing w:line="240" w:lineRule="atLeast"/>
        <w:rPr>
          <w:rFonts w:eastAsia="PMingLiU"/>
          <w:kern w:val="2"/>
          <w:sz w:val="22"/>
          <w:szCs w:val="22"/>
        </w:rPr>
      </w:pPr>
      <w:r>
        <w:rPr>
          <w:rFonts w:eastAsia="PMingLiU"/>
          <w:kern w:val="2"/>
          <w:sz w:val="22"/>
          <w:szCs w:val="22"/>
        </w:rPr>
        <w:t>Shandong Xinhua Pharmaceutical Company Limited</w:t>
      </w:r>
    </w:p>
    <w:p>
      <w:pPr>
        <w:pStyle w:val="4"/>
        <w:snapToGrid w:val="0"/>
        <w:spacing w:before="80"/>
        <w:jc w:val="center"/>
        <w:rPr>
          <w:rFonts w:ascii="Times New Roman" w:hAnsi="Times New Roman" w:eastAsia="PMingLiU"/>
          <w:i/>
          <w:sz w:val="22"/>
        </w:rPr>
      </w:pPr>
      <w:r>
        <w:rPr>
          <w:rFonts w:ascii="Times New Roman" w:hAnsi="Times New Roman" w:eastAsia="PMingLiU"/>
          <w:b/>
          <w:bCs/>
          <w:sz w:val="22"/>
        </w:rPr>
        <w:t xml:space="preserve"> </w:t>
      </w:r>
      <w:r>
        <w:rPr>
          <w:rFonts w:ascii="Times New Roman" w:hAnsi="Times New Roman" w:eastAsia="PMingLiU"/>
          <w:i/>
          <w:sz w:val="22"/>
        </w:rPr>
        <w:t>（於中華人民共和國註冊成立之股份有限公司）</w:t>
      </w:r>
    </w:p>
    <w:p>
      <w:pPr>
        <w:jc w:val="center"/>
        <w:rPr>
          <w:b/>
          <w:bCs/>
          <w:sz w:val="22"/>
          <w:szCs w:val="22"/>
        </w:rPr>
      </w:pPr>
      <w:r>
        <w:rPr>
          <w:b/>
          <w:bCs/>
          <w:sz w:val="22"/>
          <w:szCs w:val="22"/>
        </w:rPr>
        <w:t>（股份</w:t>
      </w:r>
      <w:r>
        <w:rPr>
          <w:b/>
          <w:bCs/>
          <w:sz w:val="22"/>
          <w:szCs w:val="22"/>
          <w:lang w:eastAsia="zh-CN"/>
        </w:rPr>
        <w:t>代號</w:t>
      </w:r>
      <w:r>
        <w:rPr>
          <w:b/>
          <w:bCs/>
          <w:sz w:val="22"/>
          <w:szCs w:val="22"/>
        </w:rPr>
        <w:t>：0719）</w:t>
      </w:r>
    </w:p>
    <w:p>
      <w:pPr>
        <w:rPr>
          <w:sz w:val="22"/>
          <w:szCs w:val="22"/>
        </w:rPr>
      </w:pPr>
      <w:r>
        <w:rPr>
          <w:sz w:val="22"/>
          <w:szCs w:val="22"/>
        </w:rPr>
        <w:t xml:space="preserve"> </w:t>
      </w:r>
    </w:p>
    <w:p>
      <w:pPr>
        <w:autoSpaceDE w:val="0"/>
        <w:autoSpaceDN w:val="0"/>
        <w:adjustRightInd w:val="0"/>
        <w:ind w:left="110" w:right="49"/>
        <w:jc w:val="center"/>
        <w:rPr>
          <w:b/>
          <w:bCs/>
          <w:color w:val="231F20"/>
          <w:spacing w:val="4"/>
          <w:sz w:val="22"/>
          <w:szCs w:val="22"/>
          <w:lang w:eastAsia="zh-CN"/>
        </w:rPr>
      </w:pPr>
      <w:r>
        <w:rPr>
          <w:b/>
          <w:bCs/>
          <w:color w:val="231F20"/>
          <w:spacing w:val="4"/>
          <w:sz w:val="22"/>
          <w:szCs w:val="22"/>
          <w:lang w:eastAsia="zh-CN"/>
        </w:rPr>
        <w:t>可能關連交易及須予公佈交易</w:t>
      </w:r>
    </w:p>
    <w:p>
      <w:pPr>
        <w:autoSpaceDE w:val="0"/>
        <w:autoSpaceDN w:val="0"/>
        <w:adjustRightInd w:val="0"/>
        <w:ind w:left="110" w:right="49"/>
        <w:jc w:val="center"/>
        <w:rPr>
          <w:b/>
          <w:bCs/>
          <w:color w:val="231F20"/>
          <w:spacing w:val="4"/>
          <w:sz w:val="22"/>
          <w:szCs w:val="22"/>
          <w:lang w:eastAsia="zh-CN"/>
        </w:rPr>
      </w:pPr>
      <w:bookmarkStart w:id="0" w:name="_GoBack"/>
      <w:r>
        <w:rPr>
          <w:b/>
          <w:bCs/>
          <w:color w:val="231F20"/>
          <w:spacing w:val="4"/>
          <w:sz w:val="22"/>
          <w:szCs w:val="22"/>
        </w:rPr>
        <w:t xml:space="preserve"> </w:t>
      </w:r>
      <w:r>
        <w:rPr>
          <w:rFonts w:hint="eastAsia"/>
          <w:b/>
          <w:bCs/>
          <w:color w:val="231F20"/>
          <w:spacing w:val="4"/>
          <w:sz w:val="22"/>
          <w:szCs w:val="22"/>
          <w:lang/>
        </w:rPr>
        <w:t>就</w:t>
      </w:r>
      <w:r>
        <w:rPr>
          <w:b/>
          <w:bCs/>
          <w:color w:val="231F20"/>
          <w:spacing w:val="4"/>
          <w:sz w:val="22"/>
          <w:szCs w:val="22"/>
          <w:lang w:eastAsia="zh-CN"/>
        </w:rPr>
        <w:t>收購目標公司股權競</w:t>
      </w:r>
      <w:r>
        <w:rPr>
          <w:rFonts w:hint="eastAsia"/>
          <w:b/>
          <w:bCs/>
          <w:color w:val="231F20"/>
          <w:spacing w:val="4"/>
          <w:sz w:val="22"/>
          <w:szCs w:val="22"/>
          <w:lang/>
        </w:rPr>
        <w:t>投標</w:t>
      </w:r>
    </w:p>
    <w:bookmarkEnd w:id="0"/>
    <w:p>
      <w:pPr>
        <w:autoSpaceDE w:val="0"/>
        <w:autoSpaceDN w:val="0"/>
        <w:adjustRightInd w:val="0"/>
        <w:ind w:left="110" w:right="49"/>
        <w:jc w:val="center"/>
        <w:rPr>
          <w:color w:val="000000"/>
        </w:rPr>
      </w:pPr>
    </w:p>
    <w:p>
      <w:pPr>
        <w:pStyle w:val="4"/>
        <w:snapToGrid w:val="0"/>
        <w:jc w:val="both"/>
        <w:rPr>
          <w:rFonts w:ascii="Times New Roman" w:hAnsi="Times New Roman" w:eastAsia="PMingLiU"/>
          <w:sz w:val="22"/>
          <w:lang w:eastAsia="zh-CN"/>
        </w:rPr>
      </w:pPr>
      <w:r>
        <w:rPr>
          <w:rFonts w:ascii="Times New Roman" w:hAnsi="Times New Roman" w:eastAsia="PMingLiU"/>
          <w:sz w:val="22"/>
          <w:lang w:eastAsia="zh-CN"/>
        </w:rPr>
        <w:t>山東新華製藥股份有限公司（｢</w:t>
      </w:r>
      <w:r>
        <w:rPr>
          <w:rFonts w:ascii="Times New Roman" w:hAnsi="Times New Roman" w:eastAsia="PMingLiU"/>
          <w:b/>
          <w:sz w:val="22"/>
          <w:lang w:eastAsia="zh-CN"/>
        </w:rPr>
        <w:t>本公司</w:t>
      </w:r>
      <w:r>
        <w:rPr>
          <w:rFonts w:ascii="Times New Roman" w:hAnsi="Times New Roman" w:eastAsia="PMingLiU"/>
          <w:sz w:val="22"/>
          <w:lang w:eastAsia="zh-CN"/>
        </w:rPr>
        <w:t>｣）根據香港聯合交易所有限公司證券上市規則（｢</w:t>
      </w:r>
      <w:r>
        <w:rPr>
          <w:rFonts w:ascii="Times New Roman" w:hAnsi="Times New Roman" w:eastAsia="PMingLiU"/>
          <w:b/>
          <w:sz w:val="22"/>
          <w:lang w:eastAsia="zh-CN"/>
        </w:rPr>
        <w:t>上市規則</w:t>
      </w:r>
      <w:r>
        <w:rPr>
          <w:rFonts w:ascii="Times New Roman" w:hAnsi="Times New Roman" w:eastAsia="PMingLiU"/>
          <w:sz w:val="22"/>
          <w:lang w:eastAsia="zh-CN"/>
        </w:rPr>
        <w:t>｣）第13.09條及香港法例第571章證券及期貨條例第</w:t>
      </w:r>
      <w:r>
        <w:rPr>
          <w:rFonts w:ascii="Times New Roman" w:hAnsi="Times New Roman" w:eastAsia="PMingLiU"/>
          <w:sz w:val="22"/>
        </w:rPr>
        <w:t>XIVA</w:t>
      </w:r>
      <w:r>
        <w:rPr>
          <w:rFonts w:ascii="Times New Roman" w:hAnsi="Times New Roman" w:eastAsia="PMingLiU"/>
          <w:sz w:val="22"/>
          <w:lang w:eastAsia="zh-CN"/>
        </w:rPr>
        <w:t>部內幕消息條文（定義見上市規則）發佈本公告。</w:t>
      </w:r>
    </w:p>
    <w:p>
      <w:pPr>
        <w:pStyle w:val="4"/>
        <w:snapToGrid w:val="0"/>
        <w:jc w:val="both"/>
        <w:rPr>
          <w:rFonts w:ascii="Times New Roman" w:hAnsi="Times New Roman" w:eastAsia="PMingLiU"/>
          <w:sz w:val="22"/>
        </w:rPr>
      </w:pPr>
    </w:p>
    <w:p>
      <w:pPr>
        <w:pStyle w:val="4"/>
        <w:snapToGrid w:val="0"/>
        <w:jc w:val="both"/>
        <w:rPr>
          <w:rFonts w:ascii="Times New Roman" w:hAnsi="Times New Roman" w:eastAsia="PMingLiU"/>
          <w:sz w:val="22"/>
          <w:lang w:eastAsia="zh-CN"/>
        </w:rPr>
      </w:pPr>
      <w:r>
        <w:rPr>
          <w:rFonts w:ascii="Times New Roman" w:hAnsi="Times New Roman" w:eastAsia="PMingLiU"/>
          <w:sz w:val="22"/>
          <w:lang w:eastAsia="zh-CN"/>
        </w:rPr>
        <w:t>本公司謹此宣佈，為（其中包括）實現資源整合及加強綜合競爭力，本公司擬</w:t>
      </w:r>
      <w:r>
        <w:rPr>
          <w:rFonts w:hint="eastAsia" w:ascii="Times New Roman" w:hAnsi="Times New Roman"/>
          <w:sz w:val="22"/>
          <w:lang/>
        </w:rPr>
        <w:t>就</w:t>
      </w:r>
      <w:r>
        <w:rPr>
          <w:rFonts w:ascii="Times New Roman" w:hAnsi="Times New Roman" w:eastAsia="PMingLiU"/>
          <w:sz w:val="22"/>
          <w:lang w:eastAsia="zh-CN"/>
        </w:rPr>
        <w:t>山東新華萬博化工有限公司（｢</w:t>
      </w:r>
      <w:r>
        <w:rPr>
          <w:rFonts w:ascii="Times New Roman" w:hAnsi="Times New Roman" w:eastAsia="PMingLiU"/>
          <w:b/>
          <w:sz w:val="22"/>
          <w:lang w:eastAsia="zh-CN"/>
        </w:rPr>
        <w:t>萬博化工</w:t>
      </w:r>
      <w:r>
        <w:rPr>
          <w:rFonts w:ascii="Times New Roman" w:hAnsi="Times New Roman" w:eastAsia="PMingLiU"/>
          <w:sz w:val="22"/>
          <w:lang w:eastAsia="zh-CN"/>
        </w:rPr>
        <w:t>｣）</w:t>
      </w:r>
      <w:r>
        <w:rPr>
          <w:rFonts w:hint="eastAsia" w:ascii="Times New Roman" w:hAnsi="Times New Roman" w:eastAsia="PMingLiU"/>
          <w:sz w:val="22"/>
          <w:lang/>
        </w:rPr>
        <w:t>經</w:t>
      </w:r>
      <w:r>
        <w:rPr>
          <w:rFonts w:ascii="Times New Roman" w:hAnsi="Times New Roman" w:eastAsia="PMingLiU"/>
          <w:sz w:val="22"/>
          <w:lang w:eastAsia="zh-CN"/>
        </w:rPr>
        <w:t>中標者增資擴股後</w:t>
      </w:r>
      <w:r>
        <w:rPr>
          <w:rFonts w:hint="eastAsia" w:ascii="Times New Roman" w:hAnsi="Times New Roman" w:eastAsia="PMingLiU"/>
          <w:sz w:val="22"/>
          <w:lang/>
        </w:rPr>
        <w:t>之</w:t>
      </w:r>
      <w:r>
        <w:rPr>
          <w:rFonts w:ascii="Times New Roman" w:hAnsi="Times New Roman" w:eastAsia="PMingLiU"/>
          <w:sz w:val="22"/>
          <w:lang w:eastAsia="zh-CN"/>
        </w:rPr>
        <w:t>擴大股權</w:t>
      </w:r>
      <w:r>
        <w:rPr>
          <w:rFonts w:hint="eastAsia" w:ascii="Times New Roman" w:hAnsi="Times New Roman" w:eastAsia="PMingLiU"/>
          <w:sz w:val="22"/>
          <w:lang/>
        </w:rPr>
        <w:t>中</w:t>
      </w:r>
      <w:r>
        <w:rPr>
          <w:rFonts w:ascii="Times New Roman" w:hAnsi="Times New Roman" w:eastAsia="PMingLiU"/>
          <w:sz w:val="22"/>
          <w:lang w:eastAsia="zh-CN"/>
        </w:rPr>
        <w:t>40%權益（｢</w:t>
      </w:r>
      <w:r>
        <w:rPr>
          <w:rFonts w:ascii="Times New Roman" w:hAnsi="Times New Roman" w:eastAsia="PMingLiU"/>
          <w:b/>
          <w:sz w:val="22"/>
          <w:lang w:eastAsia="zh-CN"/>
        </w:rPr>
        <w:t>萬博權益</w:t>
      </w:r>
      <w:r>
        <w:rPr>
          <w:rFonts w:ascii="Times New Roman" w:hAnsi="Times New Roman" w:eastAsia="PMingLiU"/>
          <w:sz w:val="22"/>
          <w:lang w:eastAsia="zh-CN"/>
        </w:rPr>
        <w:t>｣）及山東淄博新達製藥有限公司（｢</w:t>
      </w:r>
      <w:r>
        <w:rPr>
          <w:rFonts w:ascii="Times New Roman" w:hAnsi="Times New Roman" w:eastAsia="PMingLiU"/>
          <w:b/>
          <w:sz w:val="22"/>
          <w:lang w:eastAsia="zh-CN"/>
        </w:rPr>
        <w:t>新達製藥</w:t>
      </w:r>
      <w:r>
        <w:rPr>
          <w:rFonts w:ascii="Times New Roman" w:hAnsi="Times New Roman" w:eastAsia="PMingLiU"/>
          <w:sz w:val="22"/>
          <w:lang w:eastAsia="zh-CN"/>
        </w:rPr>
        <w:t>｣）現</w:t>
      </w:r>
      <w:r>
        <w:rPr>
          <w:rFonts w:hint="eastAsia" w:ascii="Times New Roman" w:hAnsi="Times New Roman" w:eastAsia="PMingLiU"/>
          <w:sz w:val="22"/>
          <w:lang/>
        </w:rPr>
        <w:t>有</w:t>
      </w:r>
      <w:r>
        <w:rPr>
          <w:rFonts w:ascii="Times New Roman" w:hAnsi="Times New Roman" w:eastAsia="PMingLiU"/>
          <w:sz w:val="22"/>
          <w:lang w:eastAsia="zh-CN"/>
        </w:rPr>
        <w:t>股權</w:t>
      </w:r>
      <w:r>
        <w:rPr>
          <w:rFonts w:hint="eastAsia" w:ascii="Times New Roman" w:hAnsi="Times New Roman" w:eastAsia="PMingLiU"/>
          <w:sz w:val="22"/>
          <w:lang/>
        </w:rPr>
        <w:t>中</w:t>
      </w:r>
      <w:r>
        <w:rPr>
          <w:rFonts w:ascii="Times New Roman" w:hAnsi="Times New Roman" w:eastAsia="PMingLiU"/>
          <w:sz w:val="22"/>
          <w:lang w:eastAsia="zh-CN"/>
        </w:rPr>
        <w:t>40%權益（｢</w:t>
      </w:r>
      <w:r>
        <w:rPr>
          <w:rFonts w:ascii="Times New Roman" w:hAnsi="Times New Roman" w:eastAsia="PMingLiU"/>
          <w:b/>
          <w:sz w:val="22"/>
          <w:lang w:eastAsia="zh-CN"/>
        </w:rPr>
        <w:t>新達權益</w:t>
      </w:r>
      <w:r>
        <w:rPr>
          <w:rFonts w:ascii="Times New Roman" w:hAnsi="Times New Roman" w:eastAsia="PMingLiU"/>
          <w:sz w:val="22"/>
          <w:lang w:eastAsia="zh-CN"/>
        </w:rPr>
        <w:t>｣）</w:t>
      </w:r>
      <w:r>
        <w:rPr>
          <w:rFonts w:hint="eastAsia" w:ascii="Times New Roman" w:hAnsi="Times New Roman" w:eastAsia="PMingLiU"/>
          <w:sz w:val="22"/>
          <w:lang/>
        </w:rPr>
        <w:t>入標</w:t>
      </w:r>
      <w:r>
        <w:rPr>
          <w:rFonts w:ascii="Times New Roman" w:hAnsi="Times New Roman" w:eastAsia="PMingLiU"/>
          <w:sz w:val="22"/>
          <w:lang w:eastAsia="zh-CN"/>
        </w:rPr>
        <w:t>（統稱｢</w:t>
      </w:r>
      <w:r>
        <w:rPr>
          <w:rFonts w:ascii="Times New Roman" w:hAnsi="Times New Roman" w:eastAsia="PMingLiU"/>
          <w:b/>
          <w:sz w:val="22"/>
          <w:lang w:eastAsia="zh-CN"/>
        </w:rPr>
        <w:t>競購</w:t>
      </w:r>
      <w:r>
        <w:rPr>
          <w:rFonts w:hint="eastAsia" w:ascii="Times New Roman" w:hAnsi="Times New Roman" w:eastAsia="PMingLiU"/>
          <w:b/>
          <w:sz w:val="22"/>
          <w:lang/>
        </w:rPr>
        <w:t>入標</w:t>
      </w:r>
      <w:r>
        <w:rPr>
          <w:rFonts w:ascii="Times New Roman" w:hAnsi="Times New Roman" w:eastAsia="PMingLiU"/>
          <w:sz w:val="22"/>
          <w:lang w:eastAsia="zh-CN"/>
        </w:rPr>
        <w:t>｣），</w:t>
      </w:r>
      <w:r>
        <w:rPr>
          <w:rFonts w:hint="eastAsia" w:ascii="Times New Roman" w:hAnsi="Times New Roman" w:eastAsia="PMingLiU"/>
          <w:sz w:val="22"/>
          <w:lang/>
        </w:rPr>
        <w:t>上述</w:t>
      </w:r>
      <w:r>
        <w:rPr>
          <w:rFonts w:ascii="Times New Roman" w:hAnsi="Times New Roman" w:eastAsia="PMingLiU"/>
          <w:sz w:val="22"/>
          <w:lang w:eastAsia="zh-CN"/>
        </w:rPr>
        <w:t>標的股權分別由山東新華醫藥集團有限責任公司（｢</w:t>
      </w:r>
      <w:r>
        <w:rPr>
          <w:rFonts w:ascii="Times New Roman" w:hAnsi="Times New Roman" w:eastAsia="PMingLiU"/>
          <w:b/>
          <w:sz w:val="22"/>
          <w:lang w:eastAsia="zh-CN"/>
        </w:rPr>
        <w:t>山東新華醫藥集團</w:t>
      </w:r>
      <w:r>
        <w:rPr>
          <w:rFonts w:ascii="Times New Roman" w:hAnsi="Times New Roman" w:eastAsia="PMingLiU"/>
          <w:sz w:val="22"/>
          <w:lang w:eastAsia="zh-CN"/>
        </w:rPr>
        <w:t>｣）及華魯控股集團有限公司（｢</w:t>
      </w:r>
      <w:r>
        <w:rPr>
          <w:rFonts w:ascii="Times New Roman" w:hAnsi="Times New Roman" w:eastAsia="PMingLiU"/>
          <w:b/>
          <w:sz w:val="22"/>
          <w:lang w:eastAsia="zh-CN"/>
        </w:rPr>
        <w:t>華魯控股集團</w:t>
      </w:r>
      <w:r>
        <w:rPr>
          <w:rFonts w:ascii="Times New Roman" w:hAnsi="Times New Roman" w:eastAsia="PMingLiU"/>
          <w:sz w:val="22"/>
          <w:lang w:eastAsia="zh-CN"/>
        </w:rPr>
        <w:t>｣，連同山東新華醫藥集團，統稱｢</w:t>
      </w:r>
      <w:r>
        <w:rPr>
          <w:rFonts w:ascii="Times New Roman" w:hAnsi="Times New Roman" w:eastAsia="PMingLiU"/>
          <w:b/>
          <w:sz w:val="22"/>
          <w:lang w:eastAsia="zh-CN"/>
        </w:rPr>
        <w:t>賣方</w:t>
      </w:r>
      <w:r>
        <w:rPr>
          <w:rFonts w:ascii="Times New Roman" w:hAnsi="Times New Roman" w:eastAsia="PMingLiU"/>
          <w:sz w:val="22"/>
          <w:lang w:eastAsia="zh-CN"/>
        </w:rPr>
        <w:t>｣）</w:t>
      </w:r>
      <w:r>
        <w:rPr>
          <w:rFonts w:hint="eastAsia" w:ascii="Times New Roman" w:hAnsi="Times New Roman" w:eastAsia="PMingLiU"/>
          <w:sz w:val="22"/>
          <w:lang/>
        </w:rPr>
        <w:t>掛</w:t>
      </w:r>
      <w:r>
        <w:rPr>
          <w:rFonts w:hint="eastAsia" w:ascii="Times New Roman" w:hAnsi="Times New Roman" w:eastAsia="PMingLiU"/>
          <w:sz w:val="22"/>
        </w:rPr>
        <w:t>牌</w:t>
      </w:r>
      <w:r>
        <w:rPr>
          <w:rFonts w:ascii="Times New Roman" w:hAnsi="Times New Roman" w:eastAsia="PMingLiU"/>
          <w:sz w:val="22"/>
          <w:lang w:eastAsia="zh-CN"/>
        </w:rPr>
        <w:t>至山東產權交易中心（｢</w:t>
      </w:r>
      <w:r>
        <w:rPr>
          <w:rFonts w:ascii="Times New Roman" w:hAnsi="Times New Roman" w:eastAsia="PMingLiU"/>
          <w:b/>
          <w:sz w:val="22"/>
          <w:lang w:eastAsia="zh-CN"/>
        </w:rPr>
        <w:t>山東產權交易中心</w:t>
      </w:r>
      <w:r>
        <w:rPr>
          <w:rFonts w:ascii="Times New Roman" w:hAnsi="Times New Roman" w:eastAsia="PMingLiU"/>
          <w:sz w:val="22"/>
          <w:lang w:eastAsia="zh-CN"/>
        </w:rPr>
        <w:t>｣）進行公開競</w:t>
      </w:r>
      <w:r>
        <w:rPr>
          <w:rFonts w:hint="eastAsia" w:ascii="Times New Roman" w:hAnsi="Times New Roman" w:eastAsia="PMingLiU"/>
          <w:sz w:val="22"/>
          <w:lang/>
        </w:rPr>
        <w:t>標</w:t>
      </w:r>
      <w:r>
        <w:rPr>
          <w:rFonts w:ascii="Times New Roman" w:hAnsi="Times New Roman" w:eastAsia="PMingLiU"/>
          <w:sz w:val="22"/>
          <w:lang w:eastAsia="zh-CN"/>
        </w:rPr>
        <w:t>（統稱｢</w:t>
      </w:r>
      <w:r>
        <w:rPr>
          <w:rFonts w:ascii="Times New Roman" w:hAnsi="Times New Roman" w:eastAsia="PMingLiU"/>
          <w:b/>
          <w:sz w:val="22"/>
          <w:lang w:eastAsia="zh-CN"/>
        </w:rPr>
        <w:t>競</w:t>
      </w:r>
      <w:r>
        <w:rPr>
          <w:rFonts w:hint="eastAsia" w:ascii="Times New Roman" w:hAnsi="Times New Roman" w:eastAsia="PMingLiU"/>
          <w:b/>
          <w:sz w:val="22"/>
          <w:lang w:eastAsia="zh-CN"/>
        </w:rPr>
        <w:t>標</w:t>
      </w:r>
      <w:r>
        <w:rPr>
          <w:rFonts w:ascii="Times New Roman" w:hAnsi="Times New Roman" w:eastAsia="PMingLiU"/>
          <w:sz w:val="22"/>
          <w:lang w:eastAsia="zh-CN"/>
        </w:rPr>
        <w:t>｣）。</w:t>
      </w:r>
    </w:p>
    <w:p>
      <w:pPr>
        <w:pStyle w:val="4"/>
        <w:snapToGrid w:val="0"/>
        <w:jc w:val="both"/>
        <w:rPr>
          <w:rFonts w:ascii="Times New Roman" w:hAnsi="Times New Roman" w:eastAsia="PMingLiU"/>
          <w:sz w:val="22"/>
        </w:rPr>
      </w:pPr>
    </w:p>
    <w:p>
      <w:pPr>
        <w:pStyle w:val="4"/>
        <w:snapToGrid w:val="0"/>
        <w:jc w:val="both"/>
        <w:rPr>
          <w:rFonts w:ascii="Times New Roman" w:hAnsi="Times New Roman" w:eastAsia="PMingLiU"/>
          <w:sz w:val="22"/>
          <w:lang w:eastAsia="zh-CN"/>
        </w:rPr>
      </w:pPr>
      <w:r>
        <w:rPr>
          <w:rFonts w:ascii="Times New Roman" w:hAnsi="Times New Roman" w:eastAsia="PMingLiU"/>
          <w:sz w:val="22"/>
          <w:lang w:eastAsia="zh-CN"/>
        </w:rPr>
        <w:t>據本公司所知：</w:t>
      </w:r>
    </w:p>
    <w:p>
      <w:pPr>
        <w:pStyle w:val="4"/>
        <w:snapToGrid w:val="0"/>
        <w:jc w:val="both"/>
        <w:rPr>
          <w:rFonts w:ascii="Times New Roman" w:hAnsi="Times New Roman" w:eastAsia="PMingLiU"/>
          <w:sz w:val="22"/>
        </w:rPr>
      </w:pPr>
    </w:p>
    <w:p>
      <w:pPr>
        <w:pStyle w:val="4"/>
        <w:numPr>
          <w:ilvl w:val="0"/>
          <w:numId w:val="1"/>
        </w:numPr>
        <w:snapToGrid w:val="0"/>
        <w:jc w:val="both"/>
        <w:rPr>
          <w:rFonts w:ascii="Times New Roman" w:hAnsi="Times New Roman" w:eastAsia="PMingLiU"/>
          <w:sz w:val="22"/>
        </w:rPr>
      </w:pPr>
      <w:r>
        <w:rPr>
          <w:rFonts w:ascii="Times New Roman" w:hAnsi="Times New Roman" w:eastAsia="PMingLiU"/>
          <w:sz w:val="22"/>
          <w:lang w:eastAsia="zh-CN"/>
        </w:rPr>
        <w:t>萬博權益及新達權益於競</w:t>
      </w:r>
      <w:r>
        <w:rPr>
          <w:rFonts w:hint="eastAsia" w:ascii="Times New Roman" w:hAnsi="Times New Roman" w:eastAsia="PMingLiU"/>
          <w:sz w:val="22"/>
          <w:lang/>
        </w:rPr>
        <w:t>標</w:t>
      </w:r>
      <w:r>
        <w:rPr>
          <w:rFonts w:ascii="Times New Roman" w:hAnsi="Times New Roman" w:eastAsia="PMingLiU"/>
          <w:sz w:val="22"/>
          <w:lang w:eastAsia="zh-CN"/>
        </w:rPr>
        <w:t>之起</w:t>
      </w:r>
      <w:r>
        <w:rPr>
          <w:rFonts w:hint="eastAsia" w:ascii="Times New Roman" w:hAnsi="Times New Roman" w:eastAsia="PMingLiU"/>
          <w:sz w:val="22"/>
          <w:lang/>
        </w:rPr>
        <w:t>始掛牌</w:t>
      </w:r>
      <w:r>
        <w:rPr>
          <w:rFonts w:ascii="Times New Roman" w:hAnsi="Times New Roman" w:eastAsia="PMingLiU"/>
          <w:sz w:val="22"/>
          <w:lang w:eastAsia="zh-CN"/>
        </w:rPr>
        <w:t>價（｢</w:t>
      </w:r>
      <w:r>
        <w:rPr>
          <w:rFonts w:hint="eastAsia" w:ascii="Times New Roman" w:hAnsi="Times New Roman" w:eastAsia="PMingLiU"/>
          <w:b/>
          <w:sz w:val="22"/>
          <w:lang w:eastAsia="zh-CN"/>
        </w:rPr>
        <w:t>掛牌</w:t>
      </w:r>
      <w:r>
        <w:rPr>
          <w:rFonts w:ascii="Times New Roman" w:hAnsi="Times New Roman" w:eastAsia="PMingLiU"/>
          <w:b/>
          <w:sz w:val="22"/>
          <w:lang w:eastAsia="zh-CN"/>
        </w:rPr>
        <w:t>價</w:t>
      </w:r>
      <w:r>
        <w:rPr>
          <w:rFonts w:ascii="Times New Roman" w:hAnsi="Times New Roman" w:eastAsia="PMingLiU"/>
          <w:sz w:val="22"/>
          <w:lang w:eastAsia="zh-CN"/>
        </w:rPr>
        <w:t>｣）分別為人民幣（｢</w:t>
      </w:r>
      <w:r>
        <w:rPr>
          <w:rFonts w:ascii="Times New Roman" w:hAnsi="Times New Roman" w:eastAsia="PMingLiU"/>
          <w:b/>
          <w:sz w:val="22"/>
          <w:lang w:eastAsia="zh-CN"/>
        </w:rPr>
        <w:t>人民幣</w:t>
      </w:r>
      <w:r>
        <w:rPr>
          <w:rFonts w:ascii="Times New Roman" w:hAnsi="Times New Roman" w:eastAsia="PMingLiU"/>
          <w:sz w:val="22"/>
          <w:lang w:eastAsia="zh-CN"/>
        </w:rPr>
        <w:t>｣）19,582,300元及人民幣70,673,800元；</w:t>
      </w:r>
    </w:p>
    <w:p>
      <w:pPr>
        <w:pStyle w:val="4"/>
        <w:snapToGrid w:val="0"/>
        <w:ind w:left="360"/>
        <w:jc w:val="both"/>
        <w:rPr>
          <w:rFonts w:ascii="Times New Roman" w:hAnsi="Times New Roman" w:eastAsia="PMingLiU"/>
          <w:sz w:val="22"/>
        </w:rPr>
      </w:pPr>
    </w:p>
    <w:p>
      <w:pPr>
        <w:pStyle w:val="4"/>
        <w:numPr>
          <w:ilvl w:val="0"/>
          <w:numId w:val="1"/>
        </w:numPr>
        <w:snapToGrid w:val="0"/>
        <w:jc w:val="both"/>
        <w:rPr>
          <w:rFonts w:ascii="Times New Roman" w:hAnsi="Times New Roman" w:eastAsia="PMingLiU"/>
          <w:sz w:val="22"/>
        </w:rPr>
      </w:pPr>
      <w:r>
        <w:rPr>
          <w:rFonts w:ascii="Times New Roman" w:hAnsi="Times New Roman" w:eastAsia="PMingLiU"/>
          <w:sz w:val="22"/>
        </w:rPr>
        <w:t>萬博化工</w:t>
      </w:r>
      <w:r>
        <w:rPr>
          <w:rFonts w:ascii="Times New Roman" w:hAnsi="Times New Roman" w:eastAsia="PMingLiU"/>
          <w:sz w:val="22"/>
          <w:lang w:eastAsia="zh-CN"/>
        </w:rPr>
        <w:t>的主營業務包括生產及銷售硫酸二甲酯、異丁基苯、硫酸（硫酸二甲酯副產）、二氮雜二環、四甲基胍等化學產品以及銷售化工原料；</w:t>
      </w:r>
      <w:r>
        <w:rPr>
          <w:rFonts w:ascii="Times New Roman" w:hAnsi="Times New Roman" w:eastAsia="PMingLiU"/>
          <w:sz w:val="22"/>
        </w:rPr>
        <w:t xml:space="preserve"> </w:t>
      </w:r>
    </w:p>
    <w:p>
      <w:pPr>
        <w:pStyle w:val="15"/>
        <w:rPr>
          <w:sz w:val="22"/>
        </w:rPr>
      </w:pPr>
    </w:p>
    <w:p>
      <w:pPr>
        <w:pStyle w:val="4"/>
        <w:numPr>
          <w:ilvl w:val="0"/>
          <w:numId w:val="1"/>
        </w:numPr>
        <w:snapToGrid w:val="0"/>
        <w:jc w:val="both"/>
        <w:rPr>
          <w:rFonts w:ascii="Times New Roman" w:hAnsi="Times New Roman" w:eastAsia="PMingLiU"/>
          <w:sz w:val="22"/>
          <w:lang w:eastAsia="zh-CN"/>
        </w:rPr>
      </w:pPr>
      <w:r>
        <w:rPr>
          <w:rFonts w:ascii="Times New Roman" w:hAnsi="Times New Roman" w:eastAsia="PMingLiU"/>
          <w:sz w:val="22"/>
        </w:rPr>
        <w:t>新達製藥</w:t>
      </w:r>
      <w:r>
        <w:rPr>
          <w:rFonts w:ascii="Times New Roman" w:hAnsi="Times New Roman" w:eastAsia="PMingLiU"/>
          <w:sz w:val="22"/>
          <w:lang w:eastAsia="zh-CN"/>
        </w:rPr>
        <w:t>的主營業務包括生產及銷售片劑、硬膠囊劑、顆粒劑、</w:t>
      </w:r>
      <w:r>
        <w:rPr>
          <w:rFonts w:hint="eastAsia" w:ascii="Times New Roman" w:hAnsi="Times New Roman" w:eastAsia="PMingLiU"/>
          <w:sz w:val="22"/>
          <w:lang w:eastAsia="zh-CN"/>
        </w:rPr>
        <w:t>乾混懸劑、原料藥及凍乾粉針劑；</w:t>
      </w:r>
    </w:p>
    <w:p>
      <w:pPr>
        <w:pStyle w:val="4"/>
        <w:snapToGrid w:val="0"/>
        <w:ind w:left="360"/>
        <w:jc w:val="both"/>
        <w:rPr>
          <w:rFonts w:ascii="Times New Roman" w:hAnsi="Times New Roman" w:eastAsia="PMingLiU"/>
          <w:sz w:val="22"/>
        </w:rPr>
      </w:pPr>
    </w:p>
    <w:p>
      <w:pPr>
        <w:pStyle w:val="4"/>
        <w:snapToGrid w:val="0"/>
        <w:jc w:val="both"/>
        <w:rPr>
          <w:rFonts w:ascii="Times New Roman" w:hAnsi="Times New Roman" w:eastAsia="PMingLiU"/>
          <w:sz w:val="22"/>
          <w:lang w:eastAsia="zh-CN"/>
        </w:rPr>
      </w:pPr>
      <w:r>
        <w:rPr>
          <w:rFonts w:ascii="Times New Roman" w:hAnsi="Times New Roman" w:eastAsia="PMingLiU"/>
          <w:sz w:val="22"/>
          <w:lang w:eastAsia="zh-CN"/>
        </w:rPr>
        <w:t>(4) 根據</w:t>
      </w:r>
      <w:r>
        <w:rPr>
          <w:rFonts w:ascii="Times New Roman" w:hAnsi="Times New Roman" w:eastAsia="PMingLiU"/>
          <w:sz w:val="22"/>
        </w:rPr>
        <w:t>萬博化工</w:t>
      </w:r>
      <w:r>
        <w:rPr>
          <w:rFonts w:ascii="Times New Roman" w:hAnsi="Times New Roman" w:eastAsia="PMingLiU"/>
          <w:sz w:val="22"/>
          <w:lang w:eastAsia="zh-CN"/>
        </w:rPr>
        <w:t>的審計報告，</w:t>
      </w:r>
      <w:r>
        <w:rPr>
          <w:rFonts w:ascii="Times New Roman" w:hAnsi="Times New Roman" w:eastAsia="PMingLiU"/>
          <w:sz w:val="22"/>
        </w:rPr>
        <w:t>萬博化工</w:t>
      </w:r>
      <w:r>
        <w:rPr>
          <w:rFonts w:ascii="Times New Roman" w:hAnsi="Times New Roman" w:eastAsia="PMingLiU"/>
          <w:sz w:val="22"/>
          <w:lang w:eastAsia="zh-CN"/>
        </w:rPr>
        <w:t>經審核財務數據如下：</w:t>
      </w:r>
    </w:p>
    <w:p>
      <w:pPr>
        <w:pStyle w:val="4"/>
        <w:snapToGrid w:val="0"/>
        <w:ind w:left="360"/>
        <w:jc w:val="both"/>
        <w:rPr>
          <w:rFonts w:ascii="Times New Roman" w:hAnsi="Times New Roman" w:eastAsia="PMingLiU"/>
          <w:sz w:val="22"/>
        </w:rPr>
      </w:pPr>
    </w:p>
    <w:p>
      <w:pPr>
        <w:pStyle w:val="4"/>
        <w:snapToGrid w:val="0"/>
        <w:jc w:val="both"/>
        <w:rPr>
          <w:rFonts w:ascii="Times New Roman" w:hAnsi="Times New Roman" w:eastAsia="PMingLiU"/>
          <w:i/>
          <w:sz w:val="22"/>
          <w:lang w:eastAsia="zh-CN"/>
        </w:rPr>
      </w:pPr>
      <w:r>
        <w:rPr>
          <w:rFonts w:ascii="Times New Roman" w:hAnsi="Times New Roman" w:eastAsia="PMingLiU"/>
          <w:i/>
          <w:sz w:val="22"/>
          <w:lang w:eastAsia="zh-CN"/>
        </w:rPr>
        <w:t>（約整至人民幣萬元）</w:t>
      </w:r>
    </w:p>
    <w:p>
      <w:pPr>
        <w:pStyle w:val="4"/>
        <w:snapToGrid w:val="0"/>
        <w:jc w:val="both"/>
        <w:rPr>
          <w:rFonts w:ascii="Times New Roman" w:hAnsi="Times New Roman" w:eastAsia="PMingLiU"/>
          <w:i/>
          <w:sz w:val="22"/>
        </w:rPr>
      </w:pPr>
    </w:p>
    <w:tbl>
      <w:tblPr>
        <w:tblW w:w="98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34"/>
        <w:gridCol w:w="1176"/>
        <w:gridCol w:w="1170"/>
        <w:gridCol w:w="1200"/>
        <w:gridCol w:w="1165"/>
        <w:gridCol w:w="1162"/>
        <w:gridCol w:w="1006"/>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913" w:hRule="atLeast"/>
        </w:trPr>
        <w:tc>
          <w:tcPr>
            <w:tcW w:w="1434" w:type="dxa"/>
            <w:tcBorders>
              <w:tl2br w:val="single" w:color="auto" w:sz="4" w:space="0"/>
            </w:tcBorders>
            <w:vAlign w:val="top"/>
          </w:tcPr>
          <w:p>
            <w:pPr>
              <w:pStyle w:val="8"/>
              <w:tabs>
                <w:tab w:val="left" w:pos="615"/>
              </w:tabs>
              <w:spacing w:before="120" w:line="360" w:lineRule="exact"/>
              <w:ind w:left="570" w:hanging="90" w:hangingChars="50"/>
              <w:jc w:val="center"/>
              <w:rPr>
                <w:rFonts w:eastAsia="PMingLiU"/>
                <w:sz w:val="18"/>
                <w:szCs w:val="18"/>
              </w:rPr>
            </w:pPr>
          </w:p>
          <w:p>
            <w:pPr>
              <w:pStyle w:val="8"/>
              <w:tabs>
                <w:tab w:val="left" w:pos="615"/>
              </w:tabs>
              <w:spacing w:before="120" w:line="360" w:lineRule="exact"/>
              <w:ind w:left="480"/>
              <w:jc w:val="center"/>
              <w:rPr>
                <w:rFonts w:eastAsia="PMingLiU"/>
                <w:sz w:val="18"/>
                <w:szCs w:val="18"/>
              </w:rPr>
            </w:pPr>
            <w:r>
              <w:rPr>
                <w:rFonts w:eastAsia="PMingLiU"/>
                <w:sz w:val="18"/>
                <w:szCs w:val="18"/>
              </w:rPr>
              <w:t>項目</w:t>
            </w:r>
          </w:p>
          <w:p>
            <w:pPr>
              <w:pStyle w:val="8"/>
              <w:tabs>
                <w:tab w:val="left" w:pos="615"/>
              </w:tabs>
              <w:spacing w:before="120" w:line="360" w:lineRule="exact"/>
              <w:ind w:left="480"/>
              <w:jc w:val="center"/>
              <w:rPr>
                <w:rFonts w:eastAsia="PMingLiU"/>
                <w:sz w:val="18"/>
                <w:szCs w:val="18"/>
              </w:rPr>
            </w:pPr>
          </w:p>
          <w:p>
            <w:pPr>
              <w:jc w:val="center"/>
            </w:pPr>
          </w:p>
          <w:p>
            <w:pPr>
              <w:jc w:val="center"/>
            </w:pPr>
          </w:p>
          <w:p>
            <w:pPr>
              <w:jc w:val="center"/>
            </w:pPr>
          </w:p>
          <w:p>
            <w:pPr>
              <w:jc w:val="center"/>
              <w:rPr>
                <w:lang w:eastAsia="zh-CN"/>
              </w:rPr>
            </w:pPr>
            <w:r>
              <w:rPr>
                <w:sz w:val="18"/>
                <w:szCs w:val="18"/>
                <w:lang w:eastAsia="zh-CN"/>
              </w:rPr>
              <w:t>期間</w:t>
            </w:r>
          </w:p>
        </w:tc>
        <w:tc>
          <w:tcPr>
            <w:tcW w:w="1176" w:type="dxa"/>
            <w:vAlign w:val="top"/>
          </w:tcPr>
          <w:p>
            <w:pPr>
              <w:pStyle w:val="8"/>
              <w:spacing w:before="120" w:line="360" w:lineRule="exact"/>
              <w:ind w:left="-10" w:leftChars="-4"/>
              <w:jc w:val="center"/>
              <w:rPr>
                <w:rFonts w:eastAsia="PMingLiU"/>
                <w:sz w:val="18"/>
                <w:szCs w:val="18"/>
              </w:rPr>
            </w:pPr>
            <w:r>
              <w:rPr>
                <w:rFonts w:eastAsia="PMingLiU"/>
                <w:sz w:val="18"/>
                <w:szCs w:val="18"/>
              </w:rPr>
              <w:t>總資產</w:t>
            </w:r>
          </w:p>
        </w:tc>
        <w:tc>
          <w:tcPr>
            <w:tcW w:w="1170" w:type="dxa"/>
            <w:vAlign w:val="top"/>
          </w:tcPr>
          <w:p>
            <w:pPr>
              <w:pStyle w:val="8"/>
              <w:spacing w:before="120" w:line="360" w:lineRule="exact"/>
              <w:ind w:left="-10" w:leftChars="-4"/>
              <w:jc w:val="center"/>
              <w:rPr>
                <w:rFonts w:eastAsia="PMingLiU"/>
                <w:sz w:val="18"/>
                <w:szCs w:val="18"/>
              </w:rPr>
            </w:pPr>
            <w:r>
              <w:rPr>
                <w:rFonts w:eastAsia="PMingLiU"/>
                <w:sz w:val="18"/>
                <w:szCs w:val="18"/>
              </w:rPr>
              <w:t>總負債</w:t>
            </w:r>
          </w:p>
        </w:tc>
        <w:tc>
          <w:tcPr>
            <w:tcW w:w="1200" w:type="dxa"/>
            <w:vAlign w:val="top"/>
          </w:tcPr>
          <w:p>
            <w:pPr>
              <w:pStyle w:val="8"/>
              <w:spacing w:before="120" w:line="360" w:lineRule="exact"/>
              <w:ind w:left="-10" w:leftChars="-4"/>
              <w:jc w:val="center"/>
              <w:rPr>
                <w:rFonts w:eastAsia="PMingLiU"/>
                <w:sz w:val="18"/>
                <w:szCs w:val="18"/>
              </w:rPr>
            </w:pPr>
            <w:r>
              <w:rPr>
                <w:rFonts w:eastAsia="PMingLiU"/>
                <w:sz w:val="18"/>
                <w:szCs w:val="18"/>
              </w:rPr>
              <w:t>所有者權益</w:t>
            </w:r>
          </w:p>
        </w:tc>
        <w:tc>
          <w:tcPr>
            <w:tcW w:w="1165" w:type="dxa"/>
            <w:vAlign w:val="top"/>
          </w:tcPr>
          <w:p>
            <w:pPr>
              <w:pStyle w:val="8"/>
              <w:spacing w:before="120" w:line="360" w:lineRule="exact"/>
              <w:ind w:left="-10" w:leftChars="-4"/>
              <w:jc w:val="center"/>
              <w:rPr>
                <w:rFonts w:eastAsia="PMingLiU"/>
                <w:sz w:val="18"/>
                <w:szCs w:val="18"/>
              </w:rPr>
            </w:pPr>
            <w:r>
              <w:rPr>
                <w:rFonts w:eastAsia="PMingLiU"/>
                <w:sz w:val="18"/>
                <w:szCs w:val="18"/>
              </w:rPr>
              <w:t>營業收入</w:t>
            </w:r>
          </w:p>
        </w:tc>
        <w:tc>
          <w:tcPr>
            <w:tcW w:w="1162" w:type="dxa"/>
            <w:vAlign w:val="top"/>
          </w:tcPr>
          <w:p>
            <w:pPr>
              <w:pStyle w:val="8"/>
              <w:spacing w:before="120" w:line="360" w:lineRule="exact"/>
              <w:ind w:left="-10" w:leftChars="-4"/>
              <w:jc w:val="center"/>
              <w:rPr>
                <w:rFonts w:eastAsia="PMingLiU"/>
                <w:sz w:val="18"/>
                <w:szCs w:val="18"/>
              </w:rPr>
            </w:pPr>
            <w:r>
              <w:rPr>
                <w:rFonts w:eastAsia="PMingLiU"/>
                <w:sz w:val="18"/>
                <w:szCs w:val="18"/>
              </w:rPr>
              <w:t>營業利潤</w:t>
            </w:r>
          </w:p>
        </w:tc>
        <w:tc>
          <w:tcPr>
            <w:tcW w:w="1006" w:type="dxa"/>
            <w:vAlign w:val="top"/>
          </w:tcPr>
          <w:p>
            <w:pPr>
              <w:pStyle w:val="8"/>
              <w:spacing w:before="120" w:line="360" w:lineRule="exact"/>
              <w:ind w:left="-10" w:leftChars="-4"/>
              <w:jc w:val="center"/>
              <w:rPr>
                <w:rFonts w:eastAsia="PMingLiU"/>
                <w:sz w:val="18"/>
                <w:szCs w:val="18"/>
              </w:rPr>
            </w:pPr>
            <w:r>
              <w:rPr>
                <w:rFonts w:eastAsia="PMingLiU"/>
                <w:sz w:val="18"/>
                <w:szCs w:val="18"/>
              </w:rPr>
              <w:t>淨利潤</w:t>
            </w:r>
          </w:p>
        </w:tc>
        <w:tc>
          <w:tcPr>
            <w:tcW w:w="1497" w:type="dxa"/>
            <w:vAlign w:val="top"/>
          </w:tcPr>
          <w:p>
            <w:pPr>
              <w:pStyle w:val="8"/>
              <w:spacing w:before="120" w:line="360" w:lineRule="exact"/>
              <w:ind w:left="-10" w:leftChars="-4"/>
              <w:jc w:val="center"/>
              <w:rPr>
                <w:rFonts w:eastAsia="PMingLiU"/>
                <w:sz w:val="18"/>
                <w:szCs w:val="18"/>
              </w:rPr>
            </w:pPr>
            <w:r>
              <w:rPr>
                <w:rFonts w:eastAsia="PMingLiU"/>
                <w:sz w:val="18"/>
                <w:szCs w:val="18"/>
              </w:rPr>
              <w:t>經營活動產生的現金流量淨額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34" w:type="dxa"/>
            <w:vAlign w:val="top"/>
          </w:tcPr>
          <w:p>
            <w:pPr>
              <w:pStyle w:val="8"/>
              <w:spacing w:before="120" w:line="360" w:lineRule="exact"/>
              <w:ind w:left="0" w:leftChars="0"/>
              <w:jc w:val="left"/>
              <w:rPr>
                <w:rFonts w:eastAsia="PMingLiU"/>
                <w:sz w:val="18"/>
                <w:szCs w:val="18"/>
              </w:rPr>
            </w:pPr>
            <w:r>
              <w:rPr>
                <w:rFonts w:eastAsia="PMingLiU"/>
                <w:sz w:val="18"/>
                <w:szCs w:val="18"/>
              </w:rPr>
              <w:t>截至2015年12月31日止年度</w:t>
            </w:r>
          </w:p>
        </w:tc>
        <w:tc>
          <w:tcPr>
            <w:tcW w:w="1176" w:type="dxa"/>
            <w:vAlign w:val="top"/>
          </w:tcPr>
          <w:p>
            <w:pPr>
              <w:pStyle w:val="8"/>
              <w:spacing w:before="120" w:line="360" w:lineRule="exact"/>
              <w:ind w:left="0" w:leftChars="0"/>
              <w:jc w:val="right"/>
              <w:rPr>
                <w:rFonts w:eastAsia="PMingLiU"/>
                <w:sz w:val="18"/>
                <w:szCs w:val="18"/>
              </w:rPr>
            </w:pPr>
            <w:r>
              <w:rPr>
                <w:rFonts w:eastAsia="PMingLiU"/>
                <w:sz w:val="18"/>
                <w:szCs w:val="18"/>
              </w:rPr>
              <w:t>4,991</w:t>
            </w:r>
          </w:p>
        </w:tc>
        <w:tc>
          <w:tcPr>
            <w:tcW w:w="1170" w:type="dxa"/>
            <w:vAlign w:val="top"/>
          </w:tcPr>
          <w:p>
            <w:pPr>
              <w:pStyle w:val="8"/>
              <w:spacing w:before="120" w:line="360" w:lineRule="exact"/>
              <w:ind w:left="0" w:leftChars="0"/>
              <w:jc w:val="right"/>
              <w:rPr>
                <w:rFonts w:eastAsia="PMingLiU"/>
                <w:sz w:val="18"/>
                <w:szCs w:val="18"/>
              </w:rPr>
            </w:pPr>
            <w:r>
              <w:rPr>
                <w:rFonts w:eastAsia="PMingLiU"/>
                <w:sz w:val="18"/>
                <w:szCs w:val="18"/>
              </w:rPr>
              <w:t>4,542</w:t>
            </w:r>
          </w:p>
        </w:tc>
        <w:tc>
          <w:tcPr>
            <w:tcW w:w="1200" w:type="dxa"/>
            <w:vAlign w:val="top"/>
          </w:tcPr>
          <w:p>
            <w:pPr>
              <w:pStyle w:val="8"/>
              <w:spacing w:before="120" w:line="360" w:lineRule="exact"/>
              <w:ind w:left="0" w:leftChars="0"/>
              <w:jc w:val="right"/>
              <w:rPr>
                <w:rFonts w:eastAsia="PMingLiU"/>
                <w:sz w:val="18"/>
                <w:szCs w:val="18"/>
              </w:rPr>
            </w:pPr>
            <w:r>
              <w:rPr>
                <w:rFonts w:eastAsia="PMingLiU"/>
                <w:sz w:val="18"/>
                <w:szCs w:val="18"/>
              </w:rPr>
              <w:t>449</w:t>
            </w:r>
          </w:p>
        </w:tc>
        <w:tc>
          <w:tcPr>
            <w:tcW w:w="1165" w:type="dxa"/>
            <w:vAlign w:val="top"/>
          </w:tcPr>
          <w:p>
            <w:pPr>
              <w:pStyle w:val="8"/>
              <w:spacing w:before="120" w:line="360" w:lineRule="exact"/>
              <w:ind w:left="0" w:leftChars="0"/>
              <w:jc w:val="right"/>
              <w:rPr>
                <w:rFonts w:eastAsia="PMingLiU"/>
                <w:sz w:val="18"/>
                <w:szCs w:val="18"/>
              </w:rPr>
            </w:pPr>
            <w:r>
              <w:rPr>
                <w:rFonts w:eastAsia="PMingLiU"/>
                <w:sz w:val="18"/>
                <w:szCs w:val="18"/>
              </w:rPr>
              <w:t>7,006</w:t>
            </w:r>
          </w:p>
        </w:tc>
        <w:tc>
          <w:tcPr>
            <w:tcW w:w="1162" w:type="dxa"/>
            <w:vAlign w:val="top"/>
          </w:tcPr>
          <w:p>
            <w:pPr>
              <w:pStyle w:val="8"/>
              <w:spacing w:before="120" w:line="360" w:lineRule="exact"/>
              <w:ind w:left="0" w:leftChars="0"/>
              <w:jc w:val="right"/>
              <w:rPr>
                <w:rFonts w:eastAsia="PMingLiU"/>
                <w:sz w:val="18"/>
                <w:szCs w:val="18"/>
              </w:rPr>
            </w:pPr>
            <w:r>
              <w:rPr>
                <w:rFonts w:eastAsia="PMingLiU"/>
                <w:sz w:val="18"/>
                <w:szCs w:val="18"/>
              </w:rPr>
              <w:t>216</w:t>
            </w:r>
          </w:p>
        </w:tc>
        <w:tc>
          <w:tcPr>
            <w:tcW w:w="1006" w:type="dxa"/>
            <w:vAlign w:val="top"/>
          </w:tcPr>
          <w:p>
            <w:pPr>
              <w:pStyle w:val="8"/>
              <w:spacing w:before="120" w:line="360" w:lineRule="exact"/>
              <w:ind w:left="0" w:leftChars="0"/>
              <w:jc w:val="right"/>
              <w:rPr>
                <w:rFonts w:eastAsia="PMingLiU"/>
                <w:sz w:val="18"/>
                <w:szCs w:val="18"/>
              </w:rPr>
            </w:pPr>
            <w:r>
              <w:rPr>
                <w:rFonts w:eastAsia="PMingLiU"/>
                <w:sz w:val="18"/>
                <w:szCs w:val="18"/>
              </w:rPr>
              <w:t>385</w:t>
            </w:r>
          </w:p>
        </w:tc>
        <w:tc>
          <w:tcPr>
            <w:tcW w:w="1497" w:type="dxa"/>
            <w:vAlign w:val="top"/>
          </w:tcPr>
          <w:p>
            <w:pPr>
              <w:pStyle w:val="8"/>
              <w:spacing w:before="120" w:line="360" w:lineRule="exact"/>
              <w:ind w:left="0" w:leftChars="0"/>
              <w:jc w:val="right"/>
              <w:rPr>
                <w:rFonts w:eastAsia="PMingLiU"/>
                <w:sz w:val="18"/>
                <w:szCs w:val="18"/>
              </w:rPr>
            </w:pPr>
            <w:r>
              <w:rPr>
                <w:rFonts w:eastAsia="PMingLiU"/>
                <w:sz w:val="18"/>
                <w:szCs w:val="18"/>
              </w:rPr>
              <w:t>-286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34" w:type="dxa"/>
            <w:vAlign w:val="top"/>
          </w:tcPr>
          <w:p>
            <w:pPr>
              <w:pStyle w:val="8"/>
              <w:spacing w:before="120" w:line="360" w:lineRule="exact"/>
              <w:ind w:left="0" w:leftChars="0"/>
              <w:jc w:val="left"/>
              <w:rPr>
                <w:rFonts w:eastAsia="PMingLiU"/>
                <w:sz w:val="18"/>
                <w:szCs w:val="18"/>
              </w:rPr>
            </w:pPr>
            <w:r>
              <w:rPr>
                <w:rFonts w:eastAsia="PMingLiU"/>
                <w:sz w:val="18"/>
                <w:szCs w:val="18"/>
              </w:rPr>
              <w:t>截至2016年12月31日止年度</w:t>
            </w:r>
          </w:p>
        </w:tc>
        <w:tc>
          <w:tcPr>
            <w:tcW w:w="1176" w:type="dxa"/>
            <w:vAlign w:val="top"/>
          </w:tcPr>
          <w:p>
            <w:pPr>
              <w:pStyle w:val="8"/>
              <w:spacing w:before="120" w:line="360" w:lineRule="exact"/>
              <w:ind w:left="0" w:leftChars="0"/>
              <w:jc w:val="right"/>
              <w:rPr>
                <w:rFonts w:eastAsia="PMingLiU"/>
                <w:sz w:val="18"/>
                <w:szCs w:val="18"/>
              </w:rPr>
            </w:pPr>
            <w:r>
              <w:rPr>
                <w:rFonts w:eastAsia="PMingLiU"/>
                <w:sz w:val="18"/>
                <w:szCs w:val="18"/>
              </w:rPr>
              <w:t>5,607</w:t>
            </w:r>
          </w:p>
        </w:tc>
        <w:tc>
          <w:tcPr>
            <w:tcW w:w="1170" w:type="dxa"/>
            <w:vAlign w:val="top"/>
          </w:tcPr>
          <w:p>
            <w:pPr>
              <w:pStyle w:val="8"/>
              <w:spacing w:before="120" w:line="360" w:lineRule="exact"/>
              <w:ind w:left="0" w:leftChars="0"/>
              <w:jc w:val="right"/>
              <w:rPr>
                <w:rFonts w:eastAsia="PMingLiU"/>
                <w:sz w:val="18"/>
                <w:szCs w:val="18"/>
              </w:rPr>
            </w:pPr>
            <w:r>
              <w:rPr>
                <w:rFonts w:eastAsia="PMingLiU"/>
                <w:sz w:val="18"/>
                <w:szCs w:val="18"/>
              </w:rPr>
              <w:t>4,772</w:t>
            </w:r>
          </w:p>
        </w:tc>
        <w:tc>
          <w:tcPr>
            <w:tcW w:w="1200" w:type="dxa"/>
            <w:vAlign w:val="top"/>
          </w:tcPr>
          <w:p>
            <w:pPr>
              <w:pStyle w:val="8"/>
              <w:spacing w:before="120" w:line="360" w:lineRule="exact"/>
              <w:ind w:left="0" w:leftChars="0"/>
              <w:jc w:val="right"/>
              <w:rPr>
                <w:rFonts w:eastAsia="PMingLiU"/>
                <w:sz w:val="18"/>
                <w:szCs w:val="18"/>
              </w:rPr>
            </w:pPr>
            <w:r>
              <w:rPr>
                <w:rFonts w:eastAsia="PMingLiU"/>
                <w:sz w:val="18"/>
                <w:szCs w:val="18"/>
              </w:rPr>
              <w:t>834</w:t>
            </w:r>
          </w:p>
        </w:tc>
        <w:tc>
          <w:tcPr>
            <w:tcW w:w="1165" w:type="dxa"/>
            <w:vAlign w:val="top"/>
          </w:tcPr>
          <w:p>
            <w:pPr>
              <w:pStyle w:val="8"/>
              <w:spacing w:before="120" w:line="360" w:lineRule="exact"/>
              <w:ind w:left="0" w:leftChars="0"/>
              <w:jc w:val="right"/>
              <w:rPr>
                <w:rFonts w:eastAsia="PMingLiU"/>
                <w:sz w:val="18"/>
                <w:szCs w:val="18"/>
              </w:rPr>
            </w:pPr>
            <w:r>
              <w:rPr>
                <w:rFonts w:eastAsia="PMingLiU"/>
                <w:sz w:val="18"/>
                <w:szCs w:val="18"/>
              </w:rPr>
              <w:t>8,030</w:t>
            </w:r>
          </w:p>
        </w:tc>
        <w:tc>
          <w:tcPr>
            <w:tcW w:w="1162" w:type="dxa"/>
            <w:vAlign w:val="top"/>
          </w:tcPr>
          <w:p>
            <w:pPr>
              <w:pStyle w:val="8"/>
              <w:spacing w:before="120" w:line="360" w:lineRule="exact"/>
              <w:ind w:left="0" w:leftChars="0"/>
              <w:jc w:val="right"/>
              <w:rPr>
                <w:rFonts w:eastAsia="PMingLiU"/>
                <w:sz w:val="18"/>
                <w:szCs w:val="18"/>
              </w:rPr>
            </w:pPr>
            <w:r>
              <w:rPr>
                <w:rFonts w:eastAsia="PMingLiU"/>
                <w:sz w:val="18"/>
                <w:szCs w:val="18"/>
              </w:rPr>
              <w:t>227</w:t>
            </w:r>
          </w:p>
        </w:tc>
        <w:tc>
          <w:tcPr>
            <w:tcW w:w="1006" w:type="dxa"/>
            <w:vAlign w:val="top"/>
          </w:tcPr>
          <w:p>
            <w:pPr>
              <w:pStyle w:val="8"/>
              <w:spacing w:before="120" w:line="360" w:lineRule="exact"/>
              <w:ind w:left="0" w:leftChars="0"/>
              <w:jc w:val="right"/>
              <w:rPr>
                <w:rFonts w:eastAsia="PMingLiU"/>
                <w:sz w:val="18"/>
                <w:szCs w:val="18"/>
              </w:rPr>
            </w:pPr>
            <w:r>
              <w:rPr>
                <w:rFonts w:eastAsia="PMingLiU"/>
                <w:sz w:val="18"/>
                <w:szCs w:val="18"/>
              </w:rPr>
              <w:t>212</w:t>
            </w:r>
          </w:p>
        </w:tc>
        <w:tc>
          <w:tcPr>
            <w:tcW w:w="1497" w:type="dxa"/>
            <w:vAlign w:val="top"/>
          </w:tcPr>
          <w:p>
            <w:pPr>
              <w:pStyle w:val="8"/>
              <w:spacing w:before="120" w:line="360" w:lineRule="exact"/>
              <w:ind w:left="0" w:leftChars="0"/>
              <w:jc w:val="right"/>
              <w:rPr>
                <w:rFonts w:eastAsia="PMingLiU"/>
                <w:sz w:val="18"/>
                <w:szCs w:val="18"/>
              </w:rPr>
            </w:pPr>
            <w:r>
              <w:rPr>
                <w:rFonts w:eastAsia="PMingLiU"/>
                <w:sz w:val="18"/>
                <w:szCs w:val="18"/>
              </w:rPr>
              <w:t>1,249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34" w:type="dxa"/>
            <w:vAlign w:val="top"/>
          </w:tcPr>
          <w:p>
            <w:pPr>
              <w:pStyle w:val="8"/>
              <w:spacing w:before="120" w:line="360" w:lineRule="exact"/>
              <w:ind w:left="0" w:leftChars="0"/>
              <w:jc w:val="left"/>
              <w:rPr>
                <w:rFonts w:eastAsia="PMingLiU"/>
                <w:sz w:val="18"/>
                <w:szCs w:val="18"/>
              </w:rPr>
            </w:pPr>
            <w:r>
              <w:rPr>
                <w:rFonts w:eastAsia="PMingLiU"/>
                <w:sz w:val="18"/>
                <w:szCs w:val="18"/>
              </w:rPr>
              <w:t>截至2017年12月31日止年度</w:t>
            </w:r>
          </w:p>
        </w:tc>
        <w:tc>
          <w:tcPr>
            <w:tcW w:w="1176" w:type="dxa"/>
            <w:vAlign w:val="top"/>
          </w:tcPr>
          <w:p>
            <w:pPr>
              <w:pStyle w:val="8"/>
              <w:spacing w:before="120" w:line="360" w:lineRule="exact"/>
              <w:ind w:left="0" w:leftChars="0"/>
              <w:jc w:val="right"/>
              <w:rPr>
                <w:rFonts w:eastAsia="PMingLiU"/>
                <w:sz w:val="18"/>
                <w:szCs w:val="18"/>
              </w:rPr>
            </w:pPr>
            <w:r>
              <w:rPr>
                <w:rFonts w:eastAsia="PMingLiU"/>
                <w:sz w:val="18"/>
                <w:szCs w:val="18"/>
              </w:rPr>
              <w:t>5,992</w:t>
            </w:r>
          </w:p>
        </w:tc>
        <w:tc>
          <w:tcPr>
            <w:tcW w:w="1170" w:type="dxa"/>
            <w:vAlign w:val="top"/>
          </w:tcPr>
          <w:p>
            <w:pPr>
              <w:pStyle w:val="8"/>
              <w:spacing w:before="120" w:line="360" w:lineRule="exact"/>
              <w:ind w:left="0" w:leftChars="0"/>
              <w:jc w:val="right"/>
              <w:rPr>
                <w:rFonts w:eastAsia="PMingLiU"/>
                <w:sz w:val="18"/>
                <w:szCs w:val="18"/>
              </w:rPr>
            </w:pPr>
            <w:r>
              <w:rPr>
                <w:rFonts w:eastAsia="PMingLiU"/>
                <w:sz w:val="18"/>
                <w:szCs w:val="18"/>
              </w:rPr>
              <w:t>4,559</w:t>
            </w:r>
          </w:p>
        </w:tc>
        <w:tc>
          <w:tcPr>
            <w:tcW w:w="1200" w:type="dxa"/>
            <w:vAlign w:val="top"/>
          </w:tcPr>
          <w:p>
            <w:pPr>
              <w:pStyle w:val="8"/>
              <w:spacing w:before="120" w:line="360" w:lineRule="exact"/>
              <w:ind w:left="0" w:leftChars="0"/>
              <w:jc w:val="right"/>
              <w:rPr>
                <w:rFonts w:eastAsia="PMingLiU"/>
                <w:sz w:val="18"/>
                <w:szCs w:val="18"/>
              </w:rPr>
            </w:pPr>
            <w:r>
              <w:rPr>
                <w:rFonts w:eastAsia="PMingLiU"/>
                <w:sz w:val="18"/>
                <w:szCs w:val="18"/>
              </w:rPr>
              <w:t>1,434</w:t>
            </w:r>
          </w:p>
        </w:tc>
        <w:tc>
          <w:tcPr>
            <w:tcW w:w="1165" w:type="dxa"/>
            <w:vAlign w:val="top"/>
          </w:tcPr>
          <w:p>
            <w:pPr>
              <w:pStyle w:val="8"/>
              <w:spacing w:before="120" w:line="360" w:lineRule="exact"/>
              <w:ind w:left="0" w:leftChars="0"/>
              <w:jc w:val="right"/>
              <w:rPr>
                <w:rFonts w:eastAsia="PMingLiU"/>
                <w:sz w:val="18"/>
                <w:szCs w:val="18"/>
              </w:rPr>
            </w:pPr>
            <w:r>
              <w:rPr>
                <w:rFonts w:eastAsia="PMingLiU"/>
                <w:sz w:val="18"/>
                <w:szCs w:val="18"/>
              </w:rPr>
              <w:t>8,275</w:t>
            </w:r>
          </w:p>
        </w:tc>
        <w:tc>
          <w:tcPr>
            <w:tcW w:w="1162" w:type="dxa"/>
            <w:vAlign w:val="top"/>
          </w:tcPr>
          <w:p>
            <w:pPr>
              <w:pStyle w:val="8"/>
              <w:spacing w:before="120" w:line="360" w:lineRule="exact"/>
              <w:ind w:left="0" w:leftChars="0"/>
              <w:jc w:val="right"/>
              <w:rPr>
                <w:rFonts w:eastAsia="PMingLiU"/>
                <w:sz w:val="18"/>
                <w:szCs w:val="18"/>
              </w:rPr>
            </w:pPr>
            <w:r>
              <w:rPr>
                <w:rFonts w:eastAsia="PMingLiU"/>
                <w:sz w:val="18"/>
                <w:szCs w:val="18"/>
              </w:rPr>
              <w:t>647</w:t>
            </w:r>
          </w:p>
        </w:tc>
        <w:tc>
          <w:tcPr>
            <w:tcW w:w="1006" w:type="dxa"/>
            <w:vAlign w:val="top"/>
          </w:tcPr>
          <w:p>
            <w:pPr>
              <w:pStyle w:val="8"/>
              <w:spacing w:before="120" w:line="360" w:lineRule="exact"/>
              <w:ind w:left="0" w:leftChars="0"/>
              <w:jc w:val="right"/>
              <w:rPr>
                <w:rFonts w:eastAsia="PMingLiU"/>
                <w:sz w:val="18"/>
                <w:szCs w:val="18"/>
              </w:rPr>
            </w:pPr>
            <w:r>
              <w:rPr>
                <w:rFonts w:eastAsia="PMingLiU"/>
                <w:sz w:val="18"/>
                <w:szCs w:val="18"/>
              </w:rPr>
              <w:t>447</w:t>
            </w:r>
          </w:p>
        </w:tc>
        <w:tc>
          <w:tcPr>
            <w:tcW w:w="1497" w:type="dxa"/>
            <w:vAlign w:val="top"/>
          </w:tcPr>
          <w:p>
            <w:pPr>
              <w:pStyle w:val="8"/>
              <w:spacing w:before="120" w:line="360" w:lineRule="exact"/>
              <w:ind w:left="0" w:leftChars="0"/>
              <w:jc w:val="right"/>
              <w:rPr>
                <w:rFonts w:eastAsia="PMingLiU"/>
                <w:sz w:val="18"/>
                <w:szCs w:val="18"/>
              </w:rPr>
            </w:pPr>
            <w:r>
              <w:rPr>
                <w:rFonts w:eastAsia="PMingLiU"/>
                <w:sz w:val="18"/>
                <w:szCs w:val="18"/>
              </w:rPr>
              <w:t>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34" w:type="dxa"/>
            <w:vAlign w:val="top"/>
          </w:tcPr>
          <w:p>
            <w:pPr>
              <w:pStyle w:val="8"/>
              <w:spacing w:before="120" w:line="360" w:lineRule="exact"/>
              <w:ind w:left="0" w:leftChars="0"/>
              <w:jc w:val="left"/>
              <w:rPr>
                <w:rFonts w:eastAsia="PMingLiU"/>
                <w:sz w:val="18"/>
                <w:szCs w:val="18"/>
              </w:rPr>
            </w:pPr>
            <w:r>
              <w:rPr>
                <w:rFonts w:eastAsia="PMingLiU"/>
                <w:sz w:val="18"/>
                <w:szCs w:val="18"/>
              </w:rPr>
              <w:t>截至2018年2月28日止兩個月</w:t>
            </w:r>
          </w:p>
        </w:tc>
        <w:tc>
          <w:tcPr>
            <w:tcW w:w="1176" w:type="dxa"/>
            <w:vAlign w:val="top"/>
          </w:tcPr>
          <w:p>
            <w:pPr>
              <w:pStyle w:val="8"/>
              <w:spacing w:before="120" w:line="360" w:lineRule="exact"/>
              <w:ind w:left="0" w:leftChars="0"/>
              <w:jc w:val="right"/>
              <w:rPr>
                <w:rFonts w:eastAsia="PMingLiU"/>
                <w:sz w:val="18"/>
                <w:szCs w:val="18"/>
              </w:rPr>
            </w:pPr>
            <w:r>
              <w:rPr>
                <w:rFonts w:eastAsia="PMingLiU"/>
                <w:sz w:val="18"/>
                <w:szCs w:val="18"/>
              </w:rPr>
              <w:t>6,024</w:t>
            </w:r>
          </w:p>
        </w:tc>
        <w:tc>
          <w:tcPr>
            <w:tcW w:w="1170" w:type="dxa"/>
            <w:vAlign w:val="top"/>
          </w:tcPr>
          <w:p>
            <w:pPr>
              <w:pStyle w:val="8"/>
              <w:spacing w:before="120" w:line="360" w:lineRule="exact"/>
              <w:ind w:left="0" w:leftChars="0"/>
              <w:jc w:val="right"/>
              <w:rPr>
                <w:rFonts w:eastAsia="PMingLiU"/>
                <w:sz w:val="18"/>
                <w:szCs w:val="18"/>
              </w:rPr>
            </w:pPr>
            <w:r>
              <w:rPr>
                <w:rFonts w:eastAsia="PMingLiU"/>
                <w:sz w:val="18"/>
                <w:szCs w:val="18"/>
              </w:rPr>
              <w:t>4,516</w:t>
            </w:r>
          </w:p>
        </w:tc>
        <w:tc>
          <w:tcPr>
            <w:tcW w:w="1200" w:type="dxa"/>
            <w:vAlign w:val="top"/>
          </w:tcPr>
          <w:p>
            <w:pPr>
              <w:pStyle w:val="8"/>
              <w:spacing w:before="120" w:line="360" w:lineRule="exact"/>
              <w:ind w:left="0" w:leftChars="0"/>
              <w:jc w:val="right"/>
              <w:rPr>
                <w:rFonts w:eastAsia="PMingLiU"/>
                <w:sz w:val="18"/>
                <w:szCs w:val="18"/>
              </w:rPr>
            </w:pPr>
            <w:r>
              <w:rPr>
                <w:rFonts w:eastAsia="PMingLiU"/>
                <w:sz w:val="18"/>
                <w:szCs w:val="18"/>
              </w:rPr>
              <w:t>1,508</w:t>
            </w:r>
          </w:p>
        </w:tc>
        <w:tc>
          <w:tcPr>
            <w:tcW w:w="1165" w:type="dxa"/>
            <w:vAlign w:val="top"/>
          </w:tcPr>
          <w:p>
            <w:pPr>
              <w:pStyle w:val="8"/>
              <w:spacing w:before="120" w:line="360" w:lineRule="exact"/>
              <w:ind w:left="0" w:leftChars="0"/>
              <w:jc w:val="right"/>
              <w:rPr>
                <w:rFonts w:eastAsia="PMingLiU"/>
                <w:sz w:val="18"/>
                <w:szCs w:val="18"/>
              </w:rPr>
            </w:pPr>
            <w:r>
              <w:rPr>
                <w:rFonts w:eastAsia="PMingLiU"/>
                <w:sz w:val="18"/>
                <w:szCs w:val="18"/>
              </w:rPr>
              <w:t>1,399</w:t>
            </w:r>
          </w:p>
        </w:tc>
        <w:tc>
          <w:tcPr>
            <w:tcW w:w="1162" w:type="dxa"/>
            <w:vAlign w:val="top"/>
          </w:tcPr>
          <w:p>
            <w:pPr>
              <w:pStyle w:val="8"/>
              <w:spacing w:before="120" w:line="360" w:lineRule="exact"/>
              <w:ind w:left="0" w:leftChars="0"/>
              <w:jc w:val="right"/>
              <w:rPr>
                <w:rFonts w:eastAsia="PMingLiU"/>
                <w:sz w:val="18"/>
                <w:szCs w:val="18"/>
              </w:rPr>
            </w:pPr>
            <w:r>
              <w:rPr>
                <w:rFonts w:eastAsia="PMingLiU"/>
                <w:sz w:val="18"/>
                <w:szCs w:val="18"/>
              </w:rPr>
              <w:t>27</w:t>
            </w:r>
          </w:p>
        </w:tc>
        <w:tc>
          <w:tcPr>
            <w:tcW w:w="1006" w:type="dxa"/>
            <w:vAlign w:val="top"/>
          </w:tcPr>
          <w:p>
            <w:pPr>
              <w:pStyle w:val="8"/>
              <w:spacing w:before="120" w:line="360" w:lineRule="exact"/>
              <w:ind w:left="0" w:leftChars="0"/>
              <w:jc w:val="right"/>
              <w:rPr>
                <w:rFonts w:eastAsia="PMingLiU"/>
                <w:sz w:val="18"/>
                <w:szCs w:val="18"/>
              </w:rPr>
            </w:pPr>
            <w:r>
              <w:rPr>
                <w:rFonts w:eastAsia="PMingLiU"/>
                <w:sz w:val="18"/>
                <w:szCs w:val="18"/>
              </w:rPr>
              <w:t>16</w:t>
            </w:r>
          </w:p>
        </w:tc>
        <w:tc>
          <w:tcPr>
            <w:tcW w:w="1497" w:type="dxa"/>
            <w:vAlign w:val="top"/>
          </w:tcPr>
          <w:p>
            <w:pPr>
              <w:pStyle w:val="8"/>
              <w:spacing w:before="120" w:line="360" w:lineRule="exact"/>
              <w:ind w:left="0" w:leftChars="0"/>
              <w:jc w:val="right"/>
              <w:rPr>
                <w:rFonts w:eastAsia="PMingLiU"/>
                <w:sz w:val="18"/>
                <w:szCs w:val="18"/>
              </w:rPr>
            </w:pPr>
            <w:r>
              <w:rPr>
                <w:rFonts w:eastAsia="PMingLiU"/>
                <w:sz w:val="18"/>
                <w:szCs w:val="18"/>
              </w:rPr>
              <w:t>-426</w:t>
            </w:r>
          </w:p>
        </w:tc>
      </w:tr>
    </w:tbl>
    <w:p>
      <w:pPr>
        <w:pStyle w:val="4"/>
        <w:snapToGrid w:val="0"/>
        <w:ind w:left="360"/>
        <w:jc w:val="both"/>
        <w:rPr>
          <w:rFonts w:ascii="Times New Roman" w:hAnsi="Times New Roman" w:eastAsia="PMingLiU"/>
          <w:sz w:val="22"/>
        </w:rPr>
      </w:pPr>
    </w:p>
    <w:p>
      <w:pPr>
        <w:pStyle w:val="4"/>
        <w:snapToGrid w:val="0"/>
        <w:ind w:left="360"/>
        <w:jc w:val="both"/>
        <w:rPr>
          <w:rFonts w:ascii="Times New Roman" w:hAnsi="Times New Roman" w:eastAsia="PMingLiU"/>
          <w:sz w:val="22"/>
        </w:rPr>
      </w:pPr>
    </w:p>
    <w:p>
      <w:pPr>
        <w:pStyle w:val="4"/>
        <w:snapToGrid w:val="0"/>
        <w:jc w:val="both"/>
        <w:rPr>
          <w:rFonts w:ascii="Times New Roman" w:hAnsi="Times New Roman" w:eastAsia="PMingLiU"/>
          <w:sz w:val="22"/>
        </w:rPr>
      </w:pPr>
      <w:r>
        <w:rPr>
          <w:rFonts w:ascii="Times New Roman" w:hAnsi="Times New Roman" w:eastAsia="PMingLiU"/>
          <w:sz w:val="22"/>
        </w:rPr>
        <w:t xml:space="preserve">(5) </w:t>
      </w:r>
      <w:r>
        <w:rPr>
          <w:rFonts w:ascii="Times New Roman" w:hAnsi="Times New Roman" w:eastAsia="PMingLiU"/>
          <w:sz w:val="22"/>
          <w:lang w:eastAsia="zh-CN"/>
        </w:rPr>
        <w:t>根據新達製藥審計報告，新達製藥經審核財務數據如下：</w:t>
      </w:r>
    </w:p>
    <w:p>
      <w:pPr>
        <w:pStyle w:val="4"/>
        <w:snapToGrid w:val="0"/>
        <w:ind w:left="360"/>
        <w:jc w:val="both"/>
        <w:rPr>
          <w:rFonts w:ascii="Times New Roman" w:hAnsi="Times New Roman" w:eastAsia="PMingLiU"/>
          <w:sz w:val="22"/>
        </w:rPr>
      </w:pPr>
    </w:p>
    <w:p>
      <w:pPr>
        <w:pStyle w:val="4"/>
        <w:snapToGrid w:val="0"/>
        <w:jc w:val="both"/>
        <w:rPr>
          <w:rFonts w:ascii="Times New Roman" w:hAnsi="Times New Roman" w:eastAsia="PMingLiU"/>
          <w:i/>
          <w:sz w:val="22"/>
          <w:lang w:eastAsia="zh-CN"/>
        </w:rPr>
      </w:pPr>
      <w:r>
        <w:rPr>
          <w:rFonts w:ascii="Times New Roman" w:hAnsi="Times New Roman" w:eastAsia="PMingLiU"/>
          <w:i/>
          <w:sz w:val="22"/>
          <w:lang w:eastAsia="zh-CN"/>
        </w:rPr>
        <w:t>（約整至人民幣萬元）</w:t>
      </w:r>
    </w:p>
    <w:p>
      <w:pPr>
        <w:pStyle w:val="4"/>
        <w:snapToGrid w:val="0"/>
        <w:jc w:val="both"/>
        <w:rPr>
          <w:rFonts w:ascii="Times New Roman" w:hAnsi="Times New Roman" w:eastAsia="PMingLiU"/>
          <w:i/>
          <w:sz w:val="22"/>
        </w:rPr>
      </w:pPr>
    </w:p>
    <w:tbl>
      <w:tblPr>
        <w:tblW w:w="98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34"/>
        <w:gridCol w:w="1176"/>
        <w:gridCol w:w="1170"/>
        <w:gridCol w:w="1200"/>
        <w:gridCol w:w="1165"/>
        <w:gridCol w:w="1162"/>
        <w:gridCol w:w="1006"/>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913" w:hRule="atLeast"/>
        </w:trPr>
        <w:tc>
          <w:tcPr>
            <w:tcW w:w="1434" w:type="dxa"/>
            <w:tcBorders>
              <w:tl2br w:val="single" w:color="auto" w:sz="4" w:space="0"/>
            </w:tcBorders>
            <w:vAlign w:val="top"/>
          </w:tcPr>
          <w:p>
            <w:pPr>
              <w:pStyle w:val="8"/>
              <w:tabs>
                <w:tab w:val="left" w:pos="615"/>
              </w:tabs>
              <w:spacing w:before="120" w:line="360" w:lineRule="exact"/>
              <w:ind w:left="570" w:hanging="90" w:hangingChars="50"/>
              <w:jc w:val="center"/>
              <w:rPr>
                <w:rFonts w:eastAsia="PMingLiU"/>
                <w:sz w:val="18"/>
                <w:szCs w:val="18"/>
              </w:rPr>
            </w:pPr>
          </w:p>
          <w:p>
            <w:pPr>
              <w:pStyle w:val="8"/>
              <w:tabs>
                <w:tab w:val="left" w:pos="615"/>
              </w:tabs>
              <w:spacing w:before="120" w:line="360" w:lineRule="exact"/>
              <w:ind w:left="480"/>
              <w:jc w:val="center"/>
              <w:rPr>
                <w:rFonts w:eastAsia="PMingLiU"/>
                <w:sz w:val="18"/>
                <w:szCs w:val="18"/>
              </w:rPr>
            </w:pPr>
            <w:r>
              <w:rPr>
                <w:rFonts w:eastAsia="PMingLiU"/>
                <w:sz w:val="18"/>
                <w:szCs w:val="18"/>
              </w:rPr>
              <w:t>項目</w:t>
            </w:r>
          </w:p>
          <w:p>
            <w:pPr>
              <w:pStyle w:val="8"/>
              <w:tabs>
                <w:tab w:val="left" w:pos="615"/>
              </w:tabs>
              <w:spacing w:before="120" w:line="360" w:lineRule="exact"/>
              <w:ind w:left="480"/>
              <w:jc w:val="center"/>
              <w:rPr>
                <w:rFonts w:eastAsia="PMingLiU"/>
                <w:sz w:val="18"/>
                <w:szCs w:val="18"/>
              </w:rPr>
            </w:pPr>
          </w:p>
          <w:p>
            <w:pPr>
              <w:jc w:val="center"/>
            </w:pPr>
          </w:p>
          <w:p>
            <w:pPr>
              <w:jc w:val="center"/>
            </w:pPr>
          </w:p>
          <w:p>
            <w:pPr>
              <w:jc w:val="center"/>
            </w:pPr>
          </w:p>
          <w:p>
            <w:pPr>
              <w:jc w:val="center"/>
            </w:pPr>
            <w:r>
              <w:rPr>
                <w:sz w:val="18"/>
                <w:szCs w:val="18"/>
                <w:lang w:eastAsia="zh-CN"/>
              </w:rPr>
              <w:t>期間</w:t>
            </w:r>
          </w:p>
        </w:tc>
        <w:tc>
          <w:tcPr>
            <w:tcW w:w="1176" w:type="dxa"/>
            <w:vAlign w:val="top"/>
          </w:tcPr>
          <w:p>
            <w:pPr>
              <w:pStyle w:val="8"/>
              <w:spacing w:before="120" w:line="360" w:lineRule="exact"/>
              <w:ind w:left="-10" w:leftChars="-4"/>
              <w:jc w:val="center"/>
              <w:rPr>
                <w:rFonts w:eastAsia="PMingLiU"/>
                <w:sz w:val="18"/>
                <w:szCs w:val="18"/>
              </w:rPr>
            </w:pPr>
            <w:r>
              <w:rPr>
                <w:rFonts w:eastAsia="PMingLiU"/>
                <w:sz w:val="18"/>
                <w:szCs w:val="18"/>
              </w:rPr>
              <w:t>總資產</w:t>
            </w:r>
          </w:p>
        </w:tc>
        <w:tc>
          <w:tcPr>
            <w:tcW w:w="1170" w:type="dxa"/>
            <w:vAlign w:val="top"/>
          </w:tcPr>
          <w:p>
            <w:pPr>
              <w:pStyle w:val="8"/>
              <w:spacing w:before="120" w:line="360" w:lineRule="exact"/>
              <w:ind w:left="-10" w:leftChars="-4"/>
              <w:jc w:val="center"/>
              <w:rPr>
                <w:rFonts w:eastAsia="PMingLiU"/>
                <w:sz w:val="18"/>
                <w:szCs w:val="18"/>
              </w:rPr>
            </w:pPr>
            <w:r>
              <w:rPr>
                <w:rFonts w:eastAsia="PMingLiU"/>
                <w:sz w:val="18"/>
                <w:szCs w:val="18"/>
              </w:rPr>
              <w:t>總負債</w:t>
            </w:r>
          </w:p>
        </w:tc>
        <w:tc>
          <w:tcPr>
            <w:tcW w:w="1200" w:type="dxa"/>
            <w:vAlign w:val="top"/>
          </w:tcPr>
          <w:p>
            <w:pPr>
              <w:pStyle w:val="8"/>
              <w:spacing w:before="120" w:line="360" w:lineRule="exact"/>
              <w:ind w:left="-10" w:leftChars="-4"/>
              <w:jc w:val="center"/>
              <w:rPr>
                <w:rFonts w:eastAsia="PMingLiU"/>
                <w:sz w:val="18"/>
                <w:szCs w:val="18"/>
              </w:rPr>
            </w:pPr>
            <w:r>
              <w:rPr>
                <w:rFonts w:eastAsia="PMingLiU"/>
                <w:sz w:val="18"/>
                <w:szCs w:val="18"/>
              </w:rPr>
              <w:t>所有者權益</w:t>
            </w:r>
          </w:p>
        </w:tc>
        <w:tc>
          <w:tcPr>
            <w:tcW w:w="1165" w:type="dxa"/>
            <w:vAlign w:val="top"/>
          </w:tcPr>
          <w:p>
            <w:pPr>
              <w:pStyle w:val="8"/>
              <w:spacing w:before="120" w:line="360" w:lineRule="exact"/>
              <w:ind w:left="-10" w:leftChars="-4"/>
              <w:jc w:val="center"/>
              <w:rPr>
                <w:rFonts w:eastAsia="PMingLiU"/>
                <w:sz w:val="18"/>
                <w:szCs w:val="18"/>
              </w:rPr>
            </w:pPr>
            <w:r>
              <w:rPr>
                <w:rFonts w:eastAsia="PMingLiU"/>
                <w:sz w:val="18"/>
                <w:szCs w:val="18"/>
              </w:rPr>
              <w:t>營業收入</w:t>
            </w:r>
          </w:p>
        </w:tc>
        <w:tc>
          <w:tcPr>
            <w:tcW w:w="1162" w:type="dxa"/>
            <w:vAlign w:val="top"/>
          </w:tcPr>
          <w:p>
            <w:pPr>
              <w:pStyle w:val="8"/>
              <w:spacing w:before="120" w:line="360" w:lineRule="exact"/>
              <w:ind w:left="-10" w:leftChars="-4"/>
              <w:jc w:val="center"/>
              <w:rPr>
                <w:rFonts w:eastAsia="PMingLiU"/>
                <w:sz w:val="18"/>
                <w:szCs w:val="18"/>
              </w:rPr>
            </w:pPr>
            <w:r>
              <w:rPr>
                <w:rFonts w:eastAsia="PMingLiU"/>
                <w:sz w:val="18"/>
                <w:szCs w:val="18"/>
              </w:rPr>
              <w:t>營業利潤</w:t>
            </w:r>
          </w:p>
        </w:tc>
        <w:tc>
          <w:tcPr>
            <w:tcW w:w="1006" w:type="dxa"/>
            <w:vAlign w:val="top"/>
          </w:tcPr>
          <w:p>
            <w:pPr>
              <w:pStyle w:val="8"/>
              <w:spacing w:before="120" w:line="360" w:lineRule="exact"/>
              <w:ind w:left="-10" w:leftChars="-4"/>
              <w:jc w:val="center"/>
              <w:rPr>
                <w:rFonts w:eastAsia="PMingLiU"/>
                <w:sz w:val="18"/>
                <w:szCs w:val="18"/>
              </w:rPr>
            </w:pPr>
            <w:r>
              <w:rPr>
                <w:rFonts w:eastAsia="PMingLiU"/>
                <w:sz w:val="18"/>
                <w:szCs w:val="18"/>
              </w:rPr>
              <w:t>淨利潤</w:t>
            </w:r>
          </w:p>
        </w:tc>
        <w:tc>
          <w:tcPr>
            <w:tcW w:w="1497" w:type="dxa"/>
            <w:vAlign w:val="top"/>
          </w:tcPr>
          <w:p>
            <w:pPr>
              <w:pStyle w:val="8"/>
              <w:spacing w:before="120" w:line="360" w:lineRule="exact"/>
              <w:ind w:left="-10" w:leftChars="-4"/>
              <w:jc w:val="center"/>
              <w:rPr>
                <w:rFonts w:eastAsia="PMingLiU"/>
                <w:sz w:val="18"/>
                <w:szCs w:val="18"/>
              </w:rPr>
            </w:pPr>
            <w:r>
              <w:rPr>
                <w:rFonts w:eastAsia="PMingLiU"/>
                <w:sz w:val="18"/>
                <w:szCs w:val="18"/>
              </w:rPr>
              <w:t>經營活動產生的現金流量淨額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34" w:type="dxa"/>
            <w:vAlign w:val="top"/>
          </w:tcPr>
          <w:p>
            <w:pPr>
              <w:pStyle w:val="8"/>
              <w:spacing w:before="120" w:line="360" w:lineRule="exact"/>
              <w:ind w:left="0" w:leftChars="0"/>
              <w:jc w:val="left"/>
              <w:rPr>
                <w:rFonts w:eastAsia="PMingLiU"/>
                <w:sz w:val="18"/>
                <w:szCs w:val="18"/>
              </w:rPr>
            </w:pPr>
            <w:r>
              <w:rPr>
                <w:rFonts w:eastAsia="PMingLiU"/>
                <w:sz w:val="18"/>
                <w:szCs w:val="18"/>
              </w:rPr>
              <w:t>截至2015年12月31日止年度</w:t>
            </w:r>
          </w:p>
        </w:tc>
        <w:tc>
          <w:tcPr>
            <w:tcW w:w="1176" w:type="dxa"/>
            <w:vAlign w:val="top"/>
          </w:tcPr>
          <w:p>
            <w:pPr>
              <w:pStyle w:val="8"/>
              <w:spacing w:before="120" w:line="360" w:lineRule="exact"/>
              <w:ind w:left="0" w:leftChars="0"/>
              <w:jc w:val="right"/>
              <w:rPr>
                <w:rFonts w:eastAsia="PMingLiU"/>
                <w:sz w:val="18"/>
                <w:szCs w:val="18"/>
              </w:rPr>
            </w:pPr>
            <w:r>
              <w:rPr>
                <w:rFonts w:eastAsia="PMingLiU"/>
                <w:sz w:val="18"/>
                <w:szCs w:val="18"/>
              </w:rPr>
              <w:t>19,729</w:t>
            </w:r>
          </w:p>
        </w:tc>
        <w:tc>
          <w:tcPr>
            <w:tcW w:w="1170" w:type="dxa"/>
            <w:vAlign w:val="top"/>
          </w:tcPr>
          <w:p>
            <w:pPr>
              <w:pStyle w:val="8"/>
              <w:spacing w:before="120" w:line="360" w:lineRule="exact"/>
              <w:ind w:left="0" w:leftChars="0"/>
              <w:jc w:val="right"/>
              <w:rPr>
                <w:rFonts w:eastAsia="PMingLiU"/>
                <w:sz w:val="18"/>
                <w:szCs w:val="18"/>
              </w:rPr>
            </w:pPr>
            <w:r>
              <w:rPr>
                <w:rFonts w:eastAsia="PMingLiU"/>
                <w:sz w:val="18"/>
                <w:szCs w:val="18"/>
              </w:rPr>
              <w:t>5,903</w:t>
            </w:r>
          </w:p>
        </w:tc>
        <w:tc>
          <w:tcPr>
            <w:tcW w:w="1200" w:type="dxa"/>
            <w:vAlign w:val="top"/>
          </w:tcPr>
          <w:p>
            <w:pPr>
              <w:pStyle w:val="8"/>
              <w:spacing w:before="120" w:line="360" w:lineRule="exact"/>
              <w:ind w:left="0" w:leftChars="0"/>
              <w:jc w:val="right"/>
              <w:rPr>
                <w:rFonts w:eastAsia="PMingLiU"/>
                <w:sz w:val="18"/>
                <w:szCs w:val="18"/>
              </w:rPr>
            </w:pPr>
            <w:r>
              <w:rPr>
                <w:rFonts w:eastAsia="PMingLiU"/>
                <w:sz w:val="18"/>
                <w:szCs w:val="18"/>
              </w:rPr>
              <w:t>13,826</w:t>
            </w:r>
          </w:p>
        </w:tc>
        <w:tc>
          <w:tcPr>
            <w:tcW w:w="1165" w:type="dxa"/>
            <w:vAlign w:val="top"/>
          </w:tcPr>
          <w:p>
            <w:pPr>
              <w:pStyle w:val="8"/>
              <w:spacing w:before="120" w:line="360" w:lineRule="exact"/>
              <w:ind w:left="0" w:leftChars="0"/>
              <w:jc w:val="right"/>
              <w:rPr>
                <w:rFonts w:eastAsia="PMingLiU"/>
                <w:sz w:val="18"/>
                <w:szCs w:val="18"/>
              </w:rPr>
            </w:pPr>
            <w:r>
              <w:rPr>
                <w:rFonts w:eastAsia="PMingLiU"/>
                <w:sz w:val="18"/>
                <w:szCs w:val="18"/>
              </w:rPr>
              <w:t>22,190</w:t>
            </w:r>
          </w:p>
        </w:tc>
        <w:tc>
          <w:tcPr>
            <w:tcW w:w="1162" w:type="dxa"/>
            <w:vAlign w:val="top"/>
          </w:tcPr>
          <w:p>
            <w:pPr>
              <w:pStyle w:val="8"/>
              <w:spacing w:before="120" w:line="360" w:lineRule="exact"/>
              <w:ind w:left="0" w:leftChars="0"/>
              <w:jc w:val="right"/>
              <w:rPr>
                <w:rFonts w:eastAsia="PMingLiU"/>
                <w:sz w:val="18"/>
                <w:szCs w:val="18"/>
              </w:rPr>
            </w:pPr>
            <w:r>
              <w:rPr>
                <w:rFonts w:eastAsia="PMingLiU"/>
                <w:sz w:val="18"/>
                <w:szCs w:val="18"/>
              </w:rPr>
              <w:t>2,226</w:t>
            </w:r>
          </w:p>
        </w:tc>
        <w:tc>
          <w:tcPr>
            <w:tcW w:w="1006" w:type="dxa"/>
            <w:vAlign w:val="top"/>
          </w:tcPr>
          <w:p>
            <w:pPr>
              <w:pStyle w:val="8"/>
              <w:spacing w:before="120" w:line="360" w:lineRule="exact"/>
              <w:ind w:left="0" w:leftChars="0"/>
              <w:jc w:val="right"/>
              <w:rPr>
                <w:rFonts w:eastAsia="PMingLiU"/>
                <w:sz w:val="18"/>
                <w:szCs w:val="18"/>
              </w:rPr>
            </w:pPr>
            <w:r>
              <w:rPr>
                <w:rFonts w:eastAsia="PMingLiU"/>
                <w:sz w:val="18"/>
                <w:szCs w:val="18"/>
              </w:rPr>
              <w:t>1,785</w:t>
            </w:r>
          </w:p>
        </w:tc>
        <w:tc>
          <w:tcPr>
            <w:tcW w:w="1497" w:type="dxa"/>
            <w:vAlign w:val="top"/>
          </w:tcPr>
          <w:p>
            <w:pPr>
              <w:pStyle w:val="8"/>
              <w:spacing w:before="120" w:line="360" w:lineRule="exact"/>
              <w:ind w:left="0" w:leftChars="0"/>
              <w:jc w:val="right"/>
              <w:rPr>
                <w:rFonts w:eastAsia="PMingLiU"/>
                <w:sz w:val="18"/>
                <w:szCs w:val="18"/>
              </w:rPr>
            </w:pPr>
            <w:r>
              <w:rPr>
                <w:rFonts w:eastAsia="PMingLiU"/>
                <w:sz w:val="18"/>
                <w:szCs w:val="18"/>
              </w:rPr>
              <w:t>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34" w:type="dxa"/>
            <w:vAlign w:val="top"/>
          </w:tcPr>
          <w:p>
            <w:pPr>
              <w:pStyle w:val="8"/>
              <w:spacing w:before="120" w:line="360" w:lineRule="exact"/>
              <w:ind w:left="0" w:leftChars="0"/>
              <w:jc w:val="left"/>
              <w:rPr>
                <w:rFonts w:eastAsia="PMingLiU"/>
                <w:sz w:val="18"/>
                <w:szCs w:val="18"/>
              </w:rPr>
            </w:pPr>
            <w:r>
              <w:rPr>
                <w:rFonts w:eastAsia="PMingLiU"/>
                <w:sz w:val="18"/>
                <w:szCs w:val="18"/>
              </w:rPr>
              <w:t>截至2016年12月31日止年度</w:t>
            </w:r>
          </w:p>
        </w:tc>
        <w:tc>
          <w:tcPr>
            <w:tcW w:w="1176" w:type="dxa"/>
            <w:vAlign w:val="top"/>
          </w:tcPr>
          <w:p>
            <w:pPr>
              <w:pStyle w:val="8"/>
              <w:spacing w:before="120" w:line="360" w:lineRule="exact"/>
              <w:ind w:left="0" w:leftChars="0"/>
              <w:jc w:val="right"/>
              <w:rPr>
                <w:rFonts w:eastAsia="PMingLiU"/>
                <w:sz w:val="18"/>
                <w:szCs w:val="18"/>
              </w:rPr>
            </w:pPr>
            <w:r>
              <w:rPr>
                <w:rFonts w:eastAsia="PMingLiU"/>
                <w:sz w:val="18"/>
                <w:szCs w:val="18"/>
              </w:rPr>
              <w:t>19,898</w:t>
            </w:r>
          </w:p>
        </w:tc>
        <w:tc>
          <w:tcPr>
            <w:tcW w:w="1170" w:type="dxa"/>
            <w:vAlign w:val="top"/>
          </w:tcPr>
          <w:p>
            <w:pPr>
              <w:pStyle w:val="8"/>
              <w:spacing w:before="120" w:line="360" w:lineRule="exact"/>
              <w:ind w:left="0" w:leftChars="0"/>
              <w:jc w:val="right"/>
              <w:rPr>
                <w:rFonts w:eastAsia="PMingLiU"/>
                <w:sz w:val="18"/>
                <w:szCs w:val="18"/>
              </w:rPr>
            </w:pPr>
            <w:r>
              <w:rPr>
                <w:rFonts w:eastAsia="PMingLiU"/>
                <w:sz w:val="18"/>
                <w:szCs w:val="18"/>
              </w:rPr>
              <w:t>8,110</w:t>
            </w:r>
          </w:p>
        </w:tc>
        <w:tc>
          <w:tcPr>
            <w:tcW w:w="1200" w:type="dxa"/>
            <w:vAlign w:val="top"/>
          </w:tcPr>
          <w:p>
            <w:pPr>
              <w:pStyle w:val="8"/>
              <w:spacing w:before="120" w:line="360" w:lineRule="exact"/>
              <w:ind w:left="0" w:leftChars="0"/>
              <w:jc w:val="right"/>
              <w:rPr>
                <w:rFonts w:eastAsia="PMingLiU"/>
                <w:sz w:val="18"/>
                <w:szCs w:val="18"/>
              </w:rPr>
            </w:pPr>
            <w:r>
              <w:rPr>
                <w:rFonts w:eastAsia="PMingLiU"/>
                <w:sz w:val="18"/>
                <w:szCs w:val="18"/>
              </w:rPr>
              <w:t>11,788</w:t>
            </w:r>
          </w:p>
        </w:tc>
        <w:tc>
          <w:tcPr>
            <w:tcW w:w="1165" w:type="dxa"/>
            <w:vAlign w:val="top"/>
          </w:tcPr>
          <w:p>
            <w:pPr>
              <w:pStyle w:val="8"/>
              <w:spacing w:before="120" w:line="360" w:lineRule="exact"/>
              <w:ind w:left="0" w:leftChars="0"/>
              <w:jc w:val="right"/>
              <w:rPr>
                <w:rFonts w:eastAsia="PMingLiU"/>
                <w:sz w:val="18"/>
                <w:szCs w:val="18"/>
              </w:rPr>
            </w:pPr>
            <w:r>
              <w:rPr>
                <w:rFonts w:eastAsia="PMingLiU"/>
                <w:sz w:val="18"/>
                <w:szCs w:val="18"/>
              </w:rPr>
              <w:t>24,979</w:t>
            </w:r>
          </w:p>
        </w:tc>
        <w:tc>
          <w:tcPr>
            <w:tcW w:w="1162" w:type="dxa"/>
            <w:vAlign w:val="top"/>
          </w:tcPr>
          <w:p>
            <w:pPr>
              <w:pStyle w:val="8"/>
              <w:spacing w:before="120" w:line="360" w:lineRule="exact"/>
              <w:ind w:left="0" w:leftChars="0"/>
              <w:jc w:val="right"/>
              <w:rPr>
                <w:rFonts w:eastAsia="PMingLiU"/>
                <w:sz w:val="18"/>
                <w:szCs w:val="18"/>
              </w:rPr>
            </w:pPr>
            <w:r>
              <w:rPr>
                <w:rFonts w:eastAsia="PMingLiU"/>
                <w:sz w:val="18"/>
                <w:szCs w:val="18"/>
              </w:rPr>
              <w:t>2,063</w:t>
            </w:r>
          </w:p>
        </w:tc>
        <w:tc>
          <w:tcPr>
            <w:tcW w:w="1006" w:type="dxa"/>
            <w:vAlign w:val="top"/>
          </w:tcPr>
          <w:p>
            <w:pPr>
              <w:pStyle w:val="8"/>
              <w:spacing w:before="120" w:line="360" w:lineRule="exact"/>
              <w:ind w:left="0" w:leftChars="0"/>
              <w:jc w:val="right"/>
              <w:rPr>
                <w:rFonts w:eastAsia="PMingLiU"/>
                <w:sz w:val="18"/>
                <w:szCs w:val="18"/>
              </w:rPr>
            </w:pPr>
            <w:r>
              <w:rPr>
                <w:rFonts w:eastAsia="PMingLiU"/>
                <w:sz w:val="18"/>
                <w:szCs w:val="18"/>
              </w:rPr>
              <w:t>1,451</w:t>
            </w:r>
          </w:p>
        </w:tc>
        <w:tc>
          <w:tcPr>
            <w:tcW w:w="1497" w:type="dxa"/>
            <w:vAlign w:val="top"/>
          </w:tcPr>
          <w:p>
            <w:pPr>
              <w:pStyle w:val="8"/>
              <w:spacing w:before="120" w:line="360" w:lineRule="exact"/>
              <w:ind w:left="0" w:leftChars="0"/>
              <w:jc w:val="right"/>
              <w:rPr>
                <w:rFonts w:eastAsia="PMingLiU"/>
                <w:sz w:val="18"/>
                <w:szCs w:val="18"/>
              </w:rPr>
            </w:pPr>
            <w:r>
              <w:rPr>
                <w:rFonts w:eastAsia="PMingLiU"/>
                <w:sz w:val="18"/>
                <w:szCs w:val="18"/>
              </w:rPr>
              <w:t>3,514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34" w:type="dxa"/>
            <w:vAlign w:val="top"/>
          </w:tcPr>
          <w:p>
            <w:pPr>
              <w:pStyle w:val="8"/>
              <w:spacing w:before="120" w:line="360" w:lineRule="exact"/>
              <w:ind w:left="0" w:leftChars="0"/>
              <w:jc w:val="left"/>
              <w:rPr>
                <w:rFonts w:eastAsia="PMingLiU"/>
                <w:sz w:val="18"/>
                <w:szCs w:val="18"/>
              </w:rPr>
            </w:pPr>
            <w:r>
              <w:rPr>
                <w:rFonts w:eastAsia="PMingLiU"/>
                <w:sz w:val="18"/>
                <w:szCs w:val="18"/>
              </w:rPr>
              <w:t>截至2017年12月31日止年度</w:t>
            </w:r>
          </w:p>
        </w:tc>
        <w:tc>
          <w:tcPr>
            <w:tcW w:w="1176" w:type="dxa"/>
            <w:vAlign w:val="top"/>
          </w:tcPr>
          <w:p>
            <w:pPr>
              <w:pStyle w:val="8"/>
              <w:spacing w:before="120" w:line="360" w:lineRule="exact"/>
              <w:ind w:left="0" w:leftChars="0"/>
              <w:jc w:val="right"/>
              <w:rPr>
                <w:rFonts w:eastAsia="PMingLiU"/>
                <w:sz w:val="18"/>
                <w:szCs w:val="18"/>
              </w:rPr>
            </w:pPr>
            <w:r>
              <w:rPr>
                <w:rFonts w:eastAsia="PMingLiU"/>
                <w:sz w:val="18"/>
                <w:szCs w:val="18"/>
              </w:rPr>
              <w:t>23,973</w:t>
            </w:r>
          </w:p>
        </w:tc>
        <w:tc>
          <w:tcPr>
            <w:tcW w:w="1170" w:type="dxa"/>
            <w:vAlign w:val="top"/>
          </w:tcPr>
          <w:p>
            <w:pPr>
              <w:pStyle w:val="8"/>
              <w:spacing w:before="120" w:line="360" w:lineRule="exact"/>
              <w:ind w:left="0" w:leftChars="0"/>
              <w:jc w:val="right"/>
              <w:rPr>
                <w:rFonts w:eastAsia="PMingLiU"/>
                <w:sz w:val="18"/>
                <w:szCs w:val="18"/>
              </w:rPr>
            </w:pPr>
            <w:r>
              <w:rPr>
                <w:rFonts w:eastAsia="PMingLiU"/>
                <w:sz w:val="18"/>
                <w:szCs w:val="18"/>
              </w:rPr>
              <w:t>10,533</w:t>
            </w:r>
          </w:p>
        </w:tc>
        <w:tc>
          <w:tcPr>
            <w:tcW w:w="1200" w:type="dxa"/>
            <w:vAlign w:val="top"/>
          </w:tcPr>
          <w:p>
            <w:pPr>
              <w:pStyle w:val="8"/>
              <w:spacing w:before="120" w:line="360" w:lineRule="exact"/>
              <w:ind w:left="0" w:leftChars="0"/>
              <w:jc w:val="right"/>
              <w:rPr>
                <w:rFonts w:eastAsia="PMingLiU"/>
                <w:sz w:val="18"/>
                <w:szCs w:val="18"/>
              </w:rPr>
            </w:pPr>
            <w:r>
              <w:rPr>
                <w:rFonts w:eastAsia="PMingLiU"/>
                <w:sz w:val="18"/>
                <w:szCs w:val="18"/>
              </w:rPr>
              <w:t>13,440</w:t>
            </w:r>
          </w:p>
        </w:tc>
        <w:tc>
          <w:tcPr>
            <w:tcW w:w="1165" w:type="dxa"/>
            <w:vAlign w:val="top"/>
          </w:tcPr>
          <w:p>
            <w:pPr>
              <w:pStyle w:val="8"/>
              <w:spacing w:before="120" w:line="360" w:lineRule="exact"/>
              <w:ind w:left="0" w:leftChars="0"/>
              <w:jc w:val="right"/>
              <w:rPr>
                <w:rFonts w:eastAsia="PMingLiU"/>
                <w:sz w:val="18"/>
                <w:szCs w:val="18"/>
              </w:rPr>
            </w:pPr>
            <w:r>
              <w:rPr>
                <w:rFonts w:eastAsia="PMingLiU"/>
                <w:sz w:val="18"/>
                <w:szCs w:val="18"/>
              </w:rPr>
              <w:t>27,884</w:t>
            </w:r>
          </w:p>
        </w:tc>
        <w:tc>
          <w:tcPr>
            <w:tcW w:w="1162" w:type="dxa"/>
            <w:vAlign w:val="top"/>
          </w:tcPr>
          <w:p>
            <w:pPr>
              <w:pStyle w:val="8"/>
              <w:spacing w:before="120" w:line="360" w:lineRule="exact"/>
              <w:ind w:left="0" w:leftChars="0"/>
              <w:jc w:val="right"/>
              <w:rPr>
                <w:rFonts w:eastAsia="PMingLiU"/>
                <w:sz w:val="18"/>
                <w:szCs w:val="18"/>
              </w:rPr>
            </w:pPr>
            <w:r>
              <w:rPr>
                <w:rFonts w:eastAsia="PMingLiU"/>
                <w:sz w:val="18"/>
                <w:szCs w:val="18"/>
              </w:rPr>
              <w:t>1,930</w:t>
            </w:r>
          </w:p>
        </w:tc>
        <w:tc>
          <w:tcPr>
            <w:tcW w:w="1006" w:type="dxa"/>
            <w:vAlign w:val="top"/>
          </w:tcPr>
          <w:p>
            <w:pPr>
              <w:pStyle w:val="8"/>
              <w:spacing w:before="120" w:line="360" w:lineRule="exact"/>
              <w:ind w:left="0" w:leftChars="0"/>
              <w:jc w:val="right"/>
              <w:rPr>
                <w:rFonts w:eastAsia="PMingLiU"/>
                <w:sz w:val="18"/>
                <w:szCs w:val="18"/>
              </w:rPr>
            </w:pPr>
            <w:r>
              <w:rPr>
                <w:rFonts w:eastAsia="PMingLiU"/>
                <w:sz w:val="18"/>
                <w:szCs w:val="18"/>
              </w:rPr>
              <w:t>1,652</w:t>
            </w:r>
          </w:p>
        </w:tc>
        <w:tc>
          <w:tcPr>
            <w:tcW w:w="1497" w:type="dxa"/>
            <w:vAlign w:val="top"/>
          </w:tcPr>
          <w:p>
            <w:pPr>
              <w:pStyle w:val="8"/>
              <w:spacing w:before="120" w:line="360" w:lineRule="exact"/>
              <w:ind w:left="0" w:leftChars="0"/>
              <w:jc w:val="right"/>
              <w:rPr>
                <w:rFonts w:eastAsia="PMingLiU"/>
                <w:sz w:val="18"/>
                <w:szCs w:val="18"/>
              </w:rPr>
            </w:pPr>
            <w:r>
              <w:rPr>
                <w:rFonts w:eastAsia="PMingLiU"/>
                <w:sz w:val="18"/>
                <w:szCs w:val="18"/>
              </w:rPr>
              <w:t>1,272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34" w:type="dxa"/>
            <w:vAlign w:val="top"/>
          </w:tcPr>
          <w:p>
            <w:pPr>
              <w:pStyle w:val="8"/>
              <w:spacing w:before="120" w:line="360" w:lineRule="exact"/>
              <w:ind w:left="0" w:leftChars="0"/>
              <w:jc w:val="left"/>
              <w:rPr>
                <w:rFonts w:eastAsia="PMingLiU"/>
                <w:sz w:val="18"/>
                <w:szCs w:val="18"/>
              </w:rPr>
            </w:pPr>
            <w:r>
              <w:rPr>
                <w:rFonts w:eastAsia="PMingLiU"/>
                <w:sz w:val="18"/>
                <w:szCs w:val="18"/>
              </w:rPr>
              <w:t>截至2018年2月28日止兩個月</w:t>
            </w:r>
          </w:p>
        </w:tc>
        <w:tc>
          <w:tcPr>
            <w:tcW w:w="1176" w:type="dxa"/>
            <w:vAlign w:val="top"/>
          </w:tcPr>
          <w:p>
            <w:pPr>
              <w:pStyle w:val="8"/>
              <w:spacing w:before="120" w:line="360" w:lineRule="exact"/>
              <w:ind w:left="0" w:leftChars="0"/>
              <w:jc w:val="right"/>
              <w:rPr>
                <w:rFonts w:eastAsia="PMingLiU"/>
                <w:sz w:val="18"/>
                <w:szCs w:val="18"/>
              </w:rPr>
            </w:pPr>
            <w:r>
              <w:rPr>
                <w:rFonts w:eastAsia="PMingLiU"/>
                <w:sz w:val="18"/>
                <w:szCs w:val="18"/>
              </w:rPr>
              <w:t>23,991</w:t>
            </w:r>
          </w:p>
        </w:tc>
        <w:tc>
          <w:tcPr>
            <w:tcW w:w="1170" w:type="dxa"/>
            <w:vAlign w:val="top"/>
          </w:tcPr>
          <w:p>
            <w:pPr>
              <w:pStyle w:val="8"/>
              <w:spacing w:before="120" w:line="360" w:lineRule="exact"/>
              <w:ind w:left="0" w:leftChars="0"/>
              <w:jc w:val="right"/>
              <w:rPr>
                <w:rFonts w:eastAsia="PMingLiU"/>
                <w:sz w:val="18"/>
                <w:szCs w:val="18"/>
              </w:rPr>
            </w:pPr>
            <w:r>
              <w:rPr>
                <w:rFonts w:eastAsia="PMingLiU"/>
                <w:sz w:val="18"/>
                <w:szCs w:val="18"/>
              </w:rPr>
              <w:t>13,435</w:t>
            </w:r>
          </w:p>
        </w:tc>
        <w:tc>
          <w:tcPr>
            <w:tcW w:w="1200" w:type="dxa"/>
            <w:vAlign w:val="top"/>
          </w:tcPr>
          <w:p>
            <w:pPr>
              <w:pStyle w:val="8"/>
              <w:spacing w:before="120" w:line="360" w:lineRule="exact"/>
              <w:ind w:left="0" w:leftChars="0"/>
              <w:jc w:val="right"/>
              <w:rPr>
                <w:rFonts w:eastAsia="PMingLiU"/>
                <w:sz w:val="18"/>
                <w:szCs w:val="18"/>
              </w:rPr>
            </w:pPr>
            <w:r>
              <w:rPr>
                <w:rFonts w:eastAsia="PMingLiU"/>
                <w:sz w:val="18"/>
                <w:szCs w:val="18"/>
              </w:rPr>
              <w:t>10,556</w:t>
            </w:r>
          </w:p>
        </w:tc>
        <w:tc>
          <w:tcPr>
            <w:tcW w:w="1165" w:type="dxa"/>
            <w:vAlign w:val="top"/>
          </w:tcPr>
          <w:p>
            <w:pPr>
              <w:pStyle w:val="8"/>
              <w:spacing w:before="120" w:line="360" w:lineRule="exact"/>
              <w:ind w:left="0" w:leftChars="0"/>
              <w:jc w:val="right"/>
              <w:rPr>
                <w:rFonts w:eastAsia="PMingLiU"/>
                <w:sz w:val="18"/>
                <w:szCs w:val="18"/>
              </w:rPr>
            </w:pPr>
            <w:r>
              <w:rPr>
                <w:rFonts w:eastAsia="PMingLiU"/>
                <w:sz w:val="18"/>
                <w:szCs w:val="18"/>
              </w:rPr>
              <w:t>7,752</w:t>
            </w:r>
          </w:p>
        </w:tc>
        <w:tc>
          <w:tcPr>
            <w:tcW w:w="1162" w:type="dxa"/>
            <w:vAlign w:val="top"/>
          </w:tcPr>
          <w:p>
            <w:pPr>
              <w:pStyle w:val="8"/>
              <w:spacing w:before="120" w:line="360" w:lineRule="exact"/>
              <w:ind w:left="0" w:leftChars="0"/>
              <w:jc w:val="right"/>
              <w:rPr>
                <w:rFonts w:eastAsia="PMingLiU"/>
                <w:sz w:val="18"/>
                <w:szCs w:val="18"/>
              </w:rPr>
            </w:pPr>
            <w:r>
              <w:rPr>
                <w:rFonts w:eastAsia="PMingLiU"/>
                <w:sz w:val="18"/>
                <w:szCs w:val="18"/>
              </w:rPr>
              <w:t>308</w:t>
            </w:r>
          </w:p>
        </w:tc>
        <w:tc>
          <w:tcPr>
            <w:tcW w:w="1006" w:type="dxa"/>
            <w:vAlign w:val="top"/>
          </w:tcPr>
          <w:p>
            <w:pPr>
              <w:pStyle w:val="8"/>
              <w:spacing w:before="120" w:line="360" w:lineRule="exact"/>
              <w:ind w:left="0" w:leftChars="0"/>
              <w:jc w:val="right"/>
              <w:rPr>
                <w:rFonts w:eastAsia="PMingLiU"/>
                <w:sz w:val="18"/>
                <w:szCs w:val="18"/>
              </w:rPr>
            </w:pPr>
            <w:r>
              <w:rPr>
                <w:rFonts w:eastAsia="PMingLiU"/>
                <w:sz w:val="18"/>
                <w:szCs w:val="18"/>
              </w:rPr>
              <w:t>259</w:t>
            </w:r>
          </w:p>
        </w:tc>
        <w:tc>
          <w:tcPr>
            <w:tcW w:w="1497" w:type="dxa"/>
            <w:vAlign w:val="top"/>
          </w:tcPr>
          <w:p>
            <w:pPr>
              <w:pStyle w:val="8"/>
              <w:spacing w:before="120" w:line="360" w:lineRule="exact"/>
              <w:ind w:left="0" w:leftChars="0"/>
              <w:jc w:val="right"/>
              <w:rPr>
                <w:rFonts w:eastAsia="PMingLiU"/>
                <w:sz w:val="18"/>
                <w:szCs w:val="18"/>
              </w:rPr>
            </w:pPr>
            <w:r>
              <w:rPr>
                <w:rFonts w:eastAsia="PMingLiU"/>
                <w:sz w:val="18"/>
                <w:szCs w:val="18"/>
              </w:rPr>
              <w:t>-856</w:t>
            </w:r>
          </w:p>
        </w:tc>
      </w:tr>
    </w:tbl>
    <w:p>
      <w:pPr>
        <w:pStyle w:val="4"/>
        <w:snapToGrid w:val="0"/>
        <w:jc w:val="both"/>
        <w:rPr>
          <w:rFonts w:ascii="Times New Roman" w:hAnsi="Times New Roman" w:eastAsia="PMingLiU"/>
          <w:sz w:val="22"/>
        </w:rPr>
      </w:pPr>
    </w:p>
    <w:p>
      <w:pPr>
        <w:pStyle w:val="4"/>
        <w:snapToGrid w:val="0"/>
        <w:ind w:left="360"/>
        <w:jc w:val="both"/>
        <w:rPr>
          <w:rFonts w:ascii="Times New Roman" w:hAnsi="Times New Roman" w:eastAsia="PMingLiU"/>
          <w:sz w:val="22"/>
        </w:rPr>
      </w:pPr>
    </w:p>
    <w:p>
      <w:pPr>
        <w:pStyle w:val="4"/>
        <w:snapToGrid w:val="0"/>
        <w:jc w:val="both"/>
        <w:rPr>
          <w:rFonts w:ascii="Times New Roman" w:hAnsi="Times New Roman" w:eastAsia="PMingLiU"/>
          <w:sz w:val="22"/>
        </w:rPr>
      </w:pPr>
      <w:r>
        <w:rPr>
          <w:rFonts w:ascii="Times New Roman" w:hAnsi="Times New Roman" w:eastAsia="PMingLiU"/>
          <w:sz w:val="22"/>
          <w:lang w:eastAsia="zh-CN"/>
        </w:rPr>
        <w:t>(6)</w:t>
      </w:r>
      <w:r>
        <w:rPr>
          <w:rFonts w:ascii="Times New Roman" w:hAnsi="Times New Roman" w:eastAsia="PMingLiU"/>
          <w:sz w:val="22"/>
          <w:lang/>
        </w:rPr>
        <w:t xml:space="preserve"> </w:t>
      </w:r>
      <w:r>
        <w:rPr>
          <w:rFonts w:ascii="Times New Roman" w:hAnsi="Times New Roman" w:eastAsia="PMingLiU"/>
          <w:sz w:val="22"/>
          <w:lang w:eastAsia="zh-CN"/>
        </w:rPr>
        <w:t>根據山東產權交易中心有關競</w:t>
      </w:r>
      <w:r>
        <w:rPr>
          <w:rFonts w:hint="eastAsia" w:ascii="Times New Roman" w:hAnsi="Times New Roman" w:eastAsia="PMingLiU"/>
          <w:sz w:val="22"/>
          <w:lang/>
        </w:rPr>
        <w:t>標</w:t>
      </w:r>
      <w:r>
        <w:rPr>
          <w:rFonts w:ascii="Times New Roman" w:hAnsi="Times New Roman" w:eastAsia="PMingLiU"/>
          <w:sz w:val="22"/>
          <w:lang w:eastAsia="zh-CN"/>
        </w:rPr>
        <w:t>的規定，競標者（包括但不限於本公司）須分別就競購萬博權益及新達權益交納保證金人民幣190萬元及人民幣700萬元，以證明彼等</w:t>
      </w:r>
      <w:r>
        <w:rPr>
          <w:rFonts w:hint="eastAsia" w:ascii="Times New Roman" w:hAnsi="Times New Roman" w:eastAsia="PMingLiU"/>
          <w:sz w:val="22"/>
          <w:lang/>
        </w:rPr>
        <w:t>合</w:t>
      </w:r>
      <w:r>
        <w:rPr>
          <w:rFonts w:hint="eastAsia" w:ascii="Times New Roman" w:hAnsi="Times New Roman" w:eastAsia="PMingLiU"/>
          <w:sz w:val="22"/>
        </w:rPr>
        <w:t>乎</w:t>
      </w:r>
      <w:r>
        <w:rPr>
          <w:rFonts w:ascii="Times New Roman" w:hAnsi="Times New Roman" w:eastAsia="PMingLiU"/>
          <w:sz w:val="22"/>
          <w:lang w:eastAsia="zh-CN"/>
        </w:rPr>
        <w:t>受讓</w:t>
      </w:r>
      <w:r>
        <w:rPr>
          <w:rFonts w:hint="eastAsia" w:ascii="Times New Roman" w:hAnsi="Times New Roman" w:eastAsia="PMingLiU"/>
          <w:sz w:val="22"/>
          <w:lang/>
        </w:rPr>
        <w:t>方資格條</w:t>
      </w:r>
      <w:r>
        <w:rPr>
          <w:rFonts w:hint="eastAsia" w:ascii="Times New Roman" w:hAnsi="Times New Roman" w:eastAsia="PMingLiU"/>
          <w:sz w:val="22"/>
        </w:rPr>
        <w:t>件</w:t>
      </w:r>
      <w:r>
        <w:rPr>
          <w:rFonts w:ascii="Times New Roman" w:hAnsi="Times New Roman" w:eastAsia="PMingLiU"/>
          <w:sz w:val="22"/>
          <w:lang w:eastAsia="zh-CN"/>
        </w:rPr>
        <w:t>。此等保證金將用於抵銷賣方與中標者訂立的最終協議下的部分代價（｢</w:t>
      </w:r>
      <w:r>
        <w:rPr>
          <w:rFonts w:ascii="Times New Roman" w:hAnsi="Times New Roman" w:eastAsia="PMingLiU"/>
          <w:b/>
          <w:sz w:val="22"/>
          <w:lang w:eastAsia="zh-CN"/>
        </w:rPr>
        <w:t>代價</w:t>
      </w:r>
      <w:r>
        <w:rPr>
          <w:rFonts w:ascii="Times New Roman" w:hAnsi="Times New Roman" w:eastAsia="PMingLiU"/>
          <w:sz w:val="22"/>
          <w:lang w:eastAsia="zh-CN"/>
        </w:rPr>
        <w:t>｣），剩餘代價</w:t>
      </w:r>
      <w:r>
        <w:rPr>
          <w:rFonts w:hint="eastAsia" w:ascii="Times New Roman" w:hAnsi="Times New Roman"/>
          <w:sz w:val="22"/>
          <w:lang/>
        </w:rPr>
        <w:t>將</w:t>
      </w:r>
      <w:r>
        <w:rPr>
          <w:rFonts w:ascii="Times New Roman" w:hAnsi="Times New Roman" w:eastAsia="PMingLiU"/>
          <w:sz w:val="22"/>
          <w:lang w:eastAsia="zh-CN"/>
        </w:rPr>
        <w:t>一次性償付；</w:t>
      </w:r>
    </w:p>
    <w:p>
      <w:pPr>
        <w:pStyle w:val="15"/>
        <w:rPr>
          <w:sz w:val="22"/>
        </w:rPr>
      </w:pPr>
    </w:p>
    <w:p>
      <w:pPr>
        <w:pStyle w:val="4"/>
        <w:snapToGrid w:val="0"/>
        <w:jc w:val="both"/>
        <w:rPr>
          <w:rFonts w:ascii="Times New Roman" w:hAnsi="Times New Roman" w:eastAsia="PMingLiU"/>
          <w:sz w:val="22"/>
        </w:rPr>
      </w:pPr>
      <w:r>
        <w:rPr>
          <w:rFonts w:ascii="Times New Roman" w:hAnsi="Times New Roman" w:eastAsia="PMingLiU"/>
          <w:sz w:val="22"/>
        </w:rPr>
        <w:t xml:space="preserve">(7) </w:t>
      </w:r>
      <w:r>
        <w:rPr>
          <w:rFonts w:ascii="Times New Roman" w:hAnsi="Times New Roman" w:eastAsia="PMingLiU"/>
          <w:sz w:val="22"/>
          <w:lang w:eastAsia="zh-CN"/>
        </w:rPr>
        <w:t>截至本公告日期，賣方與本公司及</w:t>
      </w:r>
      <w:r>
        <w:rPr>
          <w:rFonts w:hint="eastAsia" w:ascii="宋体" w:hAnsi="宋体" w:eastAsia="宋体" w:cs="宋体"/>
          <w:sz w:val="22"/>
          <w:lang w:eastAsia="zh-CN"/>
        </w:rPr>
        <w:t>╱</w:t>
      </w:r>
      <w:r>
        <w:rPr>
          <w:rFonts w:ascii="Times New Roman" w:hAnsi="Times New Roman" w:eastAsia="PMingLiU"/>
          <w:sz w:val="22"/>
          <w:lang w:eastAsia="zh-CN"/>
        </w:rPr>
        <w:t>或其任何附屬公司（統稱｢</w:t>
      </w:r>
      <w:r>
        <w:rPr>
          <w:rFonts w:hint="eastAsia" w:ascii="Times New Roman" w:hAnsi="Times New Roman" w:eastAsia="PMingLiU"/>
          <w:b/>
          <w:sz w:val="22"/>
          <w:lang w:eastAsia="zh-CN"/>
        </w:rPr>
        <w:t>本集團</w:t>
      </w:r>
      <w:r>
        <w:rPr>
          <w:rFonts w:ascii="Times New Roman" w:hAnsi="Times New Roman" w:eastAsia="PMingLiU"/>
          <w:sz w:val="22"/>
          <w:lang w:eastAsia="zh-CN"/>
        </w:rPr>
        <w:t>｣）就競</w:t>
      </w:r>
      <w:r>
        <w:rPr>
          <w:rFonts w:hint="eastAsia" w:ascii="Times New Roman" w:hAnsi="Times New Roman" w:eastAsia="PMingLiU"/>
          <w:sz w:val="22"/>
          <w:lang w:eastAsia="zh-CN"/>
        </w:rPr>
        <w:t>標</w:t>
      </w:r>
      <w:r>
        <w:rPr>
          <w:rFonts w:ascii="Times New Roman" w:hAnsi="Times New Roman" w:eastAsia="PMingLiU"/>
          <w:sz w:val="22"/>
          <w:lang w:eastAsia="zh-CN"/>
        </w:rPr>
        <w:t>建議收購萬博權益及新達權益（統稱｢</w:t>
      </w:r>
      <w:r>
        <w:rPr>
          <w:rFonts w:hint="eastAsia" w:ascii="Times New Roman" w:hAnsi="Times New Roman" w:eastAsia="PMingLiU"/>
          <w:b/>
          <w:sz w:val="22"/>
          <w:lang w:eastAsia="zh-CN"/>
        </w:rPr>
        <w:t>收購事項</w:t>
      </w:r>
      <w:r>
        <w:rPr>
          <w:rFonts w:ascii="Times New Roman" w:hAnsi="Times New Roman" w:eastAsia="PMingLiU"/>
          <w:sz w:val="22"/>
          <w:lang w:eastAsia="zh-CN"/>
        </w:rPr>
        <w:t>｣）</w:t>
      </w:r>
      <w:r>
        <w:rPr>
          <w:rFonts w:hint="eastAsia" w:ascii="Times New Roman" w:hAnsi="Times New Roman"/>
          <w:sz w:val="22"/>
          <w:lang/>
        </w:rPr>
        <w:t>並</w:t>
      </w:r>
      <w:r>
        <w:rPr>
          <w:rFonts w:ascii="Times New Roman" w:hAnsi="Times New Roman" w:eastAsia="PMingLiU"/>
          <w:sz w:val="22"/>
          <w:lang w:eastAsia="zh-CN"/>
        </w:rPr>
        <w:t>未訂立任何最終協議或具法律約束力的文件</w:t>
      </w:r>
      <w:r>
        <w:rPr>
          <w:rFonts w:hint="eastAsia" w:ascii="Times New Roman" w:hAnsi="Times New Roman" w:eastAsia="PMingLiU"/>
          <w:sz w:val="22"/>
          <w:lang/>
        </w:rPr>
        <w:t>或</w:t>
      </w:r>
      <w:r>
        <w:rPr>
          <w:rFonts w:ascii="Times New Roman" w:hAnsi="Times New Roman" w:eastAsia="PMingLiU"/>
          <w:sz w:val="22"/>
          <w:lang w:eastAsia="zh-CN"/>
        </w:rPr>
        <w:t>達成任何條款及條文；及</w:t>
      </w:r>
    </w:p>
    <w:p>
      <w:pPr>
        <w:pStyle w:val="15"/>
        <w:rPr>
          <w:sz w:val="22"/>
        </w:rPr>
      </w:pPr>
    </w:p>
    <w:p>
      <w:pPr>
        <w:pStyle w:val="4"/>
        <w:snapToGrid w:val="0"/>
        <w:jc w:val="both"/>
        <w:rPr>
          <w:rFonts w:ascii="Times New Roman" w:hAnsi="Times New Roman" w:eastAsia="PMingLiU"/>
          <w:sz w:val="22"/>
        </w:rPr>
      </w:pPr>
      <w:r>
        <w:rPr>
          <w:rFonts w:ascii="Times New Roman" w:hAnsi="Times New Roman" w:eastAsia="PMingLiU"/>
          <w:sz w:val="22"/>
        </w:rPr>
        <w:t xml:space="preserve">(8) </w:t>
      </w:r>
      <w:r>
        <w:rPr>
          <w:rFonts w:ascii="Times New Roman" w:hAnsi="Times New Roman" w:eastAsia="PMingLiU"/>
          <w:sz w:val="22"/>
          <w:lang w:eastAsia="zh-CN"/>
        </w:rPr>
        <w:t>截至本公告日期，(i)新達製藥由華魯控股集團及本公司分別擁有其40%及60%之股權，為本公司之附屬公司（定義見上市規則）；</w:t>
      </w:r>
      <w:r>
        <w:rPr>
          <w:rFonts w:hint="eastAsia" w:ascii="Times New Roman" w:hAnsi="Times New Roman" w:eastAsia="PMingLiU"/>
          <w:sz w:val="22"/>
          <w:lang/>
        </w:rPr>
        <w:t>及</w:t>
      </w:r>
      <w:r>
        <w:rPr>
          <w:rFonts w:ascii="Times New Roman" w:hAnsi="Times New Roman" w:eastAsia="PMingLiU"/>
          <w:sz w:val="22"/>
          <w:lang w:eastAsia="zh-CN"/>
        </w:rPr>
        <w:t>(ii)萬博化工由山東新華醫藥集團全資擁有，將不會因為本公司於競價中成功競標而成為本公司之附屬公司。</w:t>
      </w:r>
      <w:r>
        <w:rPr>
          <w:rFonts w:hint="eastAsia" w:ascii="Times New Roman" w:hAnsi="Times New Roman" w:eastAsia="PMingLiU"/>
          <w:sz w:val="22"/>
          <w:lang/>
        </w:rPr>
        <w:t>如</w:t>
      </w:r>
      <w:r>
        <w:rPr>
          <w:rFonts w:ascii="Times New Roman" w:hAnsi="Times New Roman" w:eastAsia="PMingLiU"/>
          <w:sz w:val="22"/>
          <w:lang w:eastAsia="zh-CN"/>
        </w:rPr>
        <w:t>競購</w:t>
      </w:r>
      <w:r>
        <w:rPr>
          <w:rFonts w:hint="eastAsia" w:ascii="Times New Roman" w:hAnsi="Times New Roman" w:eastAsia="PMingLiU"/>
          <w:sz w:val="22"/>
          <w:lang/>
        </w:rPr>
        <w:t>入標</w:t>
      </w:r>
      <w:r>
        <w:rPr>
          <w:rFonts w:ascii="Times New Roman" w:hAnsi="Times New Roman" w:eastAsia="PMingLiU"/>
          <w:sz w:val="22"/>
          <w:lang w:eastAsia="zh-CN"/>
        </w:rPr>
        <w:t xml:space="preserve">成功，代價將由本集團內部資源以現金支付。 </w:t>
      </w:r>
    </w:p>
    <w:p>
      <w:pPr>
        <w:pStyle w:val="4"/>
        <w:snapToGrid w:val="0"/>
        <w:jc w:val="both"/>
        <w:rPr>
          <w:rFonts w:ascii="Times New Roman" w:hAnsi="Times New Roman" w:eastAsia="PMingLiU"/>
          <w:sz w:val="22"/>
        </w:rPr>
      </w:pPr>
    </w:p>
    <w:p>
      <w:pPr>
        <w:pStyle w:val="4"/>
        <w:snapToGrid w:val="0"/>
        <w:jc w:val="both"/>
        <w:rPr>
          <w:rFonts w:ascii="Times New Roman" w:hAnsi="Times New Roman" w:eastAsia="PMingLiU"/>
          <w:sz w:val="22"/>
        </w:rPr>
      </w:pPr>
      <w:r>
        <w:rPr>
          <w:rFonts w:ascii="Times New Roman" w:hAnsi="Times New Roman" w:eastAsia="PMingLiU"/>
          <w:sz w:val="22"/>
          <w:lang w:eastAsia="zh-CN"/>
        </w:rPr>
        <w:t>截至本公告日期，賣方</w:t>
      </w:r>
      <w:r>
        <w:rPr>
          <w:rFonts w:hint="eastAsia" w:ascii="Times New Roman" w:hAnsi="Times New Roman" w:eastAsia="PMingLiU"/>
          <w:sz w:val="22"/>
          <w:lang/>
        </w:rPr>
        <w:t>亦</w:t>
      </w:r>
      <w:r>
        <w:rPr>
          <w:rFonts w:ascii="Times New Roman" w:hAnsi="Times New Roman" w:eastAsia="PMingLiU"/>
          <w:sz w:val="22"/>
          <w:lang w:eastAsia="zh-CN"/>
        </w:rPr>
        <w:t>即山東新華醫藥集團及華魯控股集團均為中華人民共和國（｢</w:t>
      </w:r>
      <w:r>
        <w:rPr>
          <w:rFonts w:ascii="Times New Roman" w:hAnsi="Times New Roman" w:eastAsia="PMingLiU"/>
          <w:b/>
          <w:sz w:val="22"/>
          <w:lang w:eastAsia="zh-CN"/>
        </w:rPr>
        <w:t>中國</w:t>
      </w:r>
      <w:r>
        <w:rPr>
          <w:rFonts w:ascii="Times New Roman" w:hAnsi="Times New Roman" w:eastAsia="PMingLiU"/>
          <w:sz w:val="22"/>
          <w:lang w:eastAsia="zh-CN"/>
        </w:rPr>
        <w:t>｣）國有獨資企業，分別為本公司直接控股股東及山東新華醫藥集團之控股公司。</w:t>
      </w:r>
      <w:r>
        <w:rPr>
          <w:rFonts w:hint="eastAsia" w:ascii="Times New Roman" w:hAnsi="Times New Roman" w:eastAsia="PMingLiU"/>
          <w:sz w:val="22"/>
          <w:lang/>
        </w:rPr>
        <w:t>該等</w:t>
      </w:r>
      <w:r>
        <w:rPr>
          <w:rFonts w:ascii="Times New Roman" w:hAnsi="Times New Roman" w:eastAsia="PMingLiU"/>
          <w:sz w:val="22"/>
          <w:lang w:eastAsia="zh-CN"/>
        </w:rPr>
        <w:t>建議收購事項各自及合併計算之所有適用百分比率（具有上市規則賦予該詞之涵義，並假設代價比率根據</w:t>
      </w:r>
      <w:r>
        <w:rPr>
          <w:rFonts w:hint="eastAsia" w:ascii="Times New Roman" w:hAnsi="Times New Roman" w:eastAsia="PMingLiU"/>
          <w:sz w:val="22"/>
          <w:lang/>
        </w:rPr>
        <w:t>掛</w:t>
      </w:r>
      <w:r>
        <w:rPr>
          <w:rFonts w:hint="eastAsia" w:ascii="Times New Roman" w:hAnsi="Times New Roman" w:eastAsia="PMingLiU"/>
          <w:sz w:val="22"/>
        </w:rPr>
        <w:t>牌</w:t>
      </w:r>
      <w:r>
        <w:rPr>
          <w:rFonts w:ascii="Times New Roman" w:hAnsi="Times New Roman" w:eastAsia="PMingLiU"/>
          <w:sz w:val="22"/>
          <w:lang w:eastAsia="zh-CN"/>
        </w:rPr>
        <w:t>價計算）高於0.1%及低於5%。倘最終</w:t>
      </w:r>
      <w:r>
        <w:rPr>
          <w:rFonts w:hint="eastAsia" w:ascii="Times New Roman" w:hAnsi="Times New Roman" w:eastAsia="PMingLiU"/>
          <w:sz w:val="22"/>
          <w:lang/>
        </w:rPr>
        <w:t>均以掛</w:t>
      </w:r>
      <w:r>
        <w:rPr>
          <w:rFonts w:hint="eastAsia" w:ascii="Times New Roman" w:hAnsi="Times New Roman" w:eastAsia="PMingLiU"/>
          <w:sz w:val="22"/>
        </w:rPr>
        <w:t>牌</w:t>
      </w:r>
      <w:r>
        <w:rPr>
          <w:rFonts w:hint="eastAsia" w:ascii="Times New Roman" w:hAnsi="Times New Roman" w:eastAsia="PMingLiU"/>
          <w:sz w:val="22"/>
          <w:lang/>
        </w:rPr>
        <w:t>價</w:t>
      </w:r>
      <w:r>
        <w:rPr>
          <w:rFonts w:ascii="Times New Roman" w:hAnsi="Times New Roman" w:eastAsia="PMingLiU"/>
          <w:sz w:val="22"/>
          <w:lang w:eastAsia="zh-CN"/>
        </w:rPr>
        <w:t>落實，收購事項(i)將因此而構成本公司之關連交易（具有上市規則賦予該詞之涵義）</w:t>
      </w:r>
      <w:r>
        <w:rPr>
          <w:rFonts w:hint="eastAsia" w:ascii="Times New Roman" w:hAnsi="Times New Roman"/>
          <w:sz w:val="22"/>
          <w:lang/>
        </w:rPr>
        <w:t>並須符合上市規</w:t>
      </w:r>
      <w:r>
        <w:rPr>
          <w:rFonts w:hint="eastAsia" w:ascii="Times New Roman" w:hAnsi="Times New Roman"/>
          <w:sz w:val="22"/>
        </w:rPr>
        <w:t>則</w:t>
      </w:r>
      <w:r>
        <w:rPr>
          <w:rFonts w:hint="eastAsia" w:ascii="Times New Roman" w:hAnsi="Times New Roman"/>
          <w:sz w:val="22"/>
          <w:lang/>
        </w:rPr>
        <w:t>第</w:t>
      </w:r>
      <w:r>
        <w:rPr>
          <w:rFonts w:ascii="Times New Roman" w:hAnsi="Times New Roman"/>
          <w:sz w:val="22"/>
          <w:lang/>
        </w:rPr>
        <w:t>14A</w:t>
      </w:r>
      <w:r>
        <w:rPr>
          <w:rFonts w:hint="eastAsia" w:ascii="Times New Roman" w:hAnsi="Times New Roman"/>
          <w:sz w:val="22"/>
          <w:lang/>
        </w:rPr>
        <w:t>章項下申報及公告規定但豁免於通函、獨立財</w:t>
      </w:r>
      <w:r>
        <w:rPr>
          <w:rFonts w:hint="eastAsia" w:ascii="Times New Roman" w:hAnsi="Times New Roman"/>
          <w:sz w:val="22"/>
        </w:rPr>
        <w:t>務</w:t>
      </w:r>
      <w:r>
        <w:rPr>
          <w:rFonts w:hint="eastAsia" w:ascii="Times New Roman" w:hAnsi="Times New Roman"/>
          <w:sz w:val="22"/>
          <w:lang/>
        </w:rPr>
        <w:t>意見及交無利益關係股東審批的要</w:t>
      </w:r>
      <w:r>
        <w:rPr>
          <w:rFonts w:hint="eastAsia" w:ascii="Times New Roman" w:hAnsi="Times New Roman"/>
          <w:sz w:val="22"/>
        </w:rPr>
        <w:t>求</w:t>
      </w:r>
      <w:r>
        <w:rPr>
          <w:rFonts w:ascii="Times New Roman" w:hAnsi="Times New Roman" w:eastAsia="PMingLiU"/>
          <w:sz w:val="22"/>
          <w:lang w:eastAsia="zh-CN"/>
        </w:rPr>
        <w:t>；及(ii)</w:t>
      </w:r>
      <w:r>
        <w:rPr>
          <w:rFonts w:hint="eastAsia" w:ascii="Times New Roman" w:hAnsi="Times New Roman" w:eastAsia="PMingLiU"/>
          <w:sz w:val="22"/>
          <w:lang w:eastAsia="zh-CN"/>
        </w:rPr>
        <w:t>不會</w:t>
      </w:r>
      <w:r>
        <w:rPr>
          <w:rFonts w:ascii="Times New Roman" w:hAnsi="Times New Roman" w:eastAsia="PMingLiU"/>
          <w:sz w:val="22"/>
          <w:lang w:eastAsia="zh-CN"/>
        </w:rPr>
        <w:t>構成</w:t>
      </w:r>
      <w:r>
        <w:rPr>
          <w:rFonts w:hint="eastAsia" w:ascii="Times New Roman" w:hAnsi="Times New Roman" w:eastAsia="PMingLiU"/>
          <w:sz w:val="22"/>
          <w:lang/>
        </w:rPr>
        <w:t>任何</w:t>
      </w:r>
      <w:r>
        <w:rPr>
          <w:rFonts w:ascii="Times New Roman" w:hAnsi="Times New Roman" w:eastAsia="PMingLiU"/>
          <w:sz w:val="22"/>
          <w:lang w:eastAsia="zh-CN"/>
        </w:rPr>
        <w:t>須予公佈交易（具有上市規則賦予該詞之涵義）。</w:t>
      </w:r>
    </w:p>
    <w:p>
      <w:pPr>
        <w:pStyle w:val="4"/>
        <w:snapToGrid w:val="0"/>
        <w:jc w:val="both"/>
        <w:rPr>
          <w:rFonts w:ascii="Times New Roman" w:hAnsi="Times New Roman" w:eastAsia="PMingLiU"/>
          <w:sz w:val="22"/>
        </w:rPr>
      </w:pPr>
    </w:p>
    <w:p>
      <w:pPr>
        <w:pStyle w:val="4"/>
        <w:snapToGrid w:val="0"/>
        <w:jc w:val="both"/>
        <w:rPr>
          <w:rFonts w:ascii="Times New Roman" w:hAnsi="Times New Roman" w:eastAsia="PMingLiU"/>
          <w:sz w:val="22"/>
          <w:lang w:eastAsia="zh-CN"/>
        </w:rPr>
      </w:pPr>
      <w:r>
        <w:rPr>
          <w:rFonts w:hint="eastAsia" w:ascii="Times New Roman" w:hAnsi="Times New Roman" w:eastAsia="PMingLiU"/>
          <w:sz w:val="22"/>
          <w:lang w:eastAsia="zh-CN"/>
        </w:rPr>
        <w:t>本公司董事（｢</w:t>
      </w:r>
      <w:r>
        <w:rPr>
          <w:rFonts w:hint="eastAsia" w:ascii="Times New Roman" w:hAnsi="Times New Roman" w:eastAsia="PMingLiU"/>
          <w:b/>
          <w:sz w:val="22"/>
          <w:lang w:eastAsia="zh-CN"/>
        </w:rPr>
        <w:t>董事</w:t>
      </w:r>
      <w:r>
        <w:rPr>
          <w:rFonts w:hint="eastAsia" w:ascii="Times New Roman" w:hAnsi="Times New Roman" w:eastAsia="PMingLiU"/>
          <w:sz w:val="22"/>
          <w:lang w:eastAsia="zh-CN"/>
        </w:rPr>
        <w:t>｣）</w:t>
      </w:r>
      <w:r>
        <w:rPr>
          <w:rFonts w:ascii="Times New Roman" w:hAnsi="Times New Roman" w:eastAsia="PMingLiU"/>
          <w:sz w:val="22"/>
        </w:rPr>
        <w:t>張代銘先生</w:t>
      </w:r>
      <w:r>
        <w:rPr>
          <w:rFonts w:ascii="Times New Roman" w:hAnsi="Times New Roman" w:eastAsia="PMingLiU"/>
          <w:sz w:val="22"/>
          <w:lang w:eastAsia="zh-CN"/>
        </w:rPr>
        <w:t>、任福龍先生、徐列先生、趙斌先生因彼等各自於華魯控股集團及</w:t>
      </w:r>
      <w:r>
        <w:rPr>
          <w:rFonts w:hint="eastAsia" w:ascii="宋体" w:hAnsi="宋体" w:eastAsia="宋体" w:cs="宋体"/>
          <w:sz w:val="22"/>
          <w:lang w:eastAsia="zh-CN"/>
        </w:rPr>
        <w:t>╱</w:t>
      </w:r>
      <w:r>
        <w:rPr>
          <w:rFonts w:ascii="Times New Roman" w:hAnsi="Times New Roman" w:eastAsia="PMingLiU"/>
          <w:sz w:val="22"/>
          <w:lang w:eastAsia="zh-CN"/>
        </w:rPr>
        <w:t>或山東新華醫藥集團之董事職務或管理層成員之職位已就有關競購</w:t>
      </w:r>
      <w:r>
        <w:rPr>
          <w:rFonts w:hint="eastAsia" w:ascii="Times New Roman" w:hAnsi="Times New Roman" w:eastAsia="PMingLiU"/>
          <w:sz w:val="22"/>
          <w:lang/>
        </w:rPr>
        <w:t>入標</w:t>
      </w:r>
      <w:r>
        <w:rPr>
          <w:rFonts w:ascii="Times New Roman" w:hAnsi="Times New Roman" w:eastAsia="PMingLiU"/>
          <w:sz w:val="22"/>
          <w:lang w:eastAsia="zh-CN"/>
        </w:rPr>
        <w:t>及其項下擬進行業務之決策放棄投票。除上文所披露者外，本公司並無知悉任何其他董事於相關事項中持有重大權益。</w:t>
      </w:r>
    </w:p>
    <w:p>
      <w:pPr>
        <w:pStyle w:val="4"/>
        <w:snapToGrid w:val="0"/>
        <w:jc w:val="both"/>
        <w:rPr>
          <w:rFonts w:ascii="Times New Roman" w:hAnsi="Times New Roman" w:eastAsia="PMingLiU"/>
          <w:sz w:val="22"/>
        </w:rPr>
      </w:pPr>
    </w:p>
    <w:p>
      <w:pPr>
        <w:pStyle w:val="4"/>
        <w:snapToGrid w:val="0"/>
        <w:jc w:val="both"/>
        <w:rPr>
          <w:rFonts w:ascii="Times New Roman" w:hAnsi="Times New Roman" w:eastAsia="PMingLiU"/>
          <w:sz w:val="22"/>
          <w:lang w:eastAsia="zh-CN"/>
        </w:rPr>
      </w:pPr>
      <w:r>
        <w:rPr>
          <w:rFonts w:hint="eastAsia" w:ascii="Times New Roman" w:hAnsi="Times New Roman" w:eastAsia="PMingLiU"/>
          <w:sz w:val="22"/>
          <w:lang/>
        </w:rPr>
        <w:t>視</w:t>
      </w:r>
      <w:r>
        <w:rPr>
          <w:rFonts w:hint="eastAsia" w:ascii="Times New Roman" w:hAnsi="Times New Roman" w:eastAsia="PMingLiU"/>
          <w:sz w:val="22"/>
        </w:rPr>
        <w:t>乎</w:t>
      </w:r>
      <w:r>
        <w:rPr>
          <w:rFonts w:hint="eastAsia" w:ascii="Times New Roman" w:hAnsi="Times New Roman" w:eastAsia="PMingLiU"/>
          <w:sz w:val="22"/>
          <w:lang/>
        </w:rPr>
        <w:t>競標發展</w:t>
      </w:r>
      <w:r>
        <w:rPr>
          <w:rFonts w:hint="eastAsia" w:ascii="Times New Roman" w:hAnsi="Times New Roman" w:eastAsia="PMingLiU"/>
          <w:sz w:val="22"/>
        </w:rPr>
        <w:t>,</w:t>
      </w:r>
      <w:r>
        <w:rPr>
          <w:rFonts w:ascii="Times New Roman" w:hAnsi="Times New Roman" w:eastAsia="PMingLiU"/>
          <w:sz w:val="22"/>
          <w:lang/>
        </w:rPr>
        <w:t xml:space="preserve"> </w:t>
      </w:r>
      <w:r>
        <w:rPr>
          <w:rFonts w:hint="eastAsia" w:ascii="Times New Roman" w:hAnsi="Times New Roman" w:eastAsia="PMingLiU"/>
          <w:sz w:val="22"/>
          <w:lang/>
        </w:rPr>
        <w:t>如有所須</w:t>
      </w:r>
      <w:r>
        <w:rPr>
          <w:rFonts w:ascii="Times New Roman" w:hAnsi="Times New Roman" w:eastAsia="PMingLiU"/>
          <w:sz w:val="22"/>
          <w:lang w:eastAsia="zh-CN"/>
        </w:rPr>
        <w:t>本公司將按上市規則</w:t>
      </w:r>
      <w:r>
        <w:rPr>
          <w:rFonts w:hint="eastAsia" w:ascii="Times New Roman" w:hAnsi="Times New Roman" w:eastAsia="PMingLiU"/>
          <w:sz w:val="22"/>
          <w:lang/>
        </w:rPr>
        <w:t>下</w:t>
      </w:r>
      <w:r>
        <w:rPr>
          <w:rFonts w:ascii="Times New Roman" w:hAnsi="Times New Roman" w:eastAsia="PMingLiU"/>
          <w:sz w:val="22"/>
          <w:lang w:eastAsia="zh-CN"/>
        </w:rPr>
        <w:t>關連交易及</w:t>
      </w:r>
      <w:r>
        <w:rPr>
          <w:rFonts w:hint="eastAsia" w:ascii="宋体" w:hAnsi="宋体" w:eastAsia="宋体" w:cs="宋体"/>
          <w:sz w:val="22"/>
          <w:lang w:eastAsia="zh-CN"/>
        </w:rPr>
        <w:t>╱</w:t>
      </w:r>
      <w:r>
        <w:rPr>
          <w:rFonts w:ascii="Times New Roman" w:hAnsi="Times New Roman" w:eastAsia="PMingLiU"/>
          <w:sz w:val="22"/>
          <w:lang w:eastAsia="zh-CN"/>
        </w:rPr>
        <w:t>或須予公佈交易之適用規定</w:t>
      </w:r>
      <w:r>
        <w:rPr>
          <w:rFonts w:hint="eastAsia" w:ascii="Times New Roman" w:hAnsi="Times New Roman" w:eastAsia="PMingLiU"/>
          <w:sz w:val="22"/>
          <w:lang/>
        </w:rPr>
        <w:t>及格式</w:t>
      </w:r>
      <w:r>
        <w:rPr>
          <w:rFonts w:ascii="Times New Roman" w:hAnsi="Times New Roman" w:eastAsia="PMingLiU"/>
          <w:sz w:val="22"/>
          <w:lang w:eastAsia="zh-CN"/>
        </w:rPr>
        <w:t>適時刊發進一步公告。</w:t>
      </w:r>
    </w:p>
    <w:p>
      <w:pPr>
        <w:pStyle w:val="4"/>
        <w:snapToGrid w:val="0"/>
        <w:jc w:val="both"/>
        <w:rPr>
          <w:rFonts w:ascii="Times New Roman" w:hAnsi="Times New Roman" w:eastAsia="PMingLiU"/>
          <w:b/>
          <w:bCs/>
          <w:sz w:val="22"/>
          <w:highlight w:val="yellow"/>
        </w:rPr>
      </w:pPr>
    </w:p>
    <w:p>
      <w:pPr>
        <w:pStyle w:val="4"/>
        <w:snapToGrid w:val="0"/>
        <w:jc w:val="both"/>
        <w:rPr>
          <w:rFonts w:ascii="Times New Roman" w:hAnsi="Times New Roman" w:eastAsia="PMingLiU"/>
          <w:b/>
          <w:bCs/>
          <w:sz w:val="22"/>
          <w:lang w:eastAsia="zh-CN"/>
        </w:rPr>
      </w:pPr>
      <w:r>
        <w:rPr>
          <w:rFonts w:ascii="Times New Roman" w:hAnsi="Times New Roman" w:eastAsia="PMingLiU"/>
          <w:b/>
          <w:bCs/>
          <w:sz w:val="22"/>
          <w:lang w:eastAsia="zh-CN"/>
        </w:rPr>
        <w:t>競</w:t>
      </w:r>
      <w:r>
        <w:rPr>
          <w:rFonts w:hint="eastAsia" w:ascii="Times New Roman" w:hAnsi="Times New Roman" w:eastAsia="PMingLiU"/>
          <w:b/>
          <w:bCs/>
          <w:sz w:val="22"/>
          <w:lang/>
        </w:rPr>
        <w:t>標</w:t>
      </w:r>
      <w:r>
        <w:rPr>
          <w:rFonts w:ascii="Times New Roman" w:hAnsi="Times New Roman" w:eastAsia="PMingLiU"/>
          <w:b/>
          <w:bCs/>
          <w:sz w:val="22"/>
          <w:lang w:eastAsia="zh-CN"/>
        </w:rPr>
        <w:t>建議收購事項</w:t>
      </w:r>
      <w:r>
        <w:rPr>
          <w:rFonts w:hint="eastAsia" w:ascii="Times New Roman" w:hAnsi="Times New Roman" w:eastAsia="PMingLiU"/>
          <w:b/>
          <w:bCs/>
          <w:sz w:val="22"/>
          <w:lang/>
        </w:rPr>
        <w:t>尚</w:t>
      </w:r>
      <w:r>
        <w:rPr>
          <w:rFonts w:ascii="Times New Roman" w:hAnsi="Times New Roman" w:eastAsia="PMingLiU"/>
          <w:b/>
          <w:bCs/>
          <w:sz w:val="22"/>
          <w:lang w:eastAsia="zh-CN"/>
        </w:rPr>
        <w:t>須經過相關競</w:t>
      </w:r>
      <w:r>
        <w:rPr>
          <w:rFonts w:hint="eastAsia" w:ascii="Times New Roman" w:hAnsi="Times New Roman" w:eastAsia="PMingLiU"/>
          <w:b/>
          <w:bCs/>
          <w:sz w:val="22"/>
          <w:lang/>
        </w:rPr>
        <w:t>標</w:t>
      </w:r>
      <w:r>
        <w:rPr>
          <w:rFonts w:ascii="Times New Roman" w:hAnsi="Times New Roman" w:eastAsia="PMingLiU"/>
          <w:b/>
          <w:bCs/>
          <w:sz w:val="22"/>
          <w:lang w:eastAsia="zh-CN"/>
        </w:rPr>
        <w:t>及掛牌拍賣程序，</w:t>
      </w:r>
      <w:r>
        <w:rPr>
          <w:rFonts w:hint="eastAsia" w:ascii="Times New Roman" w:hAnsi="Times New Roman" w:eastAsia="PMingLiU"/>
          <w:b/>
          <w:bCs/>
          <w:sz w:val="22"/>
          <w:lang/>
        </w:rPr>
        <w:t>以上對其他</w:t>
      </w:r>
      <w:r>
        <w:rPr>
          <w:rFonts w:ascii="Times New Roman" w:hAnsi="Times New Roman" w:eastAsia="PMingLiU"/>
          <w:b/>
          <w:bCs/>
          <w:sz w:val="22"/>
          <w:lang w:eastAsia="zh-CN"/>
        </w:rPr>
        <w:t>投資</w:t>
      </w:r>
      <w:r>
        <w:rPr>
          <w:rFonts w:hint="eastAsia" w:ascii="Times New Roman" w:hAnsi="Times New Roman" w:eastAsia="PMingLiU"/>
          <w:b/>
          <w:bCs/>
          <w:sz w:val="22"/>
          <w:lang/>
        </w:rPr>
        <w:t>者</w:t>
      </w:r>
      <w:r>
        <w:rPr>
          <w:rFonts w:ascii="Times New Roman" w:hAnsi="Times New Roman" w:eastAsia="PMingLiU"/>
          <w:b/>
          <w:bCs/>
          <w:sz w:val="22"/>
          <w:lang w:eastAsia="zh-CN"/>
        </w:rPr>
        <w:t>開</w:t>
      </w:r>
      <w:r>
        <w:rPr>
          <w:rFonts w:hint="eastAsia" w:ascii="Times New Roman" w:hAnsi="Times New Roman"/>
          <w:b/>
          <w:bCs/>
          <w:sz w:val="22"/>
          <w:lang/>
        </w:rPr>
        <w:t>放</w:t>
      </w:r>
      <w:r>
        <w:rPr>
          <w:rFonts w:hint="eastAsia" w:ascii="Times New Roman" w:hAnsi="Times New Roman" w:eastAsia="PMingLiU"/>
          <w:b/>
          <w:bCs/>
          <w:sz w:val="22"/>
          <w:lang/>
        </w:rPr>
        <w:t>而</w:t>
      </w:r>
      <w:r>
        <w:rPr>
          <w:rFonts w:hint="eastAsia" w:ascii="Times New Roman" w:hAnsi="Times New Roman" w:eastAsia="PMingLiU"/>
          <w:b/>
          <w:bCs/>
          <w:sz w:val="22"/>
        </w:rPr>
        <w:t>且</w:t>
      </w:r>
      <w:r>
        <w:rPr>
          <w:rFonts w:ascii="Times New Roman" w:hAnsi="Times New Roman" w:eastAsia="PMingLiU"/>
          <w:b/>
          <w:bCs/>
          <w:sz w:val="22"/>
          <w:lang w:eastAsia="zh-CN"/>
        </w:rPr>
        <w:t>受有關轉讓國有資產之適用法律、規則及條例所</w:t>
      </w:r>
      <w:r>
        <w:rPr>
          <w:rFonts w:hint="eastAsia" w:ascii="Times New Roman" w:hAnsi="Times New Roman" w:eastAsia="PMingLiU"/>
          <w:b/>
          <w:bCs/>
          <w:sz w:val="22"/>
          <w:lang/>
        </w:rPr>
        <w:t>轄</w:t>
      </w:r>
      <w:r>
        <w:rPr>
          <w:rFonts w:ascii="Times New Roman" w:hAnsi="Times New Roman" w:eastAsia="PMingLiU"/>
          <w:b/>
          <w:bCs/>
          <w:sz w:val="22"/>
          <w:lang w:eastAsia="zh-CN"/>
        </w:rPr>
        <w:t>。視競</w:t>
      </w:r>
      <w:r>
        <w:rPr>
          <w:rFonts w:hint="eastAsia" w:ascii="Times New Roman" w:hAnsi="Times New Roman" w:eastAsia="PMingLiU"/>
          <w:b/>
          <w:bCs/>
          <w:sz w:val="22"/>
          <w:lang/>
        </w:rPr>
        <w:t>標事</w:t>
      </w:r>
      <w:r>
        <w:rPr>
          <w:rFonts w:hint="eastAsia" w:ascii="Times New Roman" w:hAnsi="Times New Roman" w:eastAsia="PMingLiU"/>
          <w:b/>
          <w:bCs/>
          <w:sz w:val="22"/>
        </w:rPr>
        <w:t>宜</w:t>
      </w:r>
      <w:r>
        <w:rPr>
          <w:rFonts w:ascii="Times New Roman" w:hAnsi="Times New Roman" w:eastAsia="PMingLiU"/>
          <w:b/>
          <w:bCs/>
          <w:sz w:val="22"/>
          <w:lang w:eastAsia="zh-CN"/>
        </w:rPr>
        <w:t>之發展以及將與賣方訂立之</w:t>
      </w:r>
      <w:r>
        <w:rPr>
          <w:rFonts w:hint="eastAsia" w:ascii="Times New Roman" w:hAnsi="Times New Roman" w:eastAsia="PMingLiU"/>
          <w:b/>
          <w:bCs/>
          <w:sz w:val="22"/>
          <w:lang/>
        </w:rPr>
        <w:t>正式</w:t>
      </w:r>
      <w:r>
        <w:rPr>
          <w:rFonts w:ascii="Times New Roman" w:hAnsi="Times New Roman" w:eastAsia="PMingLiU"/>
          <w:b/>
          <w:bCs/>
          <w:sz w:val="22"/>
          <w:lang w:eastAsia="zh-CN"/>
        </w:rPr>
        <w:t>協議而定，建議收購事項可能</w:t>
      </w:r>
      <w:r>
        <w:rPr>
          <w:rFonts w:hint="eastAsia" w:ascii="Times New Roman" w:hAnsi="Times New Roman" w:eastAsia="PMingLiU"/>
          <w:b/>
          <w:bCs/>
          <w:sz w:val="22"/>
          <w:lang/>
        </w:rPr>
        <w:t>會亦可</w:t>
      </w:r>
      <w:r>
        <w:rPr>
          <w:rFonts w:hint="eastAsia" w:ascii="Times New Roman" w:hAnsi="Times New Roman" w:eastAsia="PMingLiU"/>
          <w:b/>
          <w:bCs/>
          <w:sz w:val="22"/>
        </w:rPr>
        <w:t>能</w:t>
      </w:r>
      <w:r>
        <w:rPr>
          <w:rFonts w:ascii="Times New Roman" w:hAnsi="Times New Roman" w:eastAsia="PMingLiU"/>
          <w:b/>
          <w:bCs/>
          <w:sz w:val="22"/>
          <w:lang w:eastAsia="zh-CN"/>
        </w:rPr>
        <w:t>不會進行，本公司股東及潛在投資者於買賣本公司股份時</w:t>
      </w:r>
      <w:r>
        <w:rPr>
          <w:rFonts w:hint="eastAsia" w:ascii="Times New Roman" w:hAnsi="Times New Roman" w:eastAsia="PMingLiU"/>
          <w:b/>
          <w:bCs/>
          <w:sz w:val="22"/>
          <w:lang w:eastAsia="zh-CN"/>
        </w:rPr>
        <w:t>務請</w:t>
      </w:r>
      <w:r>
        <w:rPr>
          <w:rFonts w:ascii="Times New Roman" w:hAnsi="Times New Roman" w:eastAsia="PMingLiU"/>
          <w:b/>
          <w:bCs/>
          <w:sz w:val="22"/>
          <w:lang w:eastAsia="zh-CN"/>
        </w:rPr>
        <w:t>審慎行事。</w:t>
      </w:r>
    </w:p>
    <w:p>
      <w:pPr>
        <w:pStyle w:val="4"/>
        <w:snapToGrid w:val="0"/>
        <w:jc w:val="both"/>
        <w:rPr>
          <w:rFonts w:ascii="Times New Roman" w:hAnsi="Times New Roman" w:eastAsia="PMingLiU"/>
          <w:sz w:val="22"/>
        </w:rPr>
      </w:pPr>
    </w:p>
    <w:p>
      <w:pPr>
        <w:jc w:val="both"/>
        <w:rPr>
          <w:sz w:val="22"/>
          <w:szCs w:val="22"/>
        </w:rPr>
      </w:pPr>
      <w:r>
        <w:rPr>
          <w:sz w:val="22"/>
          <w:szCs w:val="22"/>
        </w:rPr>
        <w:t xml:space="preserve">    </w:t>
      </w:r>
    </w:p>
    <w:tbl>
      <w:tblPr>
        <w:tblW w:w="86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
      <w:tblGrid>
        <w:gridCol w:w="3448"/>
        <w:gridCol w:w="5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3448" w:type="dxa"/>
            <w:vAlign w:val="top"/>
          </w:tcPr>
          <w:p>
            <w:pPr>
              <w:pStyle w:val="4"/>
              <w:snapToGrid w:val="0"/>
              <w:rPr>
                <w:rFonts w:ascii="Times New Roman" w:hAnsi="Times New Roman" w:eastAsia="PMingLiU"/>
                <w:sz w:val="22"/>
              </w:rPr>
            </w:pPr>
          </w:p>
        </w:tc>
        <w:tc>
          <w:tcPr>
            <w:tcW w:w="5220" w:type="dxa"/>
            <w:vAlign w:val="top"/>
          </w:tcPr>
          <w:p>
            <w:pPr>
              <w:pStyle w:val="14"/>
              <w:spacing w:line="240" w:lineRule="auto"/>
              <w:ind w:left="110" w:right="1640"/>
              <w:jc w:val="center"/>
              <w:rPr>
                <w:rFonts w:ascii="Times New Roman" w:hAnsi="Times New Roman"/>
                <w:color w:val="auto"/>
                <w:sz w:val="22"/>
                <w:szCs w:val="22"/>
              </w:rPr>
            </w:pPr>
            <w:r>
              <w:rPr>
                <w:rFonts w:ascii="Times New Roman" w:hAnsi="Times New Roman"/>
                <w:color w:val="auto"/>
                <w:sz w:val="22"/>
                <w:szCs w:val="22"/>
              </w:rPr>
              <w:t>承董事會命</w:t>
            </w:r>
          </w:p>
          <w:p>
            <w:pPr>
              <w:pStyle w:val="14"/>
              <w:tabs>
                <w:tab w:val="center" w:pos="3969"/>
                <w:tab w:val="center" w:pos="5839"/>
                <w:tab w:val="clear" w:pos="340"/>
                <w:tab w:val="clear" w:pos="680"/>
                <w:tab w:val="clear" w:pos="1020"/>
                <w:tab w:val="clear" w:pos="1360"/>
                <w:tab w:val="clear" w:pos="1700"/>
                <w:tab w:val="clear" w:pos="2040"/>
                <w:tab w:val="clear" w:pos="2380"/>
                <w:tab w:val="clear" w:pos="2720"/>
                <w:tab w:val="clear" w:pos="3060"/>
                <w:tab w:val="clear" w:pos="3400"/>
                <w:tab w:val="clear" w:pos="3740"/>
                <w:tab w:val="clear" w:pos="4080"/>
                <w:tab w:val="clear" w:pos="4420"/>
                <w:tab w:val="clear" w:pos="4760"/>
                <w:tab w:val="clear" w:pos="5100"/>
                <w:tab w:val="clear" w:pos="5440"/>
                <w:tab w:val="clear" w:pos="5780"/>
                <w:tab w:val="clear" w:pos="6120"/>
                <w:tab w:val="clear" w:pos="6460"/>
                <w:tab w:val="clear" w:pos="6800"/>
              </w:tabs>
              <w:spacing w:line="240" w:lineRule="auto"/>
              <w:ind w:left="110" w:right="1892"/>
              <w:jc w:val="center"/>
              <w:rPr>
                <w:rFonts w:ascii="Times New Roman" w:hAnsi="Times New Roman"/>
                <w:b/>
                <w:bCs/>
                <w:color w:val="auto"/>
                <w:sz w:val="22"/>
                <w:szCs w:val="22"/>
              </w:rPr>
            </w:pPr>
            <w:r>
              <w:rPr>
                <w:rFonts w:ascii="Times New Roman" w:hAnsi="Times New Roman"/>
                <w:b/>
                <w:bCs/>
                <w:color w:val="auto"/>
                <w:sz w:val="22"/>
                <w:szCs w:val="22"/>
              </w:rPr>
              <w:t>山東新華製藥股份有限公司</w:t>
            </w:r>
          </w:p>
          <w:p>
            <w:pPr>
              <w:pStyle w:val="14"/>
              <w:tabs>
                <w:tab w:val="center" w:pos="3969"/>
                <w:tab w:val="center" w:pos="5839"/>
                <w:tab w:val="clear" w:pos="340"/>
                <w:tab w:val="clear" w:pos="680"/>
                <w:tab w:val="clear" w:pos="1020"/>
                <w:tab w:val="clear" w:pos="1360"/>
                <w:tab w:val="clear" w:pos="1700"/>
                <w:tab w:val="clear" w:pos="2040"/>
                <w:tab w:val="clear" w:pos="2380"/>
                <w:tab w:val="clear" w:pos="2720"/>
                <w:tab w:val="clear" w:pos="3060"/>
                <w:tab w:val="clear" w:pos="3400"/>
                <w:tab w:val="clear" w:pos="3740"/>
                <w:tab w:val="clear" w:pos="4080"/>
                <w:tab w:val="clear" w:pos="4420"/>
                <w:tab w:val="clear" w:pos="4760"/>
                <w:tab w:val="clear" w:pos="5100"/>
                <w:tab w:val="clear" w:pos="5440"/>
                <w:tab w:val="clear" w:pos="5780"/>
                <w:tab w:val="clear" w:pos="6120"/>
                <w:tab w:val="clear" w:pos="6460"/>
                <w:tab w:val="clear" w:pos="6800"/>
              </w:tabs>
              <w:spacing w:line="240" w:lineRule="auto"/>
              <w:ind w:left="110" w:right="2002"/>
              <w:jc w:val="center"/>
              <w:rPr>
                <w:rFonts w:ascii="Times New Roman" w:hAnsi="Times New Roman"/>
                <w:b/>
                <w:bCs/>
                <w:color w:val="auto"/>
                <w:sz w:val="22"/>
                <w:szCs w:val="22"/>
                <w:lang w:eastAsia="zh-CN"/>
              </w:rPr>
            </w:pPr>
            <w:r>
              <w:rPr>
                <w:rFonts w:ascii="Times New Roman" w:hAnsi="Times New Roman"/>
                <w:b/>
                <w:bCs/>
                <w:color w:val="auto"/>
                <w:sz w:val="22"/>
                <w:szCs w:val="22"/>
                <w:lang w:eastAsia="zh-CN"/>
              </w:rPr>
              <w:t>張代銘</w:t>
            </w:r>
          </w:p>
          <w:p>
            <w:pPr>
              <w:pStyle w:val="14"/>
              <w:spacing w:line="240" w:lineRule="auto"/>
              <w:ind w:left="110" w:right="2162"/>
              <w:jc w:val="center"/>
              <w:rPr>
                <w:rFonts w:ascii="Times New Roman" w:hAnsi="Times New Roman"/>
                <w:i/>
                <w:iCs/>
                <w:color w:val="auto"/>
                <w:sz w:val="22"/>
                <w:szCs w:val="22"/>
                <w:lang w:eastAsia="zh-CN"/>
              </w:rPr>
            </w:pPr>
            <w:r>
              <w:rPr>
                <w:rFonts w:ascii="Times New Roman" w:hAnsi="Times New Roman"/>
                <w:i/>
                <w:iCs/>
                <w:color w:val="auto"/>
                <w:sz w:val="22"/>
                <w:szCs w:val="22"/>
                <w:lang w:eastAsia="zh-CN"/>
              </w:rPr>
              <w:t>董事長</w:t>
            </w:r>
          </w:p>
          <w:p>
            <w:pPr>
              <w:pStyle w:val="4"/>
              <w:snapToGrid w:val="0"/>
              <w:jc w:val="center"/>
              <w:rPr>
                <w:rFonts w:ascii="Times New Roman" w:hAnsi="Times New Roman" w:eastAsia="PMingLiU"/>
                <w:sz w:val="22"/>
              </w:rPr>
            </w:pPr>
          </w:p>
        </w:tc>
      </w:tr>
    </w:tbl>
    <w:p>
      <w:pPr>
        <w:pStyle w:val="4"/>
        <w:snapToGrid w:val="0"/>
        <w:rPr>
          <w:rFonts w:ascii="Times New Roman" w:hAnsi="Times New Roman" w:eastAsia="PMingLiU"/>
          <w:sz w:val="22"/>
        </w:rPr>
      </w:pPr>
      <w:r>
        <w:rPr>
          <w:rFonts w:ascii="Times New Roman" w:hAnsi="Times New Roman" w:eastAsia="PMingLiU"/>
          <w:sz w:val="22"/>
        </w:rPr>
        <w:t xml:space="preserve"> </w:t>
      </w:r>
    </w:p>
    <w:p>
      <w:pPr>
        <w:pStyle w:val="4"/>
        <w:snapToGrid w:val="0"/>
        <w:rPr>
          <w:rFonts w:ascii="Times New Roman" w:hAnsi="Times New Roman" w:eastAsia="PMingLiU"/>
          <w:sz w:val="22"/>
          <w:lang w:eastAsia="zh-CN"/>
        </w:rPr>
      </w:pPr>
      <w:r>
        <w:rPr>
          <w:rFonts w:ascii="Times New Roman" w:hAnsi="Times New Roman" w:eastAsia="PMingLiU"/>
          <w:sz w:val="22"/>
          <w:lang w:eastAsia="zh-CN"/>
        </w:rPr>
        <w:t>中國 淄博，2018年10月22日</w:t>
      </w:r>
    </w:p>
    <w:p>
      <w:pPr>
        <w:pStyle w:val="4"/>
        <w:snapToGrid w:val="0"/>
        <w:rPr>
          <w:rFonts w:ascii="Times New Roman" w:hAnsi="Times New Roman" w:eastAsia="PMingLiU"/>
          <w:sz w:val="22"/>
        </w:rPr>
      </w:pPr>
      <w:r>
        <w:rPr>
          <w:rFonts w:ascii="Times New Roman" w:hAnsi="Times New Roman" w:eastAsia="PMingLiU"/>
          <w:sz w:val="22"/>
        </w:rPr>
        <w:t xml:space="preserve"> </w:t>
      </w:r>
    </w:p>
    <w:p>
      <w:pPr>
        <w:pStyle w:val="4"/>
        <w:snapToGrid w:val="0"/>
        <w:ind w:left="630" w:hanging="630"/>
        <w:jc w:val="both"/>
        <w:rPr>
          <w:rFonts w:ascii="Times New Roman" w:hAnsi="Times New Roman" w:eastAsia="PMingLiU"/>
          <w:i/>
          <w:sz w:val="22"/>
        </w:rPr>
      </w:pPr>
    </w:p>
    <w:p>
      <w:pPr>
        <w:pStyle w:val="4"/>
        <w:snapToGrid w:val="0"/>
        <w:ind w:left="630" w:hanging="630"/>
        <w:jc w:val="both"/>
        <w:rPr>
          <w:rFonts w:ascii="Times New Roman" w:hAnsi="Times New Roman" w:eastAsia="PMingLiU"/>
          <w:i/>
          <w:sz w:val="22"/>
        </w:rPr>
      </w:pPr>
    </w:p>
    <w:p>
      <w:pPr>
        <w:snapToGrid w:val="0"/>
        <w:ind w:left="110"/>
        <w:jc w:val="both"/>
        <w:rPr>
          <w:color w:val="231F20"/>
          <w:spacing w:val="4"/>
          <w:sz w:val="22"/>
          <w:szCs w:val="22"/>
        </w:rPr>
      </w:pPr>
      <w:r>
        <w:rPr>
          <w:color w:val="231F20"/>
          <w:spacing w:val="4"/>
          <w:sz w:val="22"/>
          <w:szCs w:val="22"/>
        </w:rPr>
        <w:t xml:space="preserve">於本公告日期，本公司董事會由下列董事組成： </w:t>
      </w:r>
    </w:p>
    <w:p>
      <w:pPr>
        <w:snapToGrid w:val="0"/>
        <w:ind w:left="110"/>
        <w:jc w:val="both"/>
        <w:rPr>
          <w:color w:val="231F20"/>
          <w:spacing w:val="4"/>
          <w:sz w:val="22"/>
          <w:szCs w:val="22"/>
        </w:rPr>
      </w:pPr>
    </w:p>
    <w:tbl>
      <w:tblPr>
        <w:tblW w:w="86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
      <w:tblGrid>
        <w:gridCol w:w="4348"/>
        <w:gridCol w:w="43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4348" w:type="dxa"/>
            <w:vAlign w:val="top"/>
          </w:tcPr>
          <w:p>
            <w:pPr>
              <w:snapToGrid w:val="0"/>
              <w:ind w:left="110"/>
              <w:jc w:val="both"/>
              <w:rPr>
                <w:color w:val="231F20"/>
                <w:spacing w:val="4"/>
                <w:sz w:val="22"/>
                <w:szCs w:val="22"/>
                <w:u w:val="single"/>
              </w:rPr>
            </w:pPr>
            <w:r>
              <w:rPr>
                <w:color w:val="231F20"/>
                <w:spacing w:val="4"/>
                <w:sz w:val="22"/>
                <w:szCs w:val="22"/>
                <w:u w:val="single"/>
              </w:rPr>
              <w:t>執行董事：</w:t>
            </w:r>
          </w:p>
          <w:p>
            <w:pPr>
              <w:snapToGrid w:val="0"/>
              <w:ind w:left="110"/>
              <w:jc w:val="both"/>
              <w:rPr>
                <w:color w:val="231F20"/>
                <w:spacing w:val="4"/>
                <w:sz w:val="22"/>
                <w:szCs w:val="22"/>
              </w:rPr>
            </w:pPr>
            <w:r>
              <w:rPr>
                <w:color w:val="231F20"/>
                <w:spacing w:val="4"/>
                <w:sz w:val="22"/>
                <w:szCs w:val="22"/>
              </w:rPr>
              <w:t>張代銘先生（董事長）</w:t>
            </w:r>
          </w:p>
          <w:p>
            <w:pPr>
              <w:snapToGrid w:val="0"/>
              <w:ind w:left="110"/>
              <w:jc w:val="both"/>
              <w:rPr>
                <w:color w:val="231F20"/>
                <w:spacing w:val="4"/>
                <w:sz w:val="22"/>
                <w:szCs w:val="22"/>
              </w:rPr>
            </w:pPr>
            <w:r>
              <w:rPr>
                <w:color w:val="231F20"/>
                <w:spacing w:val="4"/>
                <w:sz w:val="22"/>
                <w:szCs w:val="22"/>
              </w:rPr>
              <w:t>杜德平先生</w:t>
            </w:r>
          </w:p>
          <w:p>
            <w:pPr>
              <w:snapToGrid w:val="0"/>
              <w:ind w:left="110"/>
              <w:jc w:val="both"/>
              <w:rPr>
                <w:color w:val="231F20"/>
                <w:spacing w:val="4"/>
                <w:sz w:val="22"/>
                <w:szCs w:val="22"/>
              </w:rPr>
            </w:pPr>
          </w:p>
        </w:tc>
        <w:tc>
          <w:tcPr>
            <w:tcW w:w="4348" w:type="dxa"/>
            <w:vAlign w:val="top"/>
          </w:tcPr>
          <w:p>
            <w:pPr>
              <w:snapToGrid w:val="0"/>
              <w:ind w:left="110"/>
              <w:jc w:val="both"/>
              <w:rPr>
                <w:color w:val="231F20"/>
                <w:spacing w:val="4"/>
                <w:sz w:val="22"/>
                <w:szCs w:val="22"/>
                <w:u w:val="single"/>
              </w:rPr>
            </w:pPr>
            <w:r>
              <w:rPr>
                <w:color w:val="231F20"/>
                <w:spacing w:val="4"/>
                <w:sz w:val="22"/>
                <w:szCs w:val="22"/>
                <w:u w:val="single"/>
              </w:rPr>
              <w:t>獨立非執行董事：</w:t>
            </w:r>
          </w:p>
          <w:p>
            <w:pPr>
              <w:snapToGrid w:val="0"/>
              <w:ind w:left="110"/>
              <w:jc w:val="both"/>
              <w:rPr>
                <w:color w:val="231F20"/>
                <w:spacing w:val="4"/>
                <w:sz w:val="22"/>
                <w:szCs w:val="22"/>
              </w:rPr>
            </w:pPr>
            <w:r>
              <w:rPr>
                <w:color w:val="231F20"/>
                <w:spacing w:val="4"/>
                <w:sz w:val="22"/>
                <w:szCs w:val="22"/>
              </w:rPr>
              <w:t>李文明先生</w:t>
            </w:r>
          </w:p>
          <w:p>
            <w:pPr>
              <w:snapToGrid w:val="0"/>
              <w:ind w:left="110"/>
              <w:jc w:val="both"/>
              <w:rPr>
                <w:color w:val="231F20"/>
                <w:spacing w:val="4"/>
                <w:sz w:val="22"/>
                <w:szCs w:val="22"/>
              </w:rPr>
            </w:pPr>
            <w:r>
              <w:rPr>
                <w:color w:val="231F20"/>
                <w:spacing w:val="4"/>
                <w:sz w:val="22"/>
                <w:szCs w:val="22"/>
              </w:rPr>
              <w:t>杜冠華先生</w:t>
            </w:r>
          </w:p>
          <w:p>
            <w:pPr>
              <w:snapToGrid w:val="0"/>
              <w:ind w:left="110"/>
              <w:jc w:val="both"/>
              <w:rPr>
                <w:color w:val="231F20"/>
                <w:spacing w:val="4"/>
                <w:sz w:val="22"/>
                <w:szCs w:val="22"/>
              </w:rPr>
            </w:pPr>
            <w:r>
              <w:rPr>
                <w:color w:val="231F20"/>
                <w:spacing w:val="4"/>
                <w:sz w:val="22"/>
                <w:szCs w:val="22"/>
              </w:rPr>
              <w:t>盧華威先生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4348" w:type="dxa"/>
            <w:vAlign w:val="top"/>
          </w:tcPr>
          <w:p>
            <w:pPr>
              <w:snapToGrid w:val="0"/>
              <w:ind w:left="110"/>
              <w:jc w:val="both"/>
              <w:rPr>
                <w:color w:val="231F20"/>
                <w:spacing w:val="4"/>
                <w:sz w:val="22"/>
                <w:szCs w:val="22"/>
                <w:u w:val="single"/>
              </w:rPr>
            </w:pPr>
            <w:r>
              <w:rPr>
                <w:color w:val="231F20"/>
                <w:spacing w:val="4"/>
                <w:sz w:val="22"/>
                <w:szCs w:val="22"/>
                <w:u w:val="single"/>
              </w:rPr>
              <w:t>非執行董事：</w:t>
            </w:r>
          </w:p>
          <w:p>
            <w:pPr>
              <w:snapToGrid w:val="0"/>
              <w:ind w:left="110"/>
              <w:jc w:val="both"/>
              <w:rPr>
                <w:color w:val="231F20"/>
                <w:spacing w:val="4"/>
                <w:sz w:val="22"/>
                <w:szCs w:val="22"/>
              </w:rPr>
            </w:pPr>
            <w:r>
              <w:rPr>
                <w:color w:val="231F20"/>
                <w:spacing w:val="4"/>
                <w:sz w:val="22"/>
                <w:szCs w:val="22"/>
              </w:rPr>
              <w:t>任福龍先生</w:t>
            </w:r>
          </w:p>
          <w:p>
            <w:pPr>
              <w:snapToGrid w:val="0"/>
              <w:ind w:left="110"/>
              <w:jc w:val="both"/>
              <w:rPr>
                <w:color w:val="231F20"/>
                <w:spacing w:val="4"/>
                <w:sz w:val="22"/>
                <w:szCs w:val="22"/>
              </w:rPr>
            </w:pPr>
            <w:r>
              <w:rPr>
                <w:color w:val="231F20"/>
                <w:spacing w:val="4"/>
                <w:sz w:val="22"/>
                <w:szCs w:val="22"/>
              </w:rPr>
              <w:t>徐 列先生</w:t>
            </w:r>
          </w:p>
          <w:p>
            <w:pPr>
              <w:snapToGrid w:val="0"/>
              <w:ind w:left="110"/>
              <w:jc w:val="both"/>
              <w:rPr>
                <w:color w:val="231F20"/>
                <w:spacing w:val="4"/>
                <w:sz w:val="22"/>
                <w:szCs w:val="22"/>
              </w:rPr>
            </w:pPr>
            <w:r>
              <w:rPr>
                <w:color w:val="231F20"/>
                <w:spacing w:val="4"/>
                <w:sz w:val="22"/>
                <w:szCs w:val="22"/>
              </w:rPr>
              <w:t>趙 斌先生</w:t>
            </w:r>
          </w:p>
        </w:tc>
        <w:tc>
          <w:tcPr>
            <w:tcW w:w="4348" w:type="dxa"/>
            <w:vAlign w:val="top"/>
          </w:tcPr>
          <w:p>
            <w:pPr>
              <w:snapToGrid w:val="0"/>
              <w:ind w:left="110"/>
              <w:jc w:val="both"/>
              <w:rPr>
                <w:color w:val="231F20"/>
                <w:spacing w:val="4"/>
                <w:sz w:val="22"/>
                <w:szCs w:val="22"/>
              </w:rPr>
            </w:pPr>
          </w:p>
        </w:tc>
      </w:tr>
    </w:tbl>
    <w:p>
      <w:pPr>
        <w:pStyle w:val="12"/>
        <w:spacing w:line="0" w:lineRule="atLeast"/>
        <w:ind w:left="115"/>
        <w:rPr>
          <w:rFonts w:ascii="Times New Roman" w:hAnsi="Times New Roman"/>
          <w:color w:val="231F20"/>
          <w:spacing w:val="4"/>
          <w:sz w:val="22"/>
          <w:szCs w:val="22"/>
          <w:lang/>
        </w:rPr>
      </w:pPr>
    </w:p>
    <w:p>
      <w:pPr>
        <w:pStyle w:val="13"/>
        <w:spacing w:line="0" w:lineRule="atLeast"/>
        <w:ind w:left="115"/>
        <w:rPr>
          <w:rFonts w:ascii="Times New Roman" w:hAnsi="Times New Roman"/>
          <w:color w:val="231F20"/>
          <w:spacing w:val="4"/>
          <w:sz w:val="22"/>
          <w:szCs w:val="22"/>
          <w:lang/>
        </w:rPr>
      </w:pPr>
    </w:p>
    <w:p>
      <w:pPr>
        <w:pStyle w:val="13"/>
        <w:spacing w:line="0" w:lineRule="atLeast"/>
        <w:ind w:left="115"/>
        <w:rPr>
          <w:rFonts w:ascii="Times New Roman" w:hAnsi="Times New Roman"/>
          <w:color w:val="231F20"/>
          <w:spacing w:val="4"/>
          <w:sz w:val="22"/>
          <w:szCs w:val="22"/>
          <w:lang/>
        </w:rPr>
      </w:pPr>
    </w:p>
    <w:p>
      <w:pPr>
        <w:autoSpaceDE w:val="0"/>
        <w:autoSpaceDN w:val="0"/>
        <w:adjustRightInd w:val="0"/>
        <w:ind w:left="110" w:right="1207"/>
        <w:rPr>
          <w:color w:val="000000"/>
          <w:sz w:val="22"/>
          <w:szCs w:val="22"/>
        </w:rPr>
      </w:pPr>
    </w:p>
    <w:p>
      <w:pPr>
        <w:pStyle w:val="4"/>
        <w:snapToGrid w:val="0"/>
        <w:jc w:val="both"/>
        <w:rPr>
          <w:rFonts w:ascii="Times New Roman" w:hAnsi="Times New Roman" w:eastAsia="PMingLiU"/>
          <w:iCs/>
          <w:sz w:val="22"/>
        </w:rPr>
      </w:pPr>
    </w:p>
    <w:p/>
    <w:sectPr>
      <w:footerReference r:id="rId4" w:type="default"/>
      <w:pgSz w:w="11906" w:h="16838"/>
      <w:pgMar w:top="1440" w:right="1286" w:bottom="1440" w:left="153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 w:name="MingLiU">
    <w:panose1 w:val="02020509000000000000"/>
    <w:charset w:val="88"/>
    <w:family w:val="auto"/>
    <w:pitch w:val="default"/>
    <w:sig w:usb0="A00002FF" w:usb1="28CFFCFA" w:usb2="00000016" w:usb3="00000000" w:csb0="00100001" w:csb1="00000000"/>
  </w:font>
  <w:font w:name="Times">
    <w:altName w:val="Times New Roman"/>
    <w:panose1 w:val="02020603050405020304"/>
    <w:charset w:val="00"/>
    <w:family w:val="auto"/>
    <w:pitch w:val="default"/>
    <w:sig w:usb0="E0002EFF" w:usb1="C000785B" w:usb2="00000009" w:usb3="00000000" w:csb0="000001FF" w:csb1="00000000"/>
  </w:font>
  <w:font w:name="Segoe UI">
    <w:panose1 w:val="020B0502040204020203"/>
    <w:charset w:val="00"/>
    <w:family w:val="auto"/>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right"/>
      <w:rPr>
        <w:sz w:val="16"/>
      </w:rPr>
    </w:pPr>
  </w:p>
  <w:p>
    <w:pPr>
      <w:pStyle w:val="6"/>
      <w:jc w:val="right"/>
      <w:rPr>
        <w:sz w:val="16"/>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99640767">
    <w:nsid w:val="17D208BF"/>
    <w:multiLevelType w:val="multilevel"/>
    <w:tmpl w:val="17D208BF"/>
    <w:lvl w:ilvl="0" w:tentative="1">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3996407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720"/>
  <w:drawingGridHorizontalSpacing w:val="0"/>
  <w:displayHorizontalDrawingGridEvery w:val="1"/>
  <w:displayVerticalDrawingGridEvery w:val="1"/>
  <w:characterSpacingControl w:val="doNotCompress"/>
  <w:compat>
    <w:spaceForUL/>
    <w:doNotLeaveBackslashAlone/>
    <w:ulTrailSpac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name="annotation text"/>
    <w:lsdException w:uiPriority="99"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99" w:semiHidden="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annotation subject"/>
    <w:lsdException w:uiPriority="99" w:name="Balloon Text"/>
  </w:latentStyles>
  <w:style w:type="paragraph" w:default="1" w:styleId="1">
    <w:name w:val="Normal"/>
    <w:qFormat/>
    <w:uiPriority w:val="0"/>
    <w:pPr>
      <w:widowControl w:val="0"/>
      <w:spacing w:after="0" w:line="240" w:lineRule="auto"/>
    </w:pPr>
    <w:rPr>
      <w:rFonts w:ascii="Times New Roman" w:hAnsi="Times New Roman" w:eastAsia="PMingLiU" w:cs="Times New Roman"/>
      <w:kern w:val="2"/>
      <w:sz w:val="24"/>
      <w:szCs w:val="24"/>
      <w:lang w:val="en-US" w:eastAsia="zh-TW" w:bidi="ar-SA"/>
    </w:rPr>
  </w:style>
  <w:style w:type="character" w:default="1" w:styleId="9">
    <w:name w:val="Default Paragraph Font"/>
    <w:semiHidden/>
    <w:unhideWhenUsed/>
    <w:uiPriority w:val="1"/>
  </w:style>
  <w:style w:type="paragraph" w:styleId="2">
    <w:name w:val="annotation subject"/>
    <w:basedOn w:val="3"/>
    <w:next w:val="3"/>
    <w:link w:val="20"/>
    <w:semiHidden/>
    <w:unhideWhenUsed/>
    <w:uiPriority w:val="99"/>
    <w:rPr>
      <w:b/>
      <w:bCs/>
    </w:rPr>
  </w:style>
  <w:style w:type="paragraph" w:styleId="3">
    <w:name w:val="annotation text"/>
    <w:basedOn w:val="1"/>
    <w:link w:val="19"/>
    <w:semiHidden/>
    <w:unhideWhenUsed/>
    <w:uiPriority w:val="99"/>
    <w:rPr>
      <w:sz w:val="20"/>
      <w:szCs w:val="20"/>
    </w:rPr>
  </w:style>
  <w:style w:type="paragraph" w:styleId="4">
    <w:name w:val="Plain Text"/>
    <w:basedOn w:val="1"/>
    <w:link w:val="18"/>
    <w:semiHidden/>
    <w:uiPriority w:val="0"/>
    <w:rPr>
      <w:rFonts w:ascii="MingLiU" w:hAnsi="Courier New" w:eastAsia="MingLiU"/>
      <w:szCs w:val="22"/>
    </w:rPr>
  </w:style>
  <w:style w:type="paragraph" w:styleId="5">
    <w:name w:val="Balloon Text"/>
    <w:basedOn w:val="1"/>
    <w:link w:val="21"/>
    <w:semiHidden/>
    <w:unhideWhenUsed/>
    <w:uiPriority w:val="99"/>
    <w:rPr>
      <w:rFonts w:ascii="Segoe UI" w:hAnsi="Segoe UI" w:cs="Segoe UI"/>
      <w:sz w:val="18"/>
      <w:szCs w:val="18"/>
    </w:rPr>
  </w:style>
  <w:style w:type="paragraph" w:styleId="6">
    <w:name w:val="footer"/>
    <w:basedOn w:val="1"/>
    <w:link w:val="17"/>
    <w:unhideWhenUsed/>
    <w:uiPriority w:val="0"/>
    <w:pPr>
      <w:tabs>
        <w:tab w:val="center" w:pos="4513"/>
        <w:tab w:val="right" w:pos="9026"/>
      </w:tabs>
    </w:pPr>
  </w:style>
  <w:style w:type="paragraph" w:styleId="7">
    <w:name w:val="header"/>
    <w:basedOn w:val="1"/>
    <w:link w:val="16"/>
    <w:unhideWhenUsed/>
    <w:uiPriority w:val="99"/>
    <w:pPr>
      <w:tabs>
        <w:tab w:val="center" w:pos="4513"/>
        <w:tab w:val="right" w:pos="9026"/>
      </w:tabs>
    </w:pPr>
  </w:style>
  <w:style w:type="paragraph" w:styleId="8">
    <w:name w:val="Body Text Indent 3"/>
    <w:basedOn w:val="1"/>
    <w:link w:val="22"/>
    <w:uiPriority w:val="99"/>
    <w:pPr>
      <w:spacing w:after="120"/>
      <w:ind w:left="420" w:leftChars="200"/>
      <w:jc w:val="both"/>
    </w:pPr>
    <w:rPr>
      <w:rFonts w:eastAsia="宋体"/>
      <w:sz w:val="16"/>
      <w:szCs w:val="16"/>
      <w:lang w:eastAsia="zh-CN"/>
    </w:rPr>
  </w:style>
  <w:style w:type="character" w:styleId="10">
    <w:name w:val="annotation reference"/>
    <w:basedOn w:val="9"/>
    <w:semiHidden/>
    <w:unhideWhenUsed/>
    <w:uiPriority w:val="99"/>
    <w:rPr>
      <w:sz w:val="16"/>
      <w:szCs w:val="16"/>
    </w:rPr>
  </w:style>
  <w:style w:type="paragraph" w:customStyle="1" w:styleId="11">
    <w:name w:val="題目"/>
    <w:uiPriority w:val="0"/>
    <w:pPr>
      <w:spacing w:after="0" w:line="240" w:lineRule="auto"/>
      <w:jc w:val="center"/>
    </w:pPr>
    <w:rPr>
      <w:rFonts w:ascii="Times New Roman" w:hAnsi="Times New Roman" w:eastAsia="MingLiU" w:cs="Times New Roman"/>
      <w:b/>
      <w:sz w:val="36"/>
      <w:szCs w:val="20"/>
      <w:lang w:val="en-US"/>
    </w:rPr>
  </w:style>
  <w:style w:type="paragraph" w:customStyle="1" w:styleId="12">
    <w:name w:val="Leading 12"/>
    <w:uiPriority w:val="0"/>
    <w:pPr>
      <w:widowControl w:val="0"/>
      <w:tabs>
        <w:tab w:val="left" w:pos="340"/>
        <w:tab w:val="left" w:pos="680"/>
        <w:tab w:val="left" w:pos="1020"/>
        <w:tab w:val="left" w:pos="1361"/>
      </w:tabs>
      <w:autoSpaceDE w:val="0"/>
      <w:autoSpaceDN w:val="0"/>
      <w:adjustRightInd w:val="0"/>
      <w:spacing w:after="0" w:line="182" w:lineRule="atLeast"/>
      <w:jc w:val="both"/>
    </w:pPr>
    <w:rPr>
      <w:rFonts w:ascii="Times" w:hAnsi="Times" w:eastAsia="PMingLiU" w:cs="Times New Roman"/>
      <w:sz w:val="10"/>
      <w:szCs w:val="10"/>
      <w:lang w:val="en-US"/>
    </w:rPr>
  </w:style>
  <w:style w:type="paragraph" w:customStyle="1" w:styleId="13">
    <w:name w:val="Leading 06"/>
    <w:uiPriority w:val="0"/>
    <w:pPr>
      <w:widowControl w:val="0"/>
      <w:tabs>
        <w:tab w:val="left" w:pos="340"/>
        <w:tab w:val="left" w:pos="680"/>
        <w:tab w:val="left" w:pos="1020"/>
        <w:tab w:val="left" w:pos="1361"/>
      </w:tabs>
      <w:autoSpaceDE w:val="0"/>
      <w:autoSpaceDN w:val="0"/>
      <w:adjustRightInd w:val="0"/>
      <w:spacing w:after="0" w:line="180" w:lineRule="atLeast"/>
      <w:jc w:val="both"/>
    </w:pPr>
    <w:rPr>
      <w:rFonts w:ascii="Times" w:hAnsi="Times" w:eastAsia="PMingLiU" w:cs="Times New Roman"/>
      <w:sz w:val="10"/>
      <w:szCs w:val="10"/>
      <w:lang w:val="en-US"/>
    </w:rPr>
  </w:style>
  <w:style w:type="paragraph" w:customStyle="1" w:styleId="14">
    <w:name w:val="Body Text1"/>
    <w:uiPriority w:val="0"/>
    <w:pPr>
      <w:widowControl w:val="0"/>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spacing w:after="0" w:line="200" w:lineRule="atLeast"/>
      <w:ind w:left="340"/>
      <w:jc w:val="both"/>
    </w:pPr>
    <w:rPr>
      <w:rFonts w:ascii="Times" w:hAnsi="Times" w:eastAsia="PMingLiU" w:cs="Times New Roman"/>
      <w:color w:val="000000"/>
      <w:sz w:val="17"/>
      <w:szCs w:val="17"/>
      <w:lang w:val="en-US"/>
    </w:rPr>
  </w:style>
  <w:style w:type="paragraph" w:customStyle="1" w:styleId="15">
    <w:name w:val="List Paragraph"/>
    <w:basedOn w:val="1"/>
    <w:qFormat/>
    <w:uiPriority w:val="34"/>
    <w:pPr>
      <w:ind w:left="720"/>
    </w:pPr>
  </w:style>
  <w:style w:type="character" w:customStyle="1" w:styleId="16">
    <w:name w:val="Header Char"/>
    <w:basedOn w:val="9"/>
    <w:link w:val="7"/>
    <w:uiPriority w:val="99"/>
    <w:rPr/>
  </w:style>
  <w:style w:type="character" w:customStyle="1" w:styleId="17">
    <w:name w:val="Footer Char"/>
    <w:basedOn w:val="9"/>
    <w:link w:val="6"/>
    <w:uiPriority w:val="99"/>
    <w:rPr/>
  </w:style>
  <w:style w:type="character" w:customStyle="1" w:styleId="18">
    <w:name w:val="Plain Text Char"/>
    <w:basedOn w:val="9"/>
    <w:link w:val="4"/>
    <w:semiHidden/>
    <w:uiPriority w:val="0"/>
    <w:rPr>
      <w:rFonts w:ascii="MingLiU" w:hAnsi="Courier New" w:eastAsia="MingLiU" w:cs="Times New Roman"/>
      <w:kern w:val="2"/>
      <w:sz w:val="24"/>
      <w:lang w:val="en-US"/>
    </w:rPr>
  </w:style>
  <w:style w:type="character" w:customStyle="1" w:styleId="19">
    <w:name w:val="Comment Text Char"/>
    <w:basedOn w:val="9"/>
    <w:link w:val="3"/>
    <w:semiHidden/>
    <w:uiPriority w:val="99"/>
    <w:rPr>
      <w:rFonts w:ascii="Times New Roman" w:hAnsi="Times New Roman" w:eastAsia="PMingLiU" w:cs="Times New Roman"/>
      <w:kern w:val="2"/>
      <w:sz w:val="20"/>
      <w:szCs w:val="20"/>
      <w:lang w:val="en-US"/>
    </w:rPr>
  </w:style>
  <w:style w:type="character" w:customStyle="1" w:styleId="20">
    <w:name w:val="Comment Subject Char"/>
    <w:basedOn w:val="19"/>
    <w:link w:val="2"/>
    <w:semiHidden/>
    <w:uiPriority w:val="99"/>
    <w:rPr>
      <w:rFonts w:ascii="Times New Roman" w:hAnsi="Times New Roman" w:eastAsia="PMingLiU" w:cs="Times New Roman"/>
      <w:b/>
      <w:bCs/>
      <w:kern w:val="2"/>
      <w:sz w:val="20"/>
      <w:szCs w:val="20"/>
      <w:lang w:val="en-US"/>
    </w:rPr>
  </w:style>
  <w:style w:type="character" w:customStyle="1" w:styleId="21">
    <w:name w:val="Balloon Text Char"/>
    <w:basedOn w:val="9"/>
    <w:link w:val="5"/>
    <w:semiHidden/>
    <w:uiPriority w:val="99"/>
    <w:rPr>
      <w:rFonts w:ascii="Segoe UI" w:hAnsi="Segoe UI" w:eastAsia="PMingLiU" w:cs="Segoe UI"/>
      <w:kern w:val="2"/>
      <w:sz w:val="18"/>
      <w:szCs w:val="18"/>
      <w:lang w:val="en-US"/>
    </w:rPr>
  </w:style>
  <w:style w:type="character" w:customStyle="1" w:styleId="22">
    <w:name w:val="Body Text Indent 3 Char"/>
    <w:basedOn w:val="9"/>
    <w:link w:val="8"/>
    <w:uiPriority w:val="99"/>
    <w:rPr>
      <w:rFonts w:ascii="Times New Roman" w:hAnsi="Times New Roman" w:eastAsia="宋体" w:cs="Times New Roman"/>
      <w:kern w:val="2"/>
      <w:sz w:val="16"/>
      <w:szCs w:val="16"/>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png"/><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1999</Words>
  <Characters>707</Characters>
  <Lines>5</Lines>
  <Paragraphs>5</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2018-10-17T07:02:00Z</dcterms:created>
  <dc:creator>Charltons</dc:creator>
  <cp:lastModifiedBy>曹长求</cp:lastModifiedBy>
  <cp:lastPrinted>2018-10-18T07:25:00Z</cp:lastPrinted>
  <dcterms:modified xsi:type="dcterms:W3CDTF">2018-10-18T08:29:40Z</dcterms:modified>
  <dc:title>香港交易及結算所有限公司及香港聯合交易所有限公司對本公告之內容概不負責，對其準確性或完整性亦不發表任何聲明，並明確表示概不就因本公告全部或任何部分內容而產生或因倚賴該等內容而引致之任何損失承擔任何責任。</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