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snapToGrid w:val="0"/>
        <w:jc w:val="both"/>
        <w:rPr>
          <w:rFonts w:ascii="Times New Roman" w:hAnsi="Times New Roman"/>
          <w:i/>
          <w:sz w:val="20"/>
          <w:szCs w:val="20"/>
        </w:rPr>
      </w:pPr>
      <w:r>
        <w:rPr>
          <w:rFonts w:hint="eastAsia" w:ascii="Times New Roman" w:hAnsi="Times New Roman"/>
          <w:i/>
          <w:sz w:val="20"/>
          <w:szCs w:val="20"/>
        </w:rPr>
        <w:t>香港交易及結算所有限公司及香港聯合交易所有限公司對本公告之內容概不負責，對其準確性或完整</w:t>
      </w:r>
    </w:p>
    <w:p>
      <w:pPr>
        <w:pStyle w:val="8"/>
        <w:snapToGrid w:val="0"/>
        <w:jc w:val="both"/>
        <w:rPr>
          <w:rFonts w:ascii="Times New Roman" w:hAnsi="Times New Roman"/>
          <w:i/>
          <w:sz w:val="20"/>
          <w:szCs w:val="20"/>
        </w:rPr>
      </w:pPr>
      <w:r>
        <w:rPr>
          <w:rFonts w:hint="eastAsia" w:ascii="Times New Roman" w:hAnsi="Times New Roman"/>
          <w:i/>
          <w:sz w:val="20"/>
          <w:szCs w:val="20"/>
        </w:rPr>
        <w:t>性亦不發表任何聲明，並明確表示概不就因本公告全部或任何部分內容而產生或因倚賴該等內容而引</w:t>
      </w:r>
    </w:p>
    <w:p>
      <w:pPr>
        <w:pStyle w:val="8"/>
        <w:snapToGrid w:val="0"/>
        <w:jc w:val="both"/>
        <w:rPr>
          <w:rFonts w:ascii="Times New Roman" w:hAnsi="Times New Roman"/>
          <w:i/>
          <w:sz w:val="20"/>
          <w:szCs w:val="20"/>
        </w:rPr>
      </w:pPr>
      <w:r>
        <w:rPr>
          <w:rFonts w:hint="eastAsia" w:ascii="Times New Roman" w:hAnsi="Times New Roman"/>
          <w:i/>
          <w:sz w:val="20"/>
          <w:szCs w:val="20"/>
        </w:rPr>
        <w:t>致之任何損失承擔任何責任。</w:t>
      </w:r>
    </w:p>
    <w:p>
      <w:pPr>
        <w:pStyle w:val="8"/>
        <w:snapToGrid w:val="0"/>
        <w:jc w:val="both"/>
        <w:rPr>
          <w:rFonts w:ascii="Times New Roman" w:hAnsi="Times New Roman"/>
          <w:sz w:val="20"/>
          <w:szCs w:val="20"/>
        </w:rPr>
      </w:pPr>
    </w:p>
    <w:p>
      <w:pPr>
        <w:pStyle w:val="8"/>
        <w:snapToGrid w:val="0"/>
        <w:jc w:val="both"/>
        <w:rPr>
          <w:rFonts w:ascii="Times New Roman" w:hAnsi="Times New Roman"/>
          <w:sz w:val="20"/>
          <w:szCs w:val="20"/>
        </w:rPr>
      </w:pPr>
      <w:r>
        <w:rPr>
          <w:rFonts w:ascii="Times New Roman" w:hAnsi="Times New Roman" w:eastAsia="MingLiU" w:cs="Times New Roman"/>
          <w:i/>
          <w:iCs/>
          <w:kern w:val="2"/>
          <w:sz w:val="20"/>
          <w:szCs w:val="22"/>
          <w:lang w:val="en-US" w:eastAsia="zh-TW" w:bidi="ar-SA"/>
        </w:rPr>
        <w:pict>
          <v:shape id="图片 2" o:spid="_x0000_s1026" type="#_x0000_t75" style="position:absolute;left:0;margin-left:200.45pt;margin-top:2.55pt;height:45.45pt;width:42pt;rotation:0f;z-index:251658240;" o:ole="f" fillcolor="#FFFFFF" filled="f" o:preferrelative="t" stroked="f" coordorigin="0,0" coordsize="21600,21600">
            <v:fill on="f" color2="#FFFFFF" focus="0%"/>
            <v:imagedata gain="65536f" blacklevel="0f" gamma="0" chromakey="#FFFFFF" o:title="" r:id="rId6"/>
            <o:lock v:ext="edit" position="f" selection="f" grouping="f" rotation="f" cropping="f" text="f" aspectratio="t"/>
          </v:shape>
        </w:pict>
      </w:r>
    </w:p>
    <w:p>
      <w:pPr>
        <w:pStyle w:val="8"/>
        <w:snapToGrid w:val="0"/>
        <w:spacing w:line="240" w:lineRule="atLeast"/>
        <w:jc w:val="center"/>
        <w:rPr>
          <w:rFonts w:ascii="Times New Roman" w:hAnsi="Times New Roman"/>
          <w:sz w:val="16"/>
        </w:rPr>
      </w:pPr>
      <w:r>
        <w:rPr>
          <w:rFonts w:hint="eastAsia" w:ascii="Times New Roman" w:hAnsi="Times New Roman"/>
          <w:sz w:val="16"/>
        </w:rPr>
        <w:tab/>
      </w:r>
    </w:p>
    <w:p>
      <w:pPr>
        <w:pStyle w:val="8"/>
        <w:snapToGrid w:val="0"/>
        <w:spacing w:line="240" w:lineRule="atLeast"/>
        <w:jc w:val="center"/>
        <w:rPr>
          <w:rFonts w:ascii="Times New Roman" w:hAnsi="Times New Roman"/>
          <w:sz w:val="16"/>
        </w:rPr>
      </w:pPr>
    </w:p>
    <w:p>
      <w:pPr>
        <w:pStyle w:val="8"/>
        <w:snapToGrid w:val="0"/>
        <w:spacing w:line="240" w:lineRule="atLeast"/>
        <w:jc w:val="center"/>
        <w:rPr>
          <w:rFonts w:ascii="Times New Roman" w:hAnsi="Times New Roman"/>
          <w:i/>
          <w:iCs/>
          <w:sz w:val="20"/>
        </w:rPr>
      </w:pPr>
    </w:p>
    <w:p>
      <w:pPr>
        <w:pStyle w:val="15"/>
        <w:widowControl w:val="0"/>
        <w:tabs>
          <w:tab w:val="left" w:pos="709"/>
          <w:tab w:val="left" w:pos="1418"/>
          <w:tab w:val="left" w:pos="2126"/>
          <w:tab w:val="left" w:pos="2835"/>
          <w:tab w:val="left" w:pos="3544"/>
          <w:tab w:val="left" w:pos="4253"/>
        </w:tabs>
        <w:kinsoku w:val="0"/>
        <w:adjustRightInd w:val="0"/>
        <w:snapToGrid w:val="0"/>
        <w:spacing w:line="240" w:lineRule="atLeast"/>
        <w:rPr>
          <w:kern w:val="2"/>
          <w:sz w:val="22"/>
          <w:szCs w:val="22"/>
        </w:rPr>
      </w:pPr>
    </w:p>
    <w:p>
      <w:pPr>
        <w:pStyle w:val="8"/>
        <w:snapToGrid w:val="0"/>
        <w:spacing w:line="240" w:lineRule="atLeast"/>
        <w:jc w:val="center"/>
        <w:rPr>
          <w:rFonts w:ascii="Times New Roman" w:hAnsi="Times New Roman"/>
          <w:b/>
          <w:sz w:val="22"/>
        </w:rPr>
      </w:pPr>
      <w:r>
        <w:rPr>
          <w:rFonts w:hint="eastAsia"/>
          <w:b/>
          <w:bCs/>
          <w:sz w:val="22"/>
        </w:rPr>
        <w:t>山東新華製藥股份有限公司</w:t>
      </w:r>
    </w:p>
    <w:p>
      <w:pPr>
        <w:pStyle w:val="15"/>
        <w:widowControl w:val="0"/>
        <w:tabs>
          <w:tab w:val="left" w:pos="709"/>
          <w:tab w:val="left" w:pos="1418"/>
          <w:tab w:val="left" w:pos="2126"/>
          <w:tab w:val="left" w:pos="2835"/>
          <w:tab w:val="left" w:pos="3544"/>
          <w:tab w:val="left" w:pos="4253"/>
        </w:tabs>
        <w:kinsoku w:val="0"/>
        <w:adjustRightInd w:val="0"/>
        <w:snapToGrid w:val="0"/>
        <w:spacing w:line="240" w:lineRule="atLeast"/>
        <w:rPr>
          <w:kern w:val="2"/>
          <w:sz w:val="22"/>
          <w:szCs w:val="22"/>
        </w:rPr>
      </w:pPr>
      <w:r>
        <w:rPr>
          <w:kern w:val="2"/>
          <w:sz w:val="22"/>
          <w:szCs w:val="22"/>
        </w:rPr>
        <w:t>Shandong Xinhua Pharmaceutical Company Limited</w:t>
      </w:r>
    </w:p>
    <w:p>
      <w:pPr>
        <w:pStyle w:val="8"/>
        <w:snapToGrid w:val="0"/>
        <w:spacing w:before="80"/>
        <w:jc w:val="center"/>
        <w:rPr>
          <w:rFonts w:ascii="Times New Roman" w:hAnsi="Times New Roman"/>
          <w:i/>
          <w:sz w:val="22"/>
        </w:rPr>
      </w:pPr>
      <w:r>
        <w:rPr>
          <w:rFonts w:hint="eastAsia" w:ascii="Times New Roman" w:hAnsi="Times New Roman"/>
          <w:i/>
          <w:sz w:val="22"/>
        </w:rPr>
        <w:t>（於中華人民共和國註冊成立的股份有限公司）</w:t>
      </w:r>
    </w:p>
    <w:p>
      <w:pPr>
        <w:jc w:val="center"/>
        <w:rPr>
          <w:b/>
          <w:bCs/>
          <w:sz w:val="22"/>
          <w:szCs w:val="22"/>
        </w:rPr>
      </w:pPr>
      <w:r>
        <w:rPr>
          <w:rFonts w:hint="eastAsia"/>
          <w:b/>
          <w:bCs/>
          <w:sz w:val="22"/>
          <w:szCs w:val="22"/>
        </w:rPr>
        <w:t>（股份代號：0719）</w:t>
      </w:r>
    </w:p>
    <w:p>
      <w:pPr>
        <w:rPr>
          <w:sz w:val="22"/>
          <w:szCs w:val="22"/>
        </w:rPr>
      </w:pPr>
      <w:r>
        <w:rPr>
          <w:sz w:val="22"/>
          <w:szCs w:val="22"/>
        </w:rPr>
        <w:t xml:space="preserve"> </w:t>
      </w:r>
    </w:p>
    <w:p>
      <w:pPr>
        <w:autoSpaceDE w:val="0"/>
        <w:autoSpaceDN w:val="0"/>
        <w:adjustRightInd w:val="0"/>
        <w:ind w:left="110" w:right="49"/>
        <w:jc w:val="center"/>
        <w:rPr>
          <w:b/>
          <w:bCs/>
          <w:color w:val="231F20"/>
          <w:spacing w:val="4"/>
          <w:sz w:val="22"/>
          <w:szCs w:val="22"/>
        </w:rPr>
      </w:pPr>
      <w:r>
        <w:rPr>
          <w:rFonts w:hint="eastAsia"/>
          <w:b/>
          <w:bCs/>
          <w:color w:val="231F20"/>
          <w:spacing w:val="4"/>
          <w:sz w:val="22"/>
          <w:szCs w:val="22"/>
        </w:rPr>
        <w:t>控股股東股權結構變更</w:t>
      </w:r>
    </w:p>
    <w:p>
      <w:pPr>
        <w:tabs>
          <w:tab w:val="left" w:pos="6900"/>
        </w:tabs>
        <w:autoSpaceDE w:val="0"/>
        <w:autoSpaceDN w:val="0"/>
        <w:adjustRightInd w:val="0"/>
        <w:ind w:left="110" w:right="49"/>
        <w:rPr>
          <w:color w:val="000000"/>
        </w:rPr>
      </w:pPr>
      <w:r>
        <w:rPr>
          <w:color w:val="000000"/>
        </w:rPr>
        <w:tab/>
      </w:r>
    </w:p>
    <w:p>
      <w:pPr>
        <w:pStyle w:val="8"/>
        <w:snapToGrid w:val="0"/>
        <w:jc w:val="both"/>
        <w:rPr>
          <w:rFonts w:ascii="Times New Roman" w:hAnsi="Times New Roman"/>
          <w:sz w:val="22"/>
        </w:rPr>
      </w:pPr>
      <w:r>
        <w:rPr>
          <w:rFonts w:hint="eastAsia" w:ascii="Times New Roman" w:hAnsi="Times New Roman"/>
          <w:sz w:val="22"/>
        </w:rPr>
        <w:t>茲提述本公司日期為二零一八年七月十八日有關本公司控股股東內部重組以及由本公司間接控股股東華魯集團向直接控股股東新華集團接收建議轉讓的公告 (「</w:t>
      </w:r>
      <w:r>
        <w:rPr>
          <w:rFonts w:hint="eastAsia" w:ascii="Times New Roman" w:hAnsi="Times New Roman"/>
          <w:b/>
          <w:sz w:val="22"/>
        </w:rPr>
        <w:t>該公告</w:t>
      </w:r>
      <w:r>
        <w:rPr>
          <w:rFonts w:hint="eastAsia" w:ascii="Times New Roman" w:hAnsi="Times New Roman"/>
          <w:sz w:val="22"/>
        </w:rPr>
        <w:t>」)。除非另有訂明,</w:t>
      </w:r>
      <w:r>
        <w:rPr>
          <w:rFonts w:ascii="Times New Roman" w:hAnsi="Times New Roman"/>
          <w:sz w:val="22"/>
        </w:rPr>
        <w:t xml:space="preserve"> </w:t>
      </w:r>
      <w:r>
        <w:rPr>
          <w:rFonts w:hint="eastAsia" w:ascii="Times New Roman" w:hAnsi="Times New Roman"/>
          <w:sz w:val="22"/>
        </w:rPr>
        <w:t>本公告詞彙與該公告定義相同。</w:t>
      </w:r>
    </w:p>
    <w:p>
      <w:pPr>
        <w:pStyle w:val="8"/>
        <w:snapToGrid w:val="0"/>
        <w:jc w:val="both"/>
        <w:rPr>
          <w:rFonts w:ascii="Times New Roman" w:hAnsi="Times New Roman"/>
          <w:sz w:val="22"/>
        </w:rPr>
      </w:pPr>
    </w:p>
    <w:p>
      <w:pPr>
        <w:pStyle w:val="8"/>
        <w:snapToGrid w:val="0"/>
        <w:jc w:val="both"/>
        <w:rPr>
          <w:rFonts w:ascii="Times New Roman" w:hAnsi="Times New Roman"/>
          <w:sz w:val="22"/>
        </w:rPr>
      </w:pPr>
      <w:r>
        <w:rPr>
          <w:rFonts w:hint="eastAsia" w:ascii="Times New Roman" w:hAnsi="Times New Roman"/>
          <w:sz w:val="22"/>
        </w:rPr>
        <w:t>本公司獲華魯控股告知，華魯集團已就上述事宜向證監會執行人員</w:t>
      </w:r>
      <w:r>
        <w:rPr>
          <w:rFonts w:ascii="Times New Roman" w:hAnsi="Times New Roman"/>
          <w:sz w:val="22"/>
        </w:rPr>
        <w:t>(</w:t>
      </w:r>
      <w:r>
        <w:rPr>
          <w:rFonts w:hint="eastAsia" w:ascii="Times New Roman" w:hAnsi="Times New Roman"/>
          <w:sz w:val="22"/>
        </w:rPr>
        <w:t>與公司收購及合併守則(「</w:t>
      </w:r>
      <w:r>
        <w:rPr>
          <w:rFonts w:hint="eastAsia" w:ascii="Times New Roman" w:hAnsi="Times New Roman"/>
          <w:b/>
          <w:sz w:val="22"/>
        </w:rPr>
        <w:t>收購守則</w:t>
      </w:r>
      <w:r>
        <w:rPr>
          <w:rFonts w:hint="eastAsia" w:ascii="Times New Roman" w:hAnsi="Times New Roman"/>
          <w:sz w:val="22"/>
        </w:rPr>
        <w:t>」)下所賦予意思相同</w:t>
      </w:r>
      <w:r>
        <w:rPr>
          <w:rFonts w:ascii="Times New Roman" w:hAnsi="Times New Roman"/>
          <w:sz w:val="22"/>
        </w:rPr>
        <w:t>)</w:t>
      </w:r>
      <w:r>
        <w:rPr>
          <w:rFonts w:hint="eastAsia" w:ascii="Times New Roman" w:hAnsi="Times New Roman"/>
          <w:sz w:val="22"/>
        </w:rPr>
        <w:t>申請而執行人員已根據收購守則規則</w:t>
      </w:r>
      <w:r>
        <w:rPr>
          <w:rFonts w:ascii="Times New Roman" w:hAnsi="Times New Roman"/>
          <w:sz w:val="22"/>
        </w:rPr>
        <w:t>26.1</w:t>
      </w:r>
      <w:r>
        <w:rPr>
          <w:rFonts w:hint="eastAsia" w:ascii="Times New Roman" w:hAnsi="Times New Roman"/>
          <w:sz w:val="22"/>
        </w:rPr>
        <w:t>註釋</w:t>
      </w:r>
      <w:r>
        <w:rPr>
          <w:rFonts w:ascii="Times New Roman" w:hAnsi="Times New Roman"/>
          <w:sz w:val="22"/>
        </w:rPr>
        <w:t>6(A)</w:t>
      </w:r>
      <w:r>
        <w:rPr>
          <w:rFonts w:hint="eastAsia" w:ascii="Times New Roman" w:hAnsi="Times New Roman"/>
          <w:sz w:val="22"/>
        </w:rPr>
        <w:t>批准豁免華魯集團因茲而生之就本公司股份提出全面收購建議的相關義務。</w:t>
      </w:r>
    </w:p>
    <w:p>
      <w:pPr>
        <w:pStyle w:val="8"/>
        <w:snapToGrid w:val="0"/>
        <w:jc w:val="both"/>
        <w:rPr>
          <w:rFonts w:ascii="Times New Roman" w:hAnsi="Times New Roman"/>
          <w:sz w:val="22"/>
        </w:rPr>
      </w:pPr>
    </w:p>
    <w:p>
      <w:pPr>
        <w:pStyle w:val="8"/>
        <w:snapToGrid w:val="0"/>
        <w:jc w:val="both"/>
        <w:rPr>
          <w:rFonts w:ascii="Times New Roman" w:hAnsi="Times New Roman"/>
          <w:sz w:val="22"/>
        </w:rPr>
      </w:pPr>
      <w:r>
        <w:rPr>
          <w:rFonts w:hint="eastAsia" w:ascii="Times New Roman" w:hAnsi="Times New Roman"/>
          <w:sz w:val="22"/>
        </w:rPr>
        <w:t>本公司獲告知，建議轉讓須待正式轉讓文書及中證監的批准或豁免等,</w:t>
      </w:r>
      <w:r>
        <w:rPr>
          <w:rFonts w:ascii="Times New Roman" w:hAnsi="Times New Roman"/>
          <w:sz w:val="22"/>
        </w:rPr>
        <w:t xml:space="preserve"> </w:t>
      </w:r>
      <w:r>
        <w:rPr>
          <w:rFonts w:hint="eastAsia" w:ascii="Times New Roman" w:hAnsi="Times New Roman"/>
          <w:sz w:val="22"/>
        </w:rPr>
        <w:t>方可作實。</w:t>
      </w:r>
    </w:p>
    <w:p>
      <w:pPr>
        <w:pStyle w:val="8"/>
        <w:snapToGrid w:val="0"/>
        <w:jc w:val="both"/>
        <w:rPr>
          <w:rFonts w:ascii="Times New Roman" w:hAnsi="Times New Roman"/>
          <w:sz w:val="22"/>
        </w:rPr>
      </w:pPr>
    </w:p>
    <w:p>
      <w:pPr>
        <w:pStyle w:val="8"/>
        <w:snapToGrid w:val="0"/>
        <w:jc w:val="both"/>
        <w:rPr>
          <w:rFonts w:ascii="Times New Roman" w:hAnsi="Times New Roman"/>
          <w:sz w:val="22"/>
        </w:rPr>
      </w:pPr>
      <w:r>
        <w:rPr>
          <w:rFonts w:hint="eastAsia" w:ascii="Times New Roman" w:hAnsi="Times New Roman"/>
          <w:sz w:val="22"/>
        </w:rPr>
        <w:t>建議轉讓完成後，</w:t>
      </w:r>
      <w:r>
        <w:rPr>
          <w:rFonts w:hint="eastAsia" w:ascii="TimesLTStd-Roman" w:hAnsi="TimesLTStd-Roman" w:cs="TimesLTStd-Roman"/>
          <w:kern w:val="0"/>
          <w:sz w:val="22"/>
        </w:rPr>
        <w:t>華魯控股就本公司的持股百分比及其作為本公司控股股東的地位將維持不變，並將成為本公司的</w:t>
      </w:r>
      <w:r>
        <w:rPr>
          <w:rFonts w:hint="eastAsia" w:ascii="Times New Roman" w:hAnsi="Times New Roman"/>
          <w:sz w:val="22"/>
        </w:rPr>
        <w:t>直接控股股東；而截至本公告日期作為本公司直接控股股東以及華魯控股全資附屬公司的新華集團將不再對本公司擁有任何權益或負債。</w:t>
      </w:r>
    </w:p>
    <w:p>
      <w:pPr>
        <w:pStyle w:val="8"/>
        <w:snapToGrid w:val="0"/>
        <w:jc w:val="both"/>
        <w:rPr>
          <w:rFonts w:ascii="Times New Roman" w:hAnsi="Times New Roman"/>
          <w:sz w:val="22"/>
        </w:rPr>
      </w:pPr>
    </w:p>
    <w:p>
      <w:pPr>
        <w:pStyle w:val="8"/>
        <w:snapToGrid w:val="0"/>
        <w:jc w:val="both"/>
        <w:rPr>
          <w:rFonts w:ascii="Times New Roman" w:hAnsi="Times New Roman"/>
          <w:sz w:val="22"/>
        </w:rPr>
      </w:pPr>
      <w:r>
        <w:rPr>
          <w:rFonts w:hint="eastAsia" w:ascii="Times New Roman" w:hAnsi="Times New Roman"/>
          <w:sz w:val="22"/>
        </w:rPr>
        <w:t>董事會認為，基於前述本公司所獲告知內容,</w:t>
      </w:r>
      <w:r>
        <w:rPr>
          <w:rFonts w:ascii="Times New Roman" w:hAnsi="Times New Roman"/>
          <w:sz w:val="22"/>
        </w:rPr>
        <w:t xml:space="preserve"> </w:t>
      </w:r>
      <w:r>
        <w:rPr>
          <w:rFonts w:hint="eastAsia" w:ascii="Times New Roman" w:hAnsi="Times New Roman"/>
          <w:sz w:val="22"/>
        </w:rPr>
        <w:t>建議轉讓將不會對本公司及其子公司的財務狀況及經營造成任何影響。</w:t>
      </w:r>
    </w:p>
    <w:p>
      <w:pPr>
        <w:pStyle w:val="8"/>
        <w:snapToGrid w:val="0"/>
        <w:jc w:val="both"/>
        <w:rPr>
          <w:rFonts w:ascii="Times New Roman" w:hAnsi="Times New Roman"/>
          <w:sz w:val="22"/>
        </w:rPr>
      </w:pPr>
    </w:p>
    <w:p>
      <w:pPr>
        <w:pStyle w:val="8"/>
        <w:snapToGrid w:val="0"/>
        <w:jc w:val="both"/>
        <w:rPr>
          <w:rFonts w:ascii="Times New Roman" w:hAnsi="Times New Roman"/>
          <w:sz w:val="22"/>
        </w:rPr>
      </w:pPr>
      <w:r>
        <w:rPr>
          <w:rFonts w:hint="eastAsia" w:ascii="Times New Roman" w:hAnsi="Times New Roman"/>
          <w:sz w:val="22"/>
        </w:rPr>
        <w:t>本公司將於接獲控股股東的進一步通知後對任何須予披露事宜作進一步公告。</w:t>
      </w:r>
    </w:p>
    <w:p>
      <w:pPr>
        <w:pStyle w:val="8"/>
        <w:snapToGrid w:val="0"/>
        <w:jc w:val="both"/>
        <w:rPr>
          <w:rFonts w:ascii="Times New Roman" w:hAnsi="Times New Roman"/>
          <w:sz w:val="22"/>
        </w:rPr>
      </w:pPr>
    </w:p>
    <w:p>
      <w:pPr>
        <w:pStyle w:val="8"/>
        <w:snapToGrid w:val="0"/>
        <w:jc w:val="both"/>
        <w:rPr>
          <w:rFonts w:ascii="Times New Roman" w:hAnsi="Times New Roman"/>
          <w:sz w:val="22"/>
        </w:rPr>
      </w:pPr>
      <w:r>
        <w:rPr>
          <w:rFonts w:hint="eastAsia" w:ascii="Times New Roman" w:hAnsi="Times New Roman"/>
          <w:sz w:val="22"/>
        </w:rPr>
        <w:t>董事共同及個別地就本公告內資料的準確程度承擔全部責任，且經作出所有合理查詢後，確認據他們所深知本公告中表達的意見乃經適當及審慎的考慮後達致，並確認本公告並無遺漏其他事實，足以導致本公告任何聲明具誤導成分。</w:t>
      </w:r>
    </w:p>
    <w:p>
      <w:pPr>
        <w:pStyle w:val="8"/>
        <w:snapToGrid w:val="0"/>
        <w:jc w:val="both"/>
        <w:rPr>
          <w:rFonts w:ascii="Times New Roman" w:hAnsi="Times New Roman"/>
          <w:sz w:val="22"/>
        </w:rPr>
      </w:pPr>
    </w:p>
    <w:p>
      <w:pPr>
        <w:pStyle w:val="8"/>
        <w:snapToGrid w:val="0"/>
        <w:jc w:val="both"/>
        <w:rPr>
          <w:rFonts w:ascii="Times New Roman" w:hAnsi="Times New Roman"/>
          <w:sz w:val="22"/>
        </w:rPr>
      </w:pPr>
    </w:p>
    <w:p>
      <w:pPr>
        <w:pStyle w:val="8"/>
        <w:snapToGrid w:val="0"/>
        <w:jc w:val="both"/>
        <w:rPr>
          <w:rFonts w:ascii="Times New Roman" w:hAnsi="Times New Roman"/>
          <w:b/>
          <w:bCs/>
          <w:sz w:val="22"/>
        </w:rPr>
      </w:pPr>
      <w:r>
        <w:rPr>
          <w:rFonts w:hint="eastAsia" w:ascii="Times New Roman" w:hAnsi="Times New Roman"/>
          <w:b/>
          <w:bCs/>
          <w:sz w:val="22"/>
        </w:rPr>
        <w:t>建議轉讓尚有待已經披露的其他條件，並不必然得以實施，本公司股東及潛在投資者於買賣本公司股份時務請審慎行事。</w:t>
      </w:r>
    </w:p>
    <w:p>
      <w:pPr>
        <w:jc w:val="both"/>
        <w:rPr>
          <w:sz w:val="22"/>
          <w:szCs w:val="22"/>
        </w:rPr>
      </w:pPr>
      <w:r>
        <w:rPr>
          <w:rFonts w:hint="eastAsia"/>
          <w:sz w:val="22"/>
          <w:szCs w:val="22"/>
        </w:rPr>
        <w:t xml:space="preserve">   </w:t>
      </w:r>
    </w:p>
    <w:tbl>
      <w:tblPr>
        <w:tblW w:w="8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3448"/>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3448" w:type="dxa"/>
            <w:vAlign w:val="top"/>
          </w:tcPr>
          <w:p>
            <w:pPr>
              <w:pStyle w:val="8"/>
              <w:snapToGrid w:val="0"/>
              <w:rPr>
                <w:rFonts w:ascii="Times New Roman" w:hAnsi="Times New Roman"/>
                <w:sz w:val="22"/>
              </w:rPr>
            </w:pPr>
          </w:p>
        </w:tc>
        <w:tc>
          <w:tcPr>
            <w:tcW w:w="5220" w:type="dxa"/>
            <w:vAlign w:val="top"/>
          </w:tcPr>
          <w:p>
            <w:pPr>
              <w:pStyle w:val="18"/>
              <w:spacing w:line="240" w:lineRule="auto"/>
              <w:ind w:left="110" w:right="1200"/>
              <w:jc w:val="right"/>
              <w:rPr>
                <w:rFonts w:ascii="Times New Roman" w:hAnsi="Times New Roman"/>
                <w:color w:val="auto"/>
                <w:sz w:val="22"/>
                <w:szCs w:val="22"/>
              </w:rPr>
            </w:pPr>
            <w:r>
              <w:rPr>
                <w:rFonts w:hint="eastAsia" w:ascii="Times New Roman" w:hAnsi="Times New Roman"/>
                <w:color w:val="auto"/>
                <w:sz w:val="22"/>
                <w:szCs w:val="22"/>
              </w:rPr>
              <w:t>承董事會命</w:t>
            </w:r>
          </w:p>
          <w:p>
            <w:pPr>
              <w:pStyle w:val="18"/>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389" w:rightChars="162"/>
              <w:jc w:val="right"/>
              <w:rPr>
                <w:rFonts w:ascii="Times New Roman" w:hAnsi="Times New Roman"/>
                <w:color w:val="auto"/>
                <w:sz w:val="22"/>
                <w:szCs w:val="22"/>
              </w:rPr>
            </w:pPr>
            <w:r>
              <w:rPr>
                <w:rFonts w:hint="eastAsia" w:ascii="Times New Roman" w:hAnsi="Times New Roman"/>
                <w:b/>
                <w:bCs/>
                <w:color w:val="auto"/>
                <w:sz w:val="22"/>
                <w:szCs w:val="22"/>
              </w:rPr>
              <w:t>山東新華製藥股份有限公司</w:t>
            </w:r>
          </w:p>
          <w:p>
            <w:pPr>
              <w:pStyle w:val="18"/>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1241"/>
              <w:jc w:val="right"/>
              <w:rPr>
                <w:rFonts w:ascii="Times New Roman" w:hAnsi="Times New Roman" w:eastAsia="宋体"/>
                <w:b/>
                <w:bCs/>
                <w:color w:val="auto"/>
                <w:sz w:val="22"/>
                <w:szCs w:val="22"/>
                <w:lang w:eastAsia="zh-CN"/>
              </w:rPr>
            </w:pPr>
            <w:r>
              <w:rPr>
                <w:rFonts w:hint="eastAsia" w:ascii="Times New Roman" w:hAnsi="Times New Roman" w:eastAsia="宋体"/>
                <w:b/>
                <w:bCs/>
                <w:color w:val="auto"/>
                <w:sz w:val="22"/>
                <w:szCs w:val="22"/>
                <w:lang w:eastAsia="zh-CN"/>
              </w:rPr>
              <w:t>張代銘先生</w:t>
            </w:r>
          </w:p>
          <w:p>
            <w:pPr>
              <w:pStyle w:val="18"/>
              <w:tabs>
                <w:tab w:val="clear" w:pos="3400"/>
              </w:tabs>
              <w:spacing w:line="240" w:lineRule="auto"/>
              <w:ind w:left="110" w:right="1502"/>
              <w:jc w:val="right"/>
              <w:rPr>
                <w:rFonts w:ascii="Times New Roman" w:hAnsi="Times New Roman"/>
                <w:sz w:val="22"/>
              </w:rPr>
            </w:pPr>
            <w:r>
              <w:rPr>
                <w:rFonts w:hint="eastAsia" w:ascii="Times New Roman" w:hAnsi="Times New Roman"/>
                <w:i/>
                <w:iCs/>
                <w:color w:val="auto"/>
                <w:sz w:val="22"/>
                <w:szCs w:val="22"/>
              </w:rPr>
              <w:t>董事長</w:t>
            </w:r>
          </w:p>
        </w:tc>
      </w:tr>
    </w:tbl>
    <w:p>
      <w:pPr>
        <w:pStyle w:val="8"/>
        <w:snapToGrid w:val="0"/>
        <w:rPr>
          <w:rFonts w:ascii="Times New Roman" w:hAnsi="Times New Roman"/>
          <w:sz w:val="22"/>
        </w:rPr>
      </w:pPr>
      <w:r>
        <w:rPr>
          <w:rFonts w:ascii="Times New Roman" w:hAnsi="Times New Roman"/>
          <w:sz w:val="22"/>
        </w:rPr>
        <w:t xml:space="preserve"> </w:t>
      </w:r>
      <w:r>
        <w:rPr>
          <w:rFonts w:hint="eastAsia" w:ascii="Times New Roman" w:hAnsi="Times New Roman"/>
          <w:sz w:val="22"/>
        </w:rPr>
        <w:t>中國 淄博，二零一八年九月十八日</w:t>
      </w:r>
    </w:p>
    <w:p>
      <w:pPr>
        <w:pStyle w:val="8"/>
        <w:snapToGrid w:val="0"/>
        <w:rPr>
          <w:rFonts w:ascii="Times New Roman" w:hAnsi="Times New Roman"/>
          <w:i/>
          <w:sz w:val="22"/>
        </w:rPr>
      </w:pPr>
      <w:r>
        <w:rPr>
          <w:rFonts w:ascii="Times New Roman" w:hAnsi="Times New Roman"/>
          <w:sz w:val="22"/>
        </w:rPr>
        <w:t xml:space="preserve"> </w:t>
      </w:r>
      <w:bookmarkStart w:id="0" w:name="_GoBack"/>
      <w:bookmarkEnd w:id="0"/>
    </w:p>
    <w:p>
      <w:pPr>
        <w:pStyle w:val="8"/>
        <w:snapToGrid w:val="0"/>
        <w:ind w:left="630" w:hanging="630"/>
        <w:jc w:val="both"/>
        <w:rPr>
          <w:rFonts w:ascii="Times New Roman" w:hAnsi="Times New Roman"/>
          <w:i/>
          <w:sz w:val="22"/>
        </w:rPr>
      </w:pPr>
    </w:p>
    <w:p>
      <w:pPr>
        <w:snapToGrid w:val="0"/>
        <w:ind w:left="110"/>
        <w:jc w:val="both"/>
        <w:rPr>
          <w:color w:val="231F20"/>
          <w:spacing w:val="4"/>
          <w:sz w:val="22"/>
          <w:szCs w:val="22"/>
        </w:rPr>
      </w:pPr>
      <w:r>
        <w:rPr>
          <w:rFonts w:hint="eastAsia"/>
          <w:color w:val="231F20"/>
          <w:spacing w:val="4"/>
          <w:sz w:val="22"/>
          <w:szCs w:val="22"/>
        </w:rPr>
        <w:t>於本公告日期，董事會由下列董事組成：</w:t>
      </w:r>
    </w:p>
    <w:p>
      <w:pPr>
        <w:snapToGrid w:val="0"/>
        <w:ind w:left="110"/>
        <w:jc w:val="both"/>
        <w:rPr>
          <w:color w:val="231F20"/>
          <w:spacing w:val="4"/>
          <w:sz w:val="22"/>
          <w:szCs w:val="22"/>
        </w:rPr>
      </w:pPr>
    </w:p>
    <w:tbl>
      <w:tblPr>
        <w:tblW w:w="86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4348"/>
        <w:gridCol w:w="4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348" w:type="dxa"/>
            <w:vAlign w:val="top"/>
          </w:tcPr>
          <w:p>
            <w:pPr>
              <w:snapToGrid w:val="0"/>
              <w:ind w:left="110"/>
              <w:jc w:val="both"/>
              <w:rPr>
                <w:color w:val="231F20"/>
                <w:spacing w:val="4"/>
                <w:sz w:val="22"/>
                <w:szCs w:val="22"/>
                <w:u w:val="single"/>
              </w:rPr>
            </w:pPr>
            <w:r>
              <w:rPr>
                <w:rFonts w:hint="eastAsia"/>
                <w:color w:val="231F20"/>
                <w:spacing w:val="4"/>
                <w:sz w:val="22"/>
                <w:szCs w:val="22"/>
                <w:u w:val="single"/>
              </w:rPr>
              <w:t>執行董事：</w:t>
            </w:r>
          </w:p>
          <w:p>
            <w:pPr>
              <w:snapToGrid w:val="0"/>
              <w:ind w:left="110"/>
              <w:jc w:val="both"/>
              <w:rPr>
                <w:color w:val="231F20"/>
                <w:spacing w:val="4"/>
                <w:sz w:val="22"/>
                <w:szCs w:val="22"/>
              </w:rPr>
            </w:pPr>
            <w:r>
              <w:rPr>
                <w:rFonts w:hint="eastAsia"/>
                <w:color w:val="231F20"/>
                <w:spacing w:val="4"/>
                <w:sz w:val="22"/>
                <w:szCs w:val="22"/>
              </w:rPr>
              <w:t>張代銘先生（董事長）</w:t>
            </w:r>
          </w:p>
          <w:p>
            <w:pPr>
              <w:snapToGrid w:val="0"/>
              <w:ind w:left="110"/>
              <w:jc w:val="both"/>
              <w:rPr>
                <w:color w:val="231F20"/>
                <w:spacing w:val="4"/>
                <w:sz w:val="22"/>
                <w:szCs w:val="22"/>
              </w:rPr>
            </w:pPr>
            <w:r>
              <w:rPr>
                <w:rFonts w:hint="eastAsia"/>
                <w:color w:val="231F20"/>
                <w:spacing w:val="4"/>
                <w:sz w:val="22"/>
                <w:szCs w:val="22"/>
              </w:rPr>
              <w:t>杜德平先生</w:t>
            </w:r>
          </w:p>
          <w:p>
            <w:pPr>
              <w:snapToGrid w:val="0"/>
              <w:ind w:left="110"/>
              <w:jc w:val="both"/>
              <w:rPr>
                <w:color w:val="231F20"/>
                <w:spacing w:val="4"/>
                <w:sz w:val="22"/>
                <w:szCs w:val="22"/>
              </w:rPr>
            </w:pPr>
          </w:p>
        </w:tc>
        <w:tc>
          <w:tcPr>
            <w:tcW w:w="4348" w:type="dxa"/>
            <w:vAlign w:val="top"/>
          </w:tcPr>
          <w:p>
            <w:pPr>
              <w:snapToGrid w:val="0"/>
              <w:ind w:left="110"/>
              <w:jc w:val="both"/>
              <w:rPr>
                <w:color w:val="231F20"/>
                <w:spacing w:val="4"/>
                <w:sz w:val="22"/>
                <w:szCs w:val="22"/>
                <w:u w:val="single"/>
              </w:rPr>
            </w:pPr>
            <w:r>
              <w:rPr>
                <w:rFonts w:hint="eastAsia"/>
                <w:color w:val="231F20"/>
                <w:spacing w:val="4"/>
                <w:sz w:val="22"/>
                <w:szCs w:val="22"/>
                <w:u w:val="single"/>
              </w:rPr>
              <w:t>獨立非執行董事：</w:t>
            </w:r>
          </w:p>
          <w:p>
            <w:pPr>
              <w:snapToGrid w:val="0"/>
              <w:ind w:left="110"/>
              <w:jc w:val="both"/>
              <w:rPr>
                <w:color w:val="231F20"/>
                <w:spacing w:val="4"/>
                <w:sz w:val="22"/>
                <w:szCs w:val="22"/>
              </w:rPr>
            </w:pPr>
            <w:r>
              <w:rPr>
                <w:rFonts w:hint="eastAsia"/>
                <w:color w:val="231F20"/>
                <w:spacing w:val="4"/>
                <w:sz w:val="22"/>
                <w:szCs w:val="22"/>
              </w:rPr>
              <w:t>李文明先生</w:t>
            </w:r>
            <w:r>
              <w:rPr>
                <w:color w:val="231F20"/>
                <w:spacing w:val="4"/>
                <w:sz w:val="22"/>
                <w:szCs w:val="22"/>
              </w:rPr>
              <w:t xml:space="preserve"> </w:t>
            </w:r>
          </w:p>
          <w:p>
            <w:pPr>
              <w:snapToGrid w:val="0"/>
              <w:ind w:left="110"/>
              <w:jc w:val="both"/>
              <w:rPr>
                <w:color w:val="231F20"/>
                <w:spacing w:val="4"/>
                <w:sz w:val="22"/>
                <w:szCs w:val="22"/>
              </w:rPr>
            </w:pPr>
            <w:r>
              <w:rPr>
                <w:rFonts w:hint="eastAsia"/>
                <w:color w:val="231F20"/>
                <w:spacing w:val="4"/>
                <w:sz w:val="22"/>
                <w:szCs w:val="22"/>
              </w:rPr>
              <w:t>杜冠華先生</w:t>
            </w:r>
            <w:r>
              <w:rPr>
                <w:color w:val="231F20"/>
                <w:spacing w:val="4"/>
                <w:sz w:val="22"/>
                <w:szCs w:val="22"/>
              </w:rPr>
              <w:t xml:space="preserve"> </w:t>
            </w:r>
          </w:p>
          <w:p>
            <w:pPr>
              <w:snapToGrid w:val="0"/>
              <w:ind w:left="110"/>
              <w:jc w:val="both"/>
              <w:rPr>
                <w:color w:val="231F20"/>
                <w:spacing w:val="4"/>
                <w:sz w:val="22"/>
                <w:szCs w:val="22"/>
              </w:rPr>
            </w:pPr>
            <w:r>
              <w:rPr>
                <w:rFonts w:hint="eastAsia"/>
                <w:color w:val="231F20"/>
                <w:spacing w:val="4"/>
                <w:sz w:val="22"/>
                <w:szCs w:val="22"/>
              </w:rPr>
              <w:t>盧華威先生</w:t>
            </w:r>
          </w:p>
          <w:p>
            <w:pPr>
              <w:snapToGrid w:val="0"/>
              <w:ind w:left="110"/>
              <w:jc w:val="both"/>
              <w:rPr>
                <w:color w:val="231F20"/>
                <w:spacing w:val="4"/>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348" w:type="dxa"/>
            <w:vAlign w:val="top"/>
          </w:tcPr>
          <w:p>
            <w:pPr>
              <w:snapToGrid w:val="0"/>
              <w:ind w:left="110"/>
              <w:jc w:val="both"/>
              <w:rPr>
                <w:color w:val="231F20"/>
                <w:spacing w:val="4"/>
                <w:sz w:val="22"/>
                <w:szCs w:val="22"/>
                <w:u w:val="single"/>
              </w:rPr>
            </w:pPr>
            <w:r>
              <w:rPr>
                <w:rFonts w:hint="eastAsia"/>
                <w:color w:val="231F20"/>
                <w:spacing w:val="4"/>
                <w:sz w:val="22"/>
                <w:szCs w:val="22"/>
                <w:u w:val="single"/>
              </w:rPr>
              <w:t>非執行董事：</w:t>
            </w:r>
          </w:p>
          <w:p>
            <w:pPr>
              <w:snapToGrid w:val="0"/>
              <w:ind w:left="110"/>
              <w:jc w:val="both"/>
              <w:rPr>
                <w:color w:val="231F20"/>
                <w:spacing w:val="4"/>
                <w:sz w:val="22"/>
                <w:szCs w:val="22"/>
              </w:rPr>
            </w:pPr>
            <w:r>
              <w:rPr>
                <w:rFonts w:hint="eastAsia"/>
                <w:color w:val="231F20"/>
                <w:spacing w:val="4"/>
                <w:sz w:val="22"/>
                <w:szCs w:val="22"/>
              </w:rPr>
              <w:t>任福龍先生</w:t>
            </w:r>
          </w:p>
          <w:p>
            <w:pPr>
              <w:snapToGrid w:val="0"/>
              <w:ind w:left="110"/>
              <w:jc w:val="both"/>
              <w:rPr>
                <w:color w:val="231F20"/>
                <w:spacing w:val="4"/>
                <w:sz w:val="22"/>
                <w:szCs w:val="22"/>
              </w:rPr>
            </w:pPr>
            <w:r>
              <w:rPr>
                <w:rFonts w:hint="eastAsia"/>
                <w:color w:val="231F20"/>
                <w:spacing w:val="4"/>
                <w:sz w:val="22"/>
                <w:szCs w:val="22"/>
              </w:rPr>
              <w:t>徐 列先生</w:t>
            </w:r>
          </w:p>
          <w:p>
            <w:pPr>
              <w:snapToGrid w:val="0"/>
              <w:ind w:left="110"/>
              <w:jc w:val="both"/>
              <w:rPr>
                <w:color w:val="231F20"/>
                <w:spacing w:val="4"/>
                <w:sz w:val="22"/>
                <w:szCs w:val="22"/>
              </w:rPr>
            </w:pPr>
            <w:r>
              <w:rPr>
                <w:rFonts w:hint="eastAsia"/>
                <w:color w:val="231F20"/>
                <w:spacing w:val="4"/>
                <w:sz w:val="22"/>
                <w:szCs w:val="22"/>
              </w:rPr>
              <w:t>趙 斌先生</w:t>
            </w:r>
          </w:p>
        </w:tc>
        <w:tc>
          <w:tcPr>
            <w:tcW w:w="4348" w:type="dxa"/>
            <w:vAlign w:val="top"/>
          </w:tcPr>
          <w:p>
            <w:pPr>
              <w:snapToGrid w:val="0"/>
              <w:ind w:left="110"/>
              <w:jc w:val="both"/>
              <w:rPr>
                <w:color w:val="231F20"/>
                <w:spacing w:val="4"/>
                <w:sz w:val="22"/>
                <w:szCs w:val="22"/>
              </w:rPr>
            </w:pPr>
          </w:p>
        </w:tc>
      </w:tr>
    </w:tbl>
    <w:p>
      <w:pPr>
        <w:pStyle w:val="16"/>
        <w:spacing w:line="0" w:lineRule="atLeast"/>
        <w:ind w:left="115"/>
        <w:rPr>
          <w:rFonts w:ascii="Times New Roman" w:hAnsi="Times New Roman"/>
          <w:color w:val="231F20"/>
          <w:spacing w:val="4"/>
          <w:sz w:val="22"/>
          <w:szCs w:val="22"/>
        </w:rPr>
      </w:pPr>
    </w:p>
    <w:p>
      <w:pPr>
        <w:pStyle w:val="17"/>
        <w:spacing w:line="0" w:lineRule="atLeast"/>
        <w:ind w:left="115"/>
        <w:rPr>
          <w:rFonts w:ascii="Times New Roman" w:hAnsi="Times New Roman"/>
          <w:color w:val="231F20"/>
          <w:spacing w:val="4"/>
          <w:sz w:val="22"/>
          <w:szCs w:val="22"/>
        </w:rPr>
      </w:pPr>
    </w:p>
    <w:p>
      <w:pPr>
        <w:pStyle w:val="17"/>
        <w:spacing w:line="0" w:lineRule="atLeast"/>
        <w:ind w:left="115"/>
        <w:rPr>
          <w:rFonts w:ascii="Times New Roman" w:hAnsi="Times New Roman"/>
          <w:color w:val="231F20"/>
          <w:spacing w:val="4"/>
          <w:sz w:val="22"/>
          <w:szCs w:val="22"/>
        </w:rPr>
      </w:pPr>
    </w:p>
    <w:p>
      <w:pPr>
        <w:autoSpaceDE w:val="0"/>
        <w:autoSpaceDN w:val="0"/>
        <w:adjustRightInd w:val="0"/>
        <w:ind w:left="110" w:right="1207"/>
        <w:jc w:val="center"/>
        <w:rPr>
          <w:color w:val="000000"/>
          <w:sz w:val="22"/>
          <w:szCs w:val="22"/>
        </w:rPr>
      </w:pPr>
    </w:p>
    <w:p>
      <w:pPr>
        <w:pStyle w:val="8"/>
        <w:snapToGrid w:val="0"/>
        <w:jc w:val="both"/>
        <w:rPr>
          <w:rFonts w:ascii="Times New Roman" w:hAnsi="Times New Roman"/>
          <w:iCs/>
          <w:sz w:val="22"/>
        </w:rPr>
      </w:pPr>
    </w:p>
    <w:sectPr>
      <w:footerReference r:id="rId4" w:type="default"/>
      <w:pgSz w:w="11906" w:h="16838"/>
      <w:pgMar w:top="1440" w:right="1286" w:bottom="1440" w:left="153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Calibri Light">
    <w:altName w:val="Calibri"/>
    <w:panose1 w:val="020F0302020204030204"/>
    <w:charset w:val="00"/>
    <w:family w:val="auto"/>
    <w:pitch w:val="default"/>
    <w:sig w:usb0="A0002AEF" w:usb1="4000207B" w:usb2="00000000" w:usb3="00000000" w:csb0="000001FF" w:csb1="00000000"/>
  </w:font>
  <w:font w:name="MingLiU">
    <w:panose1 w:val="02020509000000000000"/>
    <w:charset w:val="88"/>
    <w:family w:val="auto"/>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2020603050405020304"/>
    <w:charset w:val="00"/>
    <w:family w:val="auto"/>
    <w:pitch w:val="default"/>
    <w:sig w:usb0="E0002AFF" w:usb1="C0007841" w:usb2="00000009" w:usb3="00000000" w:csb0="000001FF" w:csb1="00000000"/>
  </w:font>
  <w:font w:name="TimesLTStd-Roman">
    <w:altName w:val="Segoe Print"/>
    <w:panose1 w:val="00000000000000000000"/>
    <w:charset w:val="00"/>
    <w:family w:val="auto"/>
    <w:pitch w:val="default"/>
    <w:sig w:usb0="00000003" w:usb1="00000000" w:usb2="00000000" w:usb3="00000000" w:csb0="00000001"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 PAGE   \* MERGEFORMAT </w:instrText>
    </w:r>
    <w:r>
      <w:fldChar w:fldCharType="separate"/>
    </w:r>
    <w:r>
      <w:t>1</w:t>
    </w:r>
    <w:r>
      <w:fldChar w:fldCharType="end"/>
    </w:r>
  </w:p>
  <w:p>
    <w:pPr>
      <w:pStyle w:val="10"/>
      <w:jc w:val="right"/>
      <w:rPr>
        <w:sz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revisionView w:markup="0"/>
  <w:documentProtection w:enforcement="0"/>
  <w:defaultTabStop w:val="480"/>
  <w:drawingGridHorizontalSpacing w:val="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paragraph" w:styleId="2">
    <w:name w:val="heading 3"/>
    <w:basedOn w:val="1"/>
    <w:next w:val="1"/>
    <w:link w:val="26"/>
    <w:semiHidden/>
    <w:unhideWhenUsed/>
    <w:qFormat/>
    <w:uiPriority w:val="9"/>
    <w:pPr>
      <w:keepNext/>
      <w:spacing w:line="720" w:lineRule="auto"/>
      <w:outlineLvl w:val="2"/>
    </w:pPr>
    <w:rPr>
      <w:rFonts w:ascii="Calibri Light" w:hAnsi="Calibri Light"/>
      <w:b/>
      <w:bCs/>
      <w:sz w:val="36"/>
      <w:szCs w:val="36"/>
    </w:rPr>
  </w:style>
  <w:style w:type="paragraph" w:styleId="3">
    <w:name w:val="heading 8"/>
    <w:basedOn w:val="1"/>
    <w:next w:val="1"/>
    <w:qFormat/>
    <w:uiPriority w:val="0"/>
    <w:pPr>
      <w:keepNext/>
      <w:jc w:val="center"/>
      <w:outlineLvl w:val="7"/>
    </w:pPr>
    <w:rPr>
      <w:b/>
      <w:bCs/>
      <w:u w:val="single"/>
    </w:rPr>
  </w:style>
  <w:style w:type="paragraph" w:styleId="4">
    <w:name w:val="heading 9"/>
    <w:basedOn w:val="1"/>
    <w:next w:val="1"/>
    <w:qFormat/>
    <w:uiPriority w:val="0"/>
    <w:pPr>
      <w:keepNext/>
      <w:ind w:left="540" w:hanging="540" w:hangingChars="225"/>
      <w:outlineLvl w:val="8"/>
    </w:pPr>
    <w:rPr>
      <w:u w:val="single"/>
    </w:rPr>
  </w:style>
  <w:style w:type="character" w:default="1" w:styleId="13">
    <w:name w:val="Default Paragraph Font"/>
    <w:semiHidden/>
    <w:unhideWhenUsed/>
    <w:uiPriority w:val="1"/>
  </w:style>
  <w:style w:type="paragraph" w:styleId="5">
    <w:name w:val="annotation subject"/>
    <w:basedOn w:val="6"/>
    <w:next w:val="6"/>
    <w:link w:val="24"/>
    <w:semiHidden/>
    <w:unhideWhenUsed/>
    <w:uiPriority w:val="99"/>
    <w:rPr>
      <w:b/>
      <w:bCs/>
    </w:rPr>
  </w:style>
  <w:style w:type="paragraph" w:styleId="6">
    <w:name w:val="annotation text"/>
    <w:basedOn w:val="1"/>
    <w:link w:val="23"/>
    <w:semiHidden/>
    <w:unhideWhenUsed/>
    <w:uiPriority w:val="99"/>
    <w:rPr>
      <w:sz w:val="20"/>
      <w:szCs w:val="20"/>
    </w:rPr>
  </w:style>
  <w:style w:type="paragraph" w:styleId="7">
    <w:name w:val="Body Text"/>
    <w:basedOn w:val="1"/>
    <w:semiHidden/>
    <w:uiPriority w:val="0"/>
    <w:pPr>
      <w:jc w:val="both"/>
    </w:pPr>
  </w:style>
  <w:style w:type="paragraph" w:styleId="8">
    <w:name w:val="Plain Text"/>
    <w:basedOn w:val="1"/>
    <w:semiHidden/>
    <w:uiPriority w:val="0"/>
    <w:rPr>
      <w:rFonts w:ascii="MingLiU" w:hAnsi="Courier New" w:eastAsia="MingLiU"/>
      <w:szCs w:val="22"/>
    </w:rPr>
  </w:style>
  <w:style w:type="paragraph" w:styleId="9">
    <w:name w:val="Balloon Text"/>
    <w:basedOn w:val="1"/>
    <w:link w:val="25"/>
    <w:semiHidden/>
    <w:unhideWhenUsed/>
    <w:uiPriority w:val="99"/>
    <w:rPr>
      <w:rFonts w:ascii="Tahoma" w:hAnsi="Tahoma" w:cs="Tahoma"/>
      <w:sz w:val="16"/>
      <w:szCs w:val="16"/>
    </w:rPr>
  </w:style>
  <w:style w:type="paragraph" w:styleId="10">
    <w:name w:val="footer"/>
    <w:basedOn w:val="1"/>
    <w:link w:val="27"/>
    <w:uiPriority w:val="99"/>
    <w:pPr>
      <w:tabs>
        <w:tab w:val="center" w:pos="4153"/>
        <w:tab w:val="right" w:pos="8306"/>
      </w:tabs>
      <w:snapToGrid w:val="0"/>
    </w:pPr>
    <w:rPr>
      <w:sz w:val="20"/>
      <w:szCs w:val="20"/>
    </w:rPr>
  </w:style>
  <w:style w:type="paragraph" w:styleId="11">
    <w:name w:val="header"/>
    <w:basedOn w:val="1"/>
    <w:link w:val="22"/>
    <w:uiPriority w:val="99"/>
    <w:pPr>
      <w:tabs>
        <w:tab w:val="center" w:pos="4153"/>
        <w:tab w:val="right" w:pos="8306"/>
      </w:tabs>
      <w:snapToGrid w:val="0"/>
    </w:pPr>
    <w:rPr>
      <w:sz w:val="20"/>
      <w:szCs w:val="20"/>
    </w:rPr>
  </w:style>
  <w:style w:type="paragraph" w:styleId="12">
    <w:name w:val="Body Text 2"/>
    <w:basedOn w:val="1"/>
    <w:semiHidden/>
    <w:uiPriority w:val="0"/>
    <w:pPr>
      <w:jc w:val="center"/>
    </w:pPr>
  </w:style>
  <w:style w:type="character" w:styleId="14">
    <w:name w:val="annotation reference"/>
    <w:semiHidden/>
    <w:unhideWhenUsed/>
    <w:uiPriority w:val="99"/>
    <w:rPr>
      <w:sz w:val="16"/>
      <w:szCs w:val="16"/>
    </w:rPr>
  </w:style>
  <w:style w:type="paragraph" w:customStyle="1" w:styleId="15">
    <w:name w:val="題目"/>
    <w:uiPriority w:val="0"/>
    <w:pPr>
      <w:jc w:val="center"/>
    </w:pPr>
    <w:rPr>
      <w:rFonts w:eastAsia="MingLiU"/>
      <w:b/>
      <w:sz w:val="36"/>
    </w:rPr>
  </w:style>
  <w:style w:type="paragraph" w:customStyle="1" w:styleId="16">
    <w:name w:val="Leading 12"/>
    <w:uiPriority w:val="0"/>
    <w:pPr>
      <w:widowControl w:val="0"/>
      <w:tabs>
        <w:tab w:val="left" w:pos="340"/>
        <w:tab w:val="left" w:pos="680"/>
        <w:tab w:val="left" w:pos="1020"/>
        <w:tab w:val="left" w:pos="1361"/>
      </w:tabs>
      <w:autoSpaceDE w:val="0"/>
      <w:autoSpaceDN w:val="0"/>
      <w:adjustRightInd w:val="0"/>
      <w:spacing w:line="182" w:lineRule="atLeast"/>
      <w:jc w:val="both"/>
    </w:pPr>
    <w:rPr>
      <w:rFonts w:ascii="Times" w:hAnsi="Times"/>
      <w:sz w:val="10"/>
      <w:szCs w:val="10"/>
    </w:rPr>
  </w:style>
  <w:style w:type="paragraph" w:customStyle="1" w:styleId="17">
    <w:name w:val="Leading 06"/>
    <w:uiPriority w:val="0"/>
    <w:pPr>
      <w:widowControl w:val="0"/>
      <w:tabs>
        <w:tab w:val="left" w:pos="340"/>
        <w:tab w:val="left" w:pos="680"/>
        <w:tab w:val="left" w:pos="1020"/>
        <w:tab w:val="left" w:pos="1361"/>
      </w:tabs>
      <w:autoSpaceDE w:val="0"/>
      <w:autoSpaceDN w:val="0"/>
      <w:adjustRightInd w:val="0"/>
      <w:spacing w:line="180" w:lineRule="atLeast"/>
      <w:jc w:val="both"/>
    </w:pPr>
    <w:rPr>
      <w:rFonts w:ascii="Times" w:hAnsi="Times"/>
      <w:sz w:val="10"/>
      <w:szCs w:val="10"/>
    </w:rPr>
  </w:style>
  <w:style w:type="paragraph" w:customStyle="1" w:styleId="18">
    <w:name w:val="Body Text1"/>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line="200" w:lineRule="atLeast"/>
      <w:ind w:left="340"/>
      <w:jc w:val="both"/>
    </w:pPr>
    <w:rPr>
      <w:rFonts w:ascii="Times" w:hAnsi="Times"/>
      <w:color w:val="000000"/>
      <w:sz w:val="17"/>
      <w:szCs w:val="17"/>
    </w:rPr>
  </w:style>
  <w:style w:type="paragraph" w:customStyle="1" w:styleId="19">
    <w:name w:val="List Paragraph"/>
    <w:basedOn w:val="1"/>
    <w:qFormat/>
    <w:uiPriority w:val="34"/>
    <w:pPr>
      <w:ind w:left="720"/>
    </w:pPr>
  </w:style>
  <w:style w:type="paragraph" w:customStyle="1" w:styleId="20">
    <w:name w:val="Revision"/>
    <w:hidden/>
    <w:semiHidden/>
    <w:uiPriority w:val="99"/>
    <w:rPr>
      <w:kern w:val="2"/>
      <w:sz w:val="24"/>
      <w:szCs w:val="24"/>
    </w:rPr>
  </w:style>
  <w:style w:type="character" w:customStyle="1" w:styleId="21">
    <w:name w:val="da"/>
    <w:basedOn w:val="13"/>
    <w:uiPriority w:val="0"/>
    <w:rPr/>
  </w:style>
  <w:style w:type="character" w:customStyle="1" w:styleId="22">
    <w:name w:val="Header Char"/>
    <w:link w:val="11"/>
    <w:locked/>
    <w:uiPriority w:val="99"/>
    <w:rPr>
      <w:kern w:val="2"/>
      <w:lang w:val="en-US"/>
    </w:rPr>
  </w:style>
  <w:style w:type="character" w:customStyle="1" w:styleId="23">
    <w:name w:val="Comment Text Char"/>
    <w:link w:val="6"/>
    <w:semiHidden/>
    <w:uiPriority w:val="99"/>
    <w:rPr>
      <w:kern w:val="2"/>
      <w:lang w:val="en-US"/>
    </w:rPr>
  </w:style>
  <w:style w:type="character" w:customStyle="1" w:styleId="24">
    <w:name w:val="Comment Subject Char"/>
    <w:link w:val="5"/>
    <w:semiHidden/>
    <w:uiPriority w:val="99"/>
    <w:rPr>
      <w:b/>
      <w:bCs/>
      <w:kern w:val="2"/>
      <w:lang w:val="en-US"/>
    </w:rPr>
  </w:style>
  <w:style w:type="character" w:customStyle="1" w:styleId="25">
    <w:name w:val="Balloon Text Char"/>
    <w:link w:val="9"/>
    <w:semiHidden/>
    <w:uiPriority w:val="99"/>
    <w:rPr>
      <w:rFonts w:ascii="Tahoma" w:hAnsi="Tahoma" w:cs="Tahoma"/>
      <w:kern w:val="2"/>
      <w:sz w:val="16"/>
      <w:szCs w:val="16"/>
      <w:lang w:val="en-US"/>
    </w:rPr>
  </w:style>
  <w:style w:type="character" w:customStyle="1" w:styleId="26">
    <w:name w:val="Heading 3 Char"/>
    <w:basedOn w:val="13"/>
    <w:link w:val="2"/>
    <w:semiHidden/>
    <w:uiPriority w:val="9"/>
    <w:rPr>
      <w:rFonts w:ascii="Calibri Light" w:hAnsi="Calibri Light"/>
      <w:b/>
      <w:bCs/>
      <w:kern w:val="2"/>
      <w:sz w:val="36"/>
      <w:szCs w:val="36"/>
    </w:rPr>
  </w:style>
  <w:style w:type="character" w:customStyle="1" w:styleId="27">
    <w:name w:val="Footer Char"/>
    <w:basedOn w:val="13"/>
    <w:link w:val="10"/>
    <w:uiPriority w:val="99"/>
    <w:rPr>
      <w:kern w:val="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2</Pages>
  <Words>870</Words>
  <Characters>916</Characters>
  <Lines>2</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2018-06-11T10:02:00Z</dcterms:created>
  <dc:creator>WChow</dc:creator>
  <cp:lastModifiedBy>曹长求</cp:lastModifiedBy>
  <cp:lastPrinted>2018-09-17T10:54:00Z</cp:lastPrinted>
  <dcterms:modified xsi:type="dcterms:W3CDTF">2018-09-18T06:27:52Z</dcterms:modified>
  <dc:title>The Stock Exchange of Hong Kong Limited takes no responsibility for the contents of this announcement, makes no representation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