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PMingLiU" w:hAnsi="PMingLiU"/>
          <w:b/>
          <w:bCs/>
          <w:u w:val="single"/>
        </w:rPr>
      </w:pPr>
    </w:p>
    <w:p>
      <w:pPr>
        <w:jc w:val="center"/>
        <w:rPr>
          <w:rFonts w:ascii="PMingLiU" w:hAnsi="PMingLiU"/>
          <w:b/>
          <w:bCs/>
          <w:sz w:val="22"/>
          <w:szCs w:val="22"/>
        </w:rPr>
      </w:pPr>
    </w:p>
    <w:p>
      <w:pPr>
        <w:jc w:val="center"/>
        <w:rPr>
          <w:rFonts w:ascii="PMingLiU" w:hAnsi="PMingLiU"/>
          <w:b/>
          <w:bCs/>
          <w:sz w:val="22"/>
          <w:szCs w:val="22"/>
        </w:rPr>
      </w:pPr>
      <w:r>
        <w:rPr>
          <w:rFonts w:hint="eastAsia" w:ascii="PMingLiU" w:hAnsi="PMingLiU"/>
          <w:b/>
          <w:bCs/>
          <w:sz w:val="22"/>
          <w:szCs w:val="22"/>
        </w:rPr>
        <w:t>翌日披露報表</w:t>
      </w:r>
      <w:r>
        <w:rPr>
          <w:rFonts w:ascii="PMingLiU" w:hAnsi="PMingLiU"/>
          <w:b/>
          <w:bCs/>
          <w:sz w:val="22"/>
          <w:szCs w:val="22"/>
        </w:rPr>
        <w:t xml:space="preserve"> </w:t>
      </w:r>
    </w:p>
    <w:p>
      <w:pPr>
        <w:jc w:val="center"/>
        <w:rPr>
          <w:rFonts w:ascii="PMingLiU" w:hAnsi="PMingLiU"/>
          <w:b/>
          <w:bCs/>
          <w:i/>
          <w:iCs/>
          <w:sz w:val="22"/>
          <w:szCs w:val="22"/>
        </w:rPr>
      </w:pPr>
      <w:r>
        <w:rPr>
          <w:rFonts w:ascii="PMingLiU" w:hAnsi="PMingLiU"/>
          <w:b/>
          <w:bCs/>
          <w:i/>
          <w:iCs/>
          <w:sz w:val="22"/>
          <w:szCs w:val="22"/>
        </w:rPr>
        <w:t>(</w:t>
      </w:r>
      <w:r>
        <w:rPr>
          <w:rFonts w:hint="eastAsia" w:ascii="PMingLiU" w:hAnsi="PMingLiU"/>
          <w:b/>
          <w:bCs/>
          <w:i/>
          <w:iCs/>
          <w:sz w:val="22"/>
          <w:szCs w:val="22"/>
        </w:rPr>
        <w:t>股份發行人</w:t>
      </w:r>
      <w:r>
        <w:rPr>
          <w:rFonts w:ascii="PMingLiU" w:hAnsi="PMingLiU"/>
          <w:b/>
          <w:bCs/>
          <w:i/>
          <w:iCs/>
          <w:sz w:val="22"/>
          <w:szCs w:val="22"/>
        </w:rPr>
        <w:t xml:space="preserve"> </w:t>
      </w:r>
      <w:r>
        <w:rPr>
          <w:rFonts w:hint="eastAsia" w:ascii="PMingLiU" w:hAnsi="PMingLiU"/>
          <w:b/>
          <w:bCs/>
          <w:i/>
          <w:iCs/>
          <w:sz w:val="22"/>
          <w:szCs w:val="22"/>
        </w:rPr>
        <w:t>── 已發行股本變動及/或股份購回</w:t>
      </w:r>
      <w:r>
        <w:rPr>
          <w:rFonts w:ascii="PMingLiU" w:hAnsi="PMingLiU"/>
          <w:b/>
          <w:bCs/>
          <w:i/>
          <w:iCs/>
          <w:sz w:val="22"/>
          <w:szCs w:val="22"/>
        </w:rPr>
        <w:t>)</w:t>
      </w:r>
    </w:p>
    <w:p>
      <w:pPr>
        <w:jc w:val="both"/>
        <w:rPr>
          <w:rFonts w:ascii="PMingLiU" w:hAnsi="PMingLiU"/>
          <w:sz w:val="22"/>
          <w:szCs w:val="22"/>
        </w:rPr>
      </w:pPr>
    </w:p>
    <w:p>
      <w:pPr>
        <w:jc w:val="both"/>
        <w:rPr>
          <w:rFonts w:ascii="PMingLiU" w:hAnsi="PMingLiU"/>
          <w:sz w:val="22"/>
          <w:szCs w:val="22"/>
          <w:u w:val="single"/>
        </w:rPr>
      </w:pPr>
      <w:r>
        <w:rPr>
          <w:rFonts w:hint="eastAsia" w:ascii="PMingLiU" w:hAnsi="PMingLiU"/>
          <w:sz w:val="22"/>
          <w:szCs w:val="22"/>
        </w:rPr>
        <w:t>上市發行人名稱：</w:t>
      </w:r>
      <w:r>
        <w:rPr>
          <w:rFonts w:hint="eastAsia" w:ascii="PMingLiU" w:hAnsi="PMingLiU"/>
          <w:sz w:val="22"/>
          <w:szCs w:val="22"/>
          <w:u w:val="single"/>
        </w:rPr>
        <w:t>山東新華製藥股份有限公司</w:t>
      </w:r>
      <w:r>
        <w:rPr>
          <w:rFonts w:ascii="PMingLiU" w:hAnsi="PMingLiU"/>
          <w:sz w:val="22"/>
          <w:szCs w:val="22"/>
          <w:u w:val="single"/>
        </w:rPr>
        <w:t xml:space="preserve"> (</w:t>
      </w:r>
      <w:r>
        <w:rPr>
          <w:rFonts w:hint="eastAsia" w:ascii="PMingLiU" w:hAnsi="PMingLiU"/>
          <w:sz w:val="22"/>
          <w:szCs w:val="22"/>
          <w:u w:val="single"/>
        </w:rPr>
        <w:t>「</w:t>
      </w:r>
      <w:r>
        <w:rPr>
          <w:rFonts w:ascii="PMingLiU" w:hAnsi="PMingLiU"/>
          <w:sz w:val="22"/>
          <w:szCs w:val="20"/>
          <w:u w:val="single"/>
        </w:rPr>
        <w:t>本公司</w:t>
      </w:r>
      <w:r>
        <w:rPr>
          <w:rFonts w:hint="eastAsia" w:ascii="PMingLiU" w:hAnsi="PMingLiU"/>
          <w:sz w:val="22"/>
          <w:szCs w:val="22"/>
          <w:u w:val="single"/>
        </w:rPr>
        <w:t>」)</w:t>
      </w:r>
    </w:p>
    <w:p>
      <w:pPr>
        <w:pStyle w:val="10"/>
        <w:adjustRightInd/>
        <w:spacing w:line="240" w:lineRule="auto"/>
        <w:rPr>
          <w:rFonts w:ascii="PMingLiU" w:hAnsi="PMingLiU"/>
          <w:kern w:val="2"/>
          <w:u w:val="single"/>
        </w:rPr>
      </w:pPr>
    </w:p>
    <w:p>
      <w:pPr>
        <w:jc w:val="both"/>
        <w:rPr>
          <w:rFonts w:ascii="PMingLiU" w:hAnsi="PMingLiU"/>
          <w:sz w:val="22"/>
          <w:szCs w:val="22"/>
        </w:rPr>
      </w:pPr>
      <w:r>
        <w:rPr>
          <w:rFonts w:hint="eastAsia" w:ascii="PMingLiU" w:hAnsi="PMingLiU"/>
          <w:sz w:val="22"/>
          <w:szCs w:val="22"/>
        </w:rPr>
        <w:t>股份代號：</w:t>
      </w:r>
      <w:r>
        <w:rPr>
          <w:rFonts w:hint="eastAsia" w:ascii="PMingLiU" w:hAnsi="PMingLiU"/>
          <w:sz w:val="22"/>
          <w:szCs w:val="22"/>
          <w:u w:val="single"/>
        </w:rPr>
        <w:t>0</w:t>
      </w:r>
      <w:r>
        <w:rPr>
          <w:rFonts w:ascii="PMingLiU" w:hAnsi="PMingLiU"/>
          <w:sz w:val="22"/>
          <w:szCs w:val="22"/>
          <w:u w:val="single"/>
        </w:rPr>
        <w:t>0</w:t>
      </w:r>
      <w:r>
        <w:rPr>
          <w:rFonts w:hint="eastAsia" w:ascii="PMingLiU" w:hAnsi="PMingLiU"/>
          <w:sz w:val="22"/>
          <w:szCs w:val="22"/>
          <w:u w:val="single"/>
        </w:rPr>
        <w:t>7</w:t>
      </w:r>
      <w:r>
        <w:rPr>
          <w:rFonts w:ascii="PMingLiU" w:hAnsi="PMingLiU"/>
          <w:sz w:val="22"/>
          <w:szCs w:val="22"/>
          <w:u w:val="single"/>
        </w:rPr>
        <w:t>1</w:t>
      </w:r>
      <w:r>
        <w:rPr>
          <w:rFonts w:hint="eastAsia" w:ascii="PMingLiU" w:hAnsi="PMingLiU"/>
          <w:sz w:val="22"/>
          <w:szCs w:val="22"/>
          <w:u w:val="single"/>
        </w:rPr>
        <w:t>9</w:t>
      </w:r>
      <w:r>
        <w:rPr>
          <w:rFonts w:ascii="PMingLiU" w:hAnsi="PMingLiU"/>
          <w:sz w:val="22"/>
          <w:szCs w:val="22"/>
        </w:rPr>
        <w:tab/>
      </w:r>
      <w:r>
        <w:rPr>
          <w:rFonts w:ascii="PMingLiU" w:hAnsi="PMingLiU"/>
          <w:sz w:val="22"/>
          <w:szCs w:val="22"/>
        </w:rPr>
        <w:tab/>
      </w:r>
      <w:r>
        <w:rPr>
          <w:rFonts w:ascii="PMingLiU" w:hAnsi="PMingLiU"/>
          <w:sz w:val="22"/>
          <w:szCs w:val="22"/>
        </w:rPr>
        <w:tab/>
      </w:r>
      <w:r>
        <w:rPr>
          <w:rFonts w:ascii="PMingLiU" w:hAnsi="PMingLiU"/>
          <w:sz w:val="22"/>
          <w:szCs w:val="22"/>
        </w:rPr>
        <w:tab/>
      </w:r>
      <w:r>
        <w:rPr>
          <w:rFonts w:ascii="PMingLiU" w:hAnsi="PMingLiU"/>
          <w:sz w:val="22"/>
          <w:szCs w:val="22"/>
        </w:rPr>
        <w:tab/>
      </w:r>
      <w:r>
        <w:rPr>
          <w:rFonts w:hint="eastAsia" w:ascii="PMingLiU" w:hAnsi="PMingLiU"/>
          <w:sz w:val="22"/>
          <w:szCs w:val="22"/>
        </w:rPr>
        <w:t>呈交日期：</w:t>
      </w:r>
      <w:r>
        <w:rPr>
          <w:rFonts w:ascii="PMingLiU" w:hAnsi="PMingLiU"/>
          <w:sz w:val="22"/>
          <w:szCs w:val="22"/>
          <w:u w:val="single"/>
        </w:rPr>
        <w:t>27/07/2018</w:t>
      </w:r>
    </w:p>
    <w:p>
      <w:pPr>
        <w:jc w:val="both"/>
        <w:rPr>
          <w:rFonts w:ascii="PMingLiU" w:hAnsi="PMingLiU"/>
        </w:rPr>
      </w:pPr>
    </w:p>
    <w:p>
      <w:pPr>
        <w:jc w:val="both"/>
        <w:rPr>
          <w:rFonts w:ascii="PMingLiU" w:hAnsi="PMingLiU"/>
          <w:i/>
          <w:iCs/>
          <w:sz w:val="20"/>
          <w:szCs w:val="20"/>
        </w:rPr>
      </w:pPr>
      <w:r>
        <w:rPr>
          <w:rFonts w:hint="eastAsia" w:ascii="PMingLiU" w:hAnsi="PMingLiU"/>
          <w:i/>
          <w:iCs/>
          <w:sz w:val="22"/>
          <w:szCs w:val="22"/>
        </w:rPr>
        <w:t>如上市發行人的已發行股本出現變動而須根據《香港聯合交易所有限公司證券上市規則》(《上市規則》)第13.25</w:t>
      </w:r>
      <w:r>
        <w:rPr>
          <w:rFonts w:ascii="PMingLiU" w:hAnsi="PMingLiU"/>
          <w:i/>
          <w:iCs/>
          <w:sz w:val="22"/>
          <w:szCs w:val="22"/>
        </w:rPr>
        <w:t>A</w:t>
      </w:r>
      <w:r>
        <w:rPr>
          <w:rFonts w:hint="eastAsia" w:ascii="PMingLiU" w:hAnsi="PMingLiU"/>
          <w:i/>
          <w:iCs/>
          <w:sz w:val="22"/>
          <w:szCs w:val="22"/>
        </w:rPr>
        <w:t>條作出披露，必須填妥</w:t>
      </w:r>
      <w:r>
        <w:rPr>
          <w:rFonts w:ascii="PMingLiU" w:hAnsi="PMingLiU"/>
          <w:i/>
          <w:iCs/>
          <w:sz w:val="22"/>
          <w:szCs w:val="22"/>
        </w:rPr>
        <w:t>I</w:t>
      </w:r>
      <w:r>
        <w:rPr>
          <w:rFonts w:hint="eastAsia" w:ascii="PMingLiU" w:hAnsi="PMingLiU"/>
          <w:i/>
          <w:iCs/>
          <w:sz w:val="22"/>
          <w:szCs w:val="22"/>
        </w:rPr>
        <w:t>部</w:t>
      </w:r>
      <w:r>
        <w:rPr>
          <w:rFonts w:ascii="PMingLiU" w:hAnsi="PMingLiU"/>
          <w:i/>
          <w:iCs/>
          <w:sz w:val="22"/>
          <w:szCs w:val="22"/>
        </w:rPr>
        <w:t xml:space="preserve"> </w:t>
      </w:r>
      <w:r>
        <w:rPr>
          <w:rFonts w:hint="eastAsia" w:ascii="PMingLiU" w:hAnsi="PMingLiU"/>
          <w:i/>
          <w:iCs/>
          <w:sz w:val="22"/>
          <w:szCs w:val="22"/>
        </w:rPr>
        <w:t>。</w:t>
      </w:r>
    </w:p>
    <w:p>
      <w:pPr>
        <w:jc w:val="both"/>
        <w:rPr>
          <w:rFonts w:ascii="PMingLiU" w:hAnsi="PMingLiU"/>
          <w:i/>
          <w:iCs/>
          <w:sz w:val="20"/>
          <w:szCs w:val="20"/>
        </w:rPr>
      </w:pPr>
    </w:p>
    <w:p>
      <w:pPr>
        <w:jc w:val="both"/>
        <w:rPr>
          <w:rFonts w:ascii="PMingLiU" w:hAnsi="PMingLiU"/>
          <w:i/>
          <w:iCs/>
          <w:sz w:val="22"/>
          <w:szCs w:val="22"/>
        </w:rPr>
      </w:pPr>
      <w:r>
        <w:rPr>
          <w:rFonts w:hint="eastAsia" w:ascii="PMingLiU" w:hAnsi="PMingLiU"/>
          <w:i/>
          <w:iCs/>
          <w:sz w:val="22"/>
          <w:szCs w:val="22"/>
        </w:rPr>
        <w:t>如上市發行人購回股份而須根據《上市規則》第</w:t>
      </w:r>
      <w:r>
        <w:rPr>
          <w:rFonts w:ascii="PMingLiU" w:hAnsi="PMingLiU"/>
          <w:i/>
          <w:iCs/>
          <w:sz w:val="22"/>
          <w:szCs w:val="22"/>
        </w:rPr>
        <w:t>10.06(4)(a)</w:t>
      </w:r>
      <w:r>
        <w:rPr>
          <w:rFonts w:hint="eastAsia" w:ascii="PMingLiU" w:hAnsi="PMingLiU"/>
          <w:i/>
          <w:iCs/>
          <w:sz w:val="22"/>
          <w:szCs w:val="22"/>
        </w:rPr>
        <w:t>條作出披露，則亦須填妥</w:t>
      </w:r>
      <w:r>
        <w:rPr>
          <w:rFonts w:ascii="PMingLiU" w:hAnsi="PMingLiU"/>
          <w:i/>
          <w:iCs/>
          <w:sz w:val="22"/>
          <w:szCs w:val="22"/>
        </w:rPr>
        <w:t>II</w:t>
      </w:r>
      <w:r>
        <w:rPr>
          <w:rFonts w:hint="eastAsia" w:ascii="PMingLiU" w:hAnsi="PMingLiU"/>
          <w:i/>
          <w:iCs/>
          <w:sz w:val="22"/>
          <w:szCs w:val="22"/>
        </w:rPr>
        <w:t>部。</w:t>
      </w:r>
    </w:p>
    <w:p>
      <w:pPr>
        <w:jc w:val="both"/>
        <w:rPr>
          <w:rFonts w:ascii="PMingLiU" w:hAnsi="PMingLiU"/>
          <w:i/>
          <w:iCs/>
          <w:sz w:val="22"/>
          <w:szCs w:val="22"/>
          <w:shd w:val="clear" w:color="auto" w:fill="E0E0E0"/>
        </w:rPr>
      </w:pPr>
    </w:p>
    <w:p>
      <w:pPr>
        <w:jc w:val="both"/>
        <w:rPr>
          <w:rFonts w:ascii="PMingLiU" w:hAnsi="PMingLiU"/>
          <w:b/>
          <w:bCs/>
          <w:sz w:val="20"/>
          <w:szCs w:val="20"/>
        </w:rPr>
      </w:pPr>
      <w:r>
        <w:rPr>
          <w:rFonts w:hint="eastAsia" w:ascii="PMingLiU" w:hAnsi="PMingLiU"/>
          <w:b/>
          <w:bCs/>
          <w:sz w:val="22"/>
          <w:szCs w:val="22"/>
        </w:rPr>
        <w:t>證券詳情：</w:t>
      </w:r>
      <w:r>
        <w:rPr>
          <w:rFonts w:ascii="PMingLiU" w:hAnsi="PMingLiU"/>
          <w:b/>
          <w:bCs/>
          <w:sz w:val="22"/>
          <w:szCs w:val="22"/>
        </w:rPr>
        <w:t xml:space="preserve"> __</w:t>
      </w:r>
      <w:r>
        <w:rPr>
          <w:rFonts w:hint="eastAsia" w:ascii="PMingLiU" w:hAnsi="PMingLiU"/>
          <w:b/>
          <w:bCs/>
          <w:sz w:val="22"/>
          <w:szCs w:val="22"/>
          <w:u w:val="single"/>
        </w:rPr>
        <w:t>普通股</w:t>
      </w:r>
      <w:r>
        <w:rPr>
          <w:rFonts w:ascii="PMingLiU" w:hAnsi="PMingLiU"/>
          <w:b/>
          <w:bCs/>
          <w:sz w:val="22"/>
          <w:szCs w:val="22"/>
          <w:u w:val="single"/>
        </w:rPr>
        <w:t>_(H</w:t>
      </w:r>
      <w:r>
        <w:rPr>
          <w:rFonts w:hint="eastAsia" w:ascii="PMingLiU" w:hAnsi="PMingLiU"/>
          <w:b/>
          <w:bCs/>
          <w:sz w:val="22"/>
          <w:szCs w:val="22"/>
          <w:u w:val="single"/>
        </w:rPr>
        <w:t>股及A股</w:t>
      </w:r>
      <w:r>
        <w:rPr>
          <w:rFonts w:ascii="PMingLiU" w:hAnsi="PMingLiU"/>
          <w:b/>
          <w:bCs/>
          <w:sz w:val="22"/>
          <w:szCs w:val="22"/>
          <w:u w:val="single"/>
        </w:rPr>
        <w:t>)</w:t>
      </w:r>
    </w:p>
    <w:p>
      <w:pPr>
        <w:jc w:val="both"/>
        <w:rPr>
          <w:rFonts w:ascii="PMingLiU" w:hAnsi="PMingLiU"/>
          <w:sz w:val="22"/>
          <w:szCs w:val="22"/>
        </w:rPr>
      </w:pPr>
    </w:p>
    <w:tbl>
      <w:tblPr>
        <w:tblW w:w="15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80"/>
        <w:gridCol w:w="2280"/>
        <w:gridCol w:w="2760"/>
        <w:gridCol w:w="228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40" w:type="dxa"/>
            <w:gridSpan w:val="6"/>
            <w:vAlign w:val="center"/>
          </w:tcPr>
          <w:p>
            <w:pPr>
              <w:spacing w:line="216" w:lineRule="auto"/>
              <w:rPr>
                <w:rFonts w:ascii="PMingLiU" w:hAnsi="PMingLiU"/>
                <w:sz w:val="22"/>
              </w:rPr>
            </w:pPr>
            <w:r>
              <w:rPr>
                <w:rFonts w:ascii="PMingLiU" w:hAnsi="PMingLiU"/>
                <w:sz w:val="22"/>
                <w:szCs w:val="22"/>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80" w:type="dxa"/>
            <w:vAlign w:val="center"/>
          </w:tcPr>
          <w:p>
            <w:pPr>
              <w:spacing w:line="216" w:lineRule="auto"/>
              <w:jc w:val="center"/>
              <w:rPr>
                <w:rFonts w:ascii="PMingLiU" w:hAnsi="PMingLiU"/>
                <w:sz w:val="22"/>
              </w:rPr>
            </w:pPr>
            <w:r>
              <w:rPr>
                <w:rFonts w:ascii="PMingLiU" w:hAnsi="PMingLiU"/>
                <w:sz w:val="22"/>
                <w:szCs w:val="22"/>
              </w:rPr>
              <w:t>發行股份</w:t>
            </w:r>
          </w:p>
          <w:p>
            <w:pPr>
              <w:spacing w:line="216" w:lineRule="auto"/>
              <w:jc w:val="center"/>
              <w:rPr>
                <w:rFonts w:ascii="PMingLiU" w:hAnsi="PMingLiU"/>
                <w:sz w:val="22"/>
              </w:rPr>
            </w:pPr>
            <w:r>
              <w:rPr>
                <w:rFonts w:ascii="PMingLiU" w:hAnsi="PMingLiU"/>
                <w:sz w:val="22"/>
                <w:szCs w:val="22"/>
              </w:rPr>
              <w:t>(註6及7)</w:t>
            </w:r>
          </w:p>
        </w:tc>
        <w:tc>
          <w:tcPr>
            <w:tcW w:w="2280" w:type="dxa"/>
            <w:vAlign w:val="center"/>
          </w:tcPr>
          <w:p>
            <w:pPr>
              <w:spacing w:line="216" w:lineRule="auto"/>
              <w:jc w:val="center"/>
              <w:rPr>
                <w:rFonts w:ascii="PMingLiU" w:hAnsi="PMingLiU"/>
                <w:sz w:val="22"/>
              </w:rPr>
            </w:pPr>
            <w:r>
              <w:rPr>
                <w:rFonts w:ascii="PMingLiU" w:hAnsi="PMingLiU"/>
                <w:sz w:val="22"/>
                <w:szCs w:val="22"/>
              </w:rPr>
              <w:t>股份數目</w:t>
            </w:r>
          </w:p>
        </w:tc>
        <w:tc>
          <w:tcPr>
            <w:tcW w:w="2760" w:type="dxa"/>
            <w:vAlign w:val="top"/>
          </w:tcPr>
          <w:p>
            <w:pPr>
              <w:spacing w:line="216" w:lineRule="auto"/>
              <w:jc w:val="center"/>
              <w:rPr>
                <w:rFonts w:ascii="PMingLiU" w:hAnsi="PMingLiU"/>
                <w:sz w:val="22"/>
              </w:rPr>
            </w:pPr>
            <w:r>
              <w:rPr>
                <w:rFonts w:ascii="PMingLiU" w:hAnsi="PMingLiU"/>
                <w:sz w:val="22"/>
                <w:szCs w:val="22"/>
              </w:rPr>
              <w:t>已發行股份佔</w:t>
            </w:r>
            <w:r>
              <w:rPr>
                <w:rFonts w:ascii="PMingLiU" w:hAnsi="PMingLiU"/>
                <w:sz w:val="22"/>
                <w:szCs w:val="22"/>
              </w:rPr>
              <w:br/>
            </w:r>
            <w:r>
              <w:rPr>
                <w:rFonts w:ascii="PMingLiU" w:hAnsi="PMingLiU"/>
                <w:sz w:val="22"/>
                <w:szCs w:val="22"/>
              </w:rPr>
              <w:t>有關股份發行前的</w:t>
            </w:r>
            <w:r>
              <w:rPr>
                <w:rFonts w:ascii="PMingLiU" w:hAnsi="PMingLiU"/>
                <w:sz w:val="22"/>
                <w:szCs w:val="22"/>
              </w:rPr>
              <w:br/>
            </w:r>
            <w:r>
              <w:rPr>
                <w:rFonts w:ascii="PMingLiU" w:hAnsi="PMingLiU"/>
                <w:sz w:val="22"/>
                <w:szCs w:val="22"/>
              </w:rPr>
              <w:t>現有已發行股份數目</w:t>
            </w:r>
          </w:p>
          <w:p>
            <w:pPr>
              <w:spacing w:line="216" w:lineRule="auto"/>
              <w:jc w:val="center"/>
              <w:rPr>
                <w:rFonts w:ascii="PMingLiU" w:hAnsi="PMingLiU"/>
                <w:sz w:val="22"/>
              </w:rPr>
            </w:pPr>
            <w:r>
              <w:rPr>
                <w:rFonts w:ascii="PMingLiU" w:hAnsi="PMingLiU"/>
                <w:sz w:val="22"/>
                <w:szCs w:val="22"/>
              </w:rPr>
              <w:t>百分比</w:t>
            </w:r>
          </w:p>
          <w:p>
            <w:pPr>
              <w:spacing w:line="216" w:lineRule="auto"/>
              <w:jc w:val="center"/>
              <w:rPr>
                <w:rFonts w:ascii="PMingLiU" w:hAnsi="PMingLiU"/>
                <w:sz w:val="22"/>
              </w:rPr>
            </w:pPr>
            <w:r>
              <w:rPr>
                <w:rFonts w:ascii="PMingLiU" w:hAnsi="PMingLiU"/>
                <w:sz w:val="22"/>
                <w:szCs w:val="22"/>
              </w:rPr>
              <w:t xml:space="preserve">(註4、6及7) </w:t>
            </w:r>
          </w:p>
        </w:tc>
        <w:tc>
          <w:tcPr>
            <w:tcW w:w="2280" w:type="dxa"/>
            <w:tcBorders>
              <w:bottom w:val="single" w:color="auto" w:sz="4" w:space="0"/>
            </w:tcBorders>
            <w:vAlign w:val="center"/>
          </w:tcPr>
          <w:p>
            <w:pPr>
              <w:spacing w:line="216" w:lineRule="auto"/>
              <w:jc w:val="center"/>
              <w:rPr>
                <w:rFonts w:ascii="PMingLiU" w:hAnsi="PMingLiU"/>
                <w:sz w:val="22"/>
              </w:rPr>
            </w:pPr>
            <w:r>
              <w:rPr>
                <w:rFonts w:ascii="PMingLiU" w:hAnsi="PMingLiU"/>
                <w:sz w:val="22"/>
                <w:szCs w:val="22"/>
              </w:rPr>
              <w:t>每股發行價</w:t>
            </w:r>
          </w:p>
          <w:p>
            <w:pPr>
              <w:spacing w:line="216" w:lineRule="auto"/>
              <w:jc w:val="center"/>
              <w:rPr>
                <w:rFonts w:ascii="PMingLiU" w:hAnsi="PMingLiU"/>
                <w:sz w:val="22"/>
              </w:rPr>
            </w:pPr>
            <w:r>
              <w:rPr>
                <w:rFonts w:ascii="PMingLiU" w:hAnsi="PMingLiU"/>
                <w:sz w:val="22"/>
                <w:szCs w:val="22"/>
              </w:rPr>
              <w:t xml:space="preserve"> (註1及7)</w:t>
            </w:r>
          </w:p>
        </w:tc>
        <w:tc>
          <w:tcPr>
            <w:tcW w:w="2520" w:type="dxa"/>
            <w:tcBorders>
              <w:bottom w:val="single" w:color="auto" w:sz="4" w:space="0"/>
            </w:tcBorders>
            <w:vAlign w:val="center"/>
          </w:tcPr>
          <w:p>
            <w:pPr>
              <w:spacing w:line="216" w:lineRule="auto"/>
              <w:jc w:val="center"/>
              <w:rPr>
                <w:rFonts w:ascii="PMingLiU" w:hAnsi="PMingLiU"/>
                <w:sz w:val="22"/>
              </w:rPr>
            </w:pPr>
            <w:r>
              <w:rPr>
                <w:rFonts w:ascii="PMingLiU" w:hAnsi="PMingLiU"/>
                <w:sz w:val="22"/>
                <w:szCs w:val="22"/>
              </w:rPr>
              <w:t>上一個營業日的</w:t>
            </w:r>
            <w:r>
              <w:rPr>
                <w:rFonts w:ascii="PMingLiU" w:hAnsi="PMingLiU"/>
                <w:sz w:val="22"/>
                <w:szCs w:val="22"/>
              </w:rPr>
              <w:br/>
            </w:r>
            <w:r>
              <w:rPr>
                <w:rFonts w:ascii="PMingLiU" w:hAnsi="PMingLiU"/>
                <w:sz w:val="22"/>
                <w:szCs w:val="22"/>
              </w:rPr>
              <w:t xml:space="preserve">每股收市價 </w:t>
            </w:r>
          </w:p>
          <w:p>
            <w:pPr>
              <w:spacing w:line="216" w:lineRule="auto"/>
              <w:jc w:val="center"/>
              <w:rPr>
                <w:rFonts w:ascii="PMingLiU" w:hAnsi="PMingLiU"/>
                <w:sz w:val="22"/>
              </w:rPr>
            </w:pPr>
            <w:r>
              <w:rPr>
                <w:rFonts w:ascii="PMingLiU" w:hAnsi="PMingLiU"/>
                <w:sz w:val="22"/>
                <w:szCs w:val="22"/>
              </w:rPr>
              <w:t>(註 5)</w:t>
            </w:r>
          </w:p>
        </w:tc>
        <w:tc>
          <w:tcPr>
            <w:tcW w:w="2520" w:type="dxa"/>
            <w:tcBorders>
              <w:bottom w:val="single" w:color="auto" w:sz="4" w:space="0"/>
            </w:tcBorders>
            <w:vAlign w:val="center"/>
          </w:tcPr>
          <w:p>
            <w:pPr>
              <w:spacing w:line="216" w:lineRule="auto"/>
              <w:jc w:val="center"/>
              <w:rPr>
                <w:rFonts w:ascii="PMingLiU" w:hAnsi="PMingLiU"/>
                <w:sz w:val="22"/>
              </w:rPr>
            </w:pPr>
            <w:r>
              <w:rPr>
                <w:rFonts w:ascii="PMingLiU" w:hAnsi="PMingLiU"/>
                <w:sz w:val="22"/>
                <w:szCs w:val="22"/>
              </w:rPr>
              <w:t>發行價較市值的</w:t>
            </w:r>
            <w:r>
              <w:rPr>
                <w:rFonts w:ascii="PMingLiU" w:hAnsi="PMingLiU"/>
                <w:sz w:val="22"/>
                <w:szCs w:val="22"/>
              </w:rPr>
              <w:br/>
            </w:r>
            <w:r>
              <w:rPr>
                <w:rFonts w:ascii="PMingLiU" w:hAnsi="PMingLiU"/>
                <w:sz w:val="22"/>
                <w:szCs w:val="22"/>
              </w:rPr>
              <w:t>折讓/溢價幅度(百分比)</w:t>
            </w:r>
          </w:p>
          <w:p>
            <w:pPr>
              <w:spacing w:line="216" w:lineRule="auto"/>
              <w:jc w:val="center"/>
              <w:rPr>
                <w:rFonts w:ascii="PMingLiU" w:hAnsi="PMingLiU"/>
                <w:sz w:val="22"/>
              </w:rPr>
            </w:pPr>
            <w:r>
              <w:rPr>
                <w:rFonts w:ascii="PMingLiU" w:hAnsi="PMingLiU"/>
                <w:sz w:val="22"/>
                <w:szCs w:val="22"/>
              </w:rPr>
              <w:t>(註7)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80" w:type="dxa"/>
            <w:shd w:val="clear" w:color="auto" w:fill="auto"/>
            <w:vAlign w:val="top"/>
          </w:tcPr>
          <w:p>
            <w:pPr>
              <w:snapToGrid w:val="0"/>
              <w:rPr>
                <w:rFonts w:ascii="PMingLiU" w:hAnsi="PMingLiU"/>
                <w:sz w:val="22"/>
              </w:rPr>
            </w:pPr>
            <w:r>
              <w:rPr>
                <w:rFonts w:ascii="PMingLiU" w:hAnsi="PMingLiU"/>
                <w:sz w:val="22"/>
                <w:szCs w:val="22"/>
              </w:rPr>
              <w:t>於下列日期開始時的結存</w:t>
            </w:r>
          </w:p>
          <w:p>
            <w:pPr>
              <w:snapToGrid w:val="0"/>
              <w:rPr>
                <w:rFonts w:ascii="PMingLiU" w:hAnsi="PMingLiU"/>
                <w:sz w:val="22"/>
              </w:rPr>
            </w:pPr>
            <w:r>
              <w:rPr>
                <w:rFonts w:hint="eastAsia" w:ascii="PMingLiU" w:hAnsi="PMingLiU"/>
                <w:sz w:val="22"/>
                <w:szCs w:val="22"/>
              </w:rPr>
              <w:t>2018年</w:t>
            </w:r>
            <w:r>
              <w:rPr>
                <w:rFonts w:ascii="PMingLiU" w:hAnsi="PMingLiU"/>
                <w:sz w:val="22"/>
                <w:szCs w:val="22"/>
              </w:rPr>
              <w:t>6</w:t>
            </w:r>
            <w:r>
              <w:rPr>
                <w:rFonts w:hint="eastAsia" w:ascii="PMingLiU" w:hAnsi="PMingLiU"/>
                <w:sz w:val="22"/>
                <w:szCs w:val="22"/>
              </w:rPr>
              <w:t>月</w:t>
            </w:r>
            <w:r>
              <w:rPr>
                <w:rFonts w:ascii="PMingLiU" w:hAnsi="PMingLiU"/>
                <w:sz w:val="22"/>
                <w:szCs w:val="22"/>
              </w:rPr>
              <w:t>30</w:t>
            </w:r>
            <w:r>
              <w:rPr>
                <w:rFonts w:hint="eastAsia" w:ascii="PMingLiU" w:hAnsi="PMingLiU"/>
                <w:sz w:val="22"/>
                <w:szCs w:val="22"/>
              </w:rPr>
              <w:t>日</w:t>
            </w:r>
          </w:p>
          <w:p>
            <w:pPr>
              <w:snapToGrid w:val="0"/>
              <w:rPr>
                <w:rFonts w:ascii="PMingLiU" w:hAnsi="PMingLiU"/>
                <w:sz w:val="22"/>
              </w:rPr>
            </w:pPr>
            <w:r>
              <w:rPr>
                <w:rFonts w:ascii="PMingLiU" w:hAnsi="PMingLiU"/>
                <w:sz w:val="22"/>
                <w:szCs w:val="22"/>
              </w:rPr>
              <w:t>(註2)</w:t>
            </w:r>
          </w:p>
          <w:p>
            <w:pPr>
              <w:snapToGrid w:val="0"/>
              <w:rPr>
                <w:rFonts w:ascii="PMingLiU" w:hAnsi="PMingLiU"/>
                <w:sz w:val="22"/>
              </w:rPr>
            </w:pPr>
          </w:p>
        </w:tc>
        <w:tc>
          <w:tcPr>
            <w:tcW w:w="2280" w:type="dxa"/>
            <w:shd w:val="clear" w:color="auto" w:fill="auto"/>
            <w:vAlign w:val="top"/>
          </w:tcPr>
          <w:p>
            <w:pPr>
              <w:snapToGrid w:val="0"/>
              <w:jc w:val="both"/>
              <w:rPr>
                <w:rFonts w:ascii="PMingLiU" w:hAnsi="PMingLiU"/>
                <w:sz w:val="22"/>
              </w:rPr>
            </w:pPr>
            <w:r>
              <w:rPr>
                <w:rFonts w:ascii="PMingLiU" w:hAnsi="PMingLiU"/>
                <w:sz w:val="22"/>
              </w:rPr>
              <w:t xml:space="preserve">478,353,421 </w:t>
            </w:r>
            <w:r>
              <w:rPr>
                <w:rFonts w:ascii="PMingLiU" w:hAnsi="PMingLiU"/>
                <w:sz w:val="22"/>
                <w:szCs w:val="22"/>
              </w:rPr>
              <w:t>(150,000,000 H股及</w:t>
            </w:r>
          </w:p>
          <w:p>
            <w:pPr>
              <w:snapToGrid w:val="0"/>
              <w:jc w:val="both"/>
              <w:rPr>
                <w:rFonts w:ascii="PMingLiU" w:hAnsi="PMingLiU"/>
                <w:sz w:val="22"/>
              </w:rPr>
            </w:pPr>
            <w:r>
              <w:rPr>
                <w:rFonts w:ascii="PMingLiU" w:hAnsi="PMingLiU"/>
                <w:sz w:val="22"/>
              </w:rPr>
              <w:t xml:space="preserve">328,353,421 </w:t>
            </w:r>
            <w:r>
              <w:rPr>
                <w:rFonts w:ascii="PMingLiU" w:hAnsi="PMingLiU"/>
                <w:sz w:val="22"/>
                <w:szCs w:val="22"/>
              </w:rPr>
              <w:t>A股)</w:t>
            </w:r>
          </w:p>
        </w:tc>
        <w:tc>
          <w:tcPr>
            <w:tcW w:w="2760" w:type="dxa"/>
            <w:shd w:val="clear" w:color="auto" w:fill="8C8C8C"/>
            <w:vAlign w:val="top"/>
          </w:tcPr>
          <w:p>
            <w:pPr>
              <w:spacing w:line="216" w:lineRule="auto"/>
              <w:rPr>
                <w:rFonts w:ascii="PMingLiU" w:hAnsi="PMingLiU"/>
                <w:sz w:val="22"/>
              </w:rPr>
            </w:pPr>
          </w:p>
        </w:tc>
        <w:tc>
          <w:tcPr>
            <w:tcW w:w="2280" w:type="dxa"/>
            <w:shd w:val="clear" w:color="auto" w:fill="8C8C8C"/>
            <w:vAlign w:val="top"/>
          </w:tcPr>
          <w:p>
            <w:pPr>
              <w:spacing w:line="216" w:lineRule="auto"/>
              <w:rPr>
                <w:rFonts w:ascii="PMingLiU" w:hAnsi="PMingLiU"/>
                <w:sz w:val="22"/>
              </w:rPr>
            </w:pPr>
          </w:p>
          <w:p>
            <w:pPr>
              <w:spacing w:line="216" w:lineRule="auto"/>
              <w:jc w:val="center"/>
              <w:rPr>
                <w:rFonts w:ascii="PMingLiU" w:hAnsi="PMingLiU"/>
                <w:sz w:val="22"/>
              </w:rPr>
            </w:pPr>
          </w:p>
        </w:tc>
        <w:tc>
          <w:tcPr>
            <w:tcW w:w="2520" w:type="dxa"/>
            <w:shd w:val="clear" w:color="auto" w:fill="8C8C8C"/>
            <w:vAlign w:val="top"/>
          </w:tcPr>
          <w:p>
            <w:pPr>
              <w:spacing w:line="216" w:lineRule="auto"/>
              <w:rPr>
                <w:rFonts w:ascii="PMingLiU" w:hAnsi="PMingLiU"/>
                <w:sz w:val="22"/>
              </w:rPr>
            </w:pPr>
          </w:p>
        </w:tc>
        <w:tc>
          <w:tcPr>
            <w:tcW w:w="2520" w:type="dxa"/>
            <w:shd w:val="clear" w:color="auto" w:fill="8C8C8C"/>
            <w:vAlign w:val="top"/>
          </w:tcPr>
          <w:p>
            <w:pPr>
              <w:spacing w:line="216" w:lineRule="auto"/>
              <w:rPr>
                <w:rFonts w:ascii="PMingLiU" w:hAnsi="PMingLiU"/>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6" w:hRule="atLeast"/>
        </w:trPr>
        <w:tc>
          <w:tcPr>
            <w:tcW w:w="2880" w:type="dxa"/>
            <w:vAlign w:val="top"/>
          </w:tcPr>
          <w:p>
            <w:pPr>
              <w:widowControl/>
              <w:jc w:val="both"/>
              <w:rPr>
                <w:rFonts w:ascii="PMingLiU" w:hAnsi="PMingLiU"/>
                <w:sz w:val="22"/>
                <w:szCs w:val="20"/>
              </w:rPr>
            </w:pPr>
            <w:r>
              <w:rPr>
                <w:rFonts w:ascii="PMingLiU" w:hAnsi="PMingLiU"/>
                <w:sz w:val="22"/>
                <w:szCs w:val="20"/>
              </w:rPr>
              <w:t>除於本翌日披露報表另有訂明除外，本翌日披露報表所用之詞彙與本公司日期為201</w:t>
            </w:r>
            <w:r>
              <w:rPr>
                <w:rFonts w:hint="eastAsia" w:ascii="PMingLiU" w:hAnsi="PMingLiU"/>
                <w:sz w:val="22"/>
                <w:szCs w:val="20"/>
              </w:rPr>
              <w:t>8</w:t>
            </w:r>
            <w:r>
              <w:rPr>
                <w:rFonts w:ascii="PMingLiU" w:hAnsi="PMingLiU"/>
                <w:sz w:val="22"/>
                <w:szCs w:val="20"/>
              </w:rPr>
              <w:t>年</w:t>
            </w:r>
            <w:r>
              <w:rPr>
                <w:rFonts w:hint="eastAsia" w:ascii="PMingLiU" w:hAnsi="PMingLiU"/>
                <w:sz w:val="22"/>
                <w:szCs w:val="20"/>
              </w:rPr>
              <w:t>6</w:t>
            </w:r>
            <w:r>
              <w:rPr>
                <w:rFonts w:ascii="PMingLiU" w:hAnsi="PMingLiU"/>
                <w:sz w:val="22"/>
                <w:szCs w:val="20"/>
              </w:rPr>
              <w:t>月</w:t>
            </w:r>
            <w:r>
              <w:rPr>
                <w:rFonts w:hint="eastAsia" w:ascii="PMingLiU" w:hAnsi="PMingLiU"/>
                <w:sz w:val="22"/>
                <w:szCs w:val="20"/>
              </w:rPr>
              <w:t>8</w:t>
            </w:r>
            <w:r>
              <w:rPr>
                <w:rFonts w:ascii="PMingLiU" w:hAnsi="PMingLiU"/>
                <w:sz w:val="22"/>
                <w:szCs w:val="20"/>
              </w:rPr>
              <w:t>日之通函所定義者具有相同涵義。</w:t>
            </w:r>
          </w:p>
          <w:p>
            <w:pPr>
              <w:spacing w:line="216" w:lineRule="auto"/>
              <w:jc w:val="both"/>
              <w:rPr>
                <w:rFonts w:ascii="PMingLiU" w:hAnsi="PMingLiU"/>
                <w:sz w:val="22"/>
                <w:szCs w:val="20"/>
              </w:rPr>
            </w:pPr>
          </w:p>
          <w:p>
            <w:pPr>
              <w:widowControl/>
              <w:jc w:val="both"/>
              <w:rPr>
                <w:rFonts w:ascii="PMingLiU" w:hAnsi="PMingLiU"/>
                <w:sz w:val="22"/>
                <w:szCs w:val="20"/>
              </w:rPr>
            </w:pPr>
            <w:r>
              <w:rPr>
                <w:rFonts w:ascii="PMingLiU" w:hAnsi="PMingLiU"/>
                <w:sz w:val="22"/>
                <w:szCs w:val="20"/>
              </w:rPr>
              <w:t>根據</w:t>
            </w:r>
            <w:r>
              <w:rPr>
                <w:rFonts w:hint="eastAsia" w:ascii="PMingLiU" w:hAnsi="PMingLiU"/>
                <w:sz w:val="22"/>
                <w:szCs w:val="20"/>
              </w:rPr>
              <w:t>資本公積金轉增股本</w:t>
            </w:r>
            <w:r>
              <w:rPr>
                <w:rFonts w:ascii="PMingLiU" w:hAnsi="PMingLiU"/>
                <w:sz w:val="22"/>
                <w:szCs w:val="20"/>
              </w:rPr>
              <w:t>於201</w:t>
            </w:r>
            <w:r>
              <w:rPr>
                <w:rFonts w:hint="eastAsia" w:ascii="PMingLiU" w:hAnsi="PMingLiU"/>
                <w:sz w:val="22"/>
                <w:szCs w:val="20"/>
              </w:rPr>
              <w:t>8</w:t>
            </w:r>
            <w:r>
              <w:rPr>
                <w:rFonts w:ascii="PMingLiU" w:hAnsi="PMingLiU"/>
                <w:sz w:val="22"/>
                <w:szCs w:val="20"/>
              </w:rPr>
              <w:t>年</w:t>
            </w:r>
            <w:r>
              <w:rPr>
                <w:rFonts w:hint="eastAsia" w:ascii="PMingLiU" w:hAnsi="PMingLiU"/>
                <w:sz w:val="22"/>
                <w:szCs w:val="20"/>
              </w:rPr>
              <w:t>7</w:t>
            </w:r>
            <w:r>
              <w:rPr>
                <w:rFonts w:ascii="PMingLiU" w:hAnsi="PMingLiU"/>
                <w:sz w:val="22"/>
                <w:szCs w:val="20"/>
              </w:rPr>
              <w:t>月</w:t>
            </w:r>
            <w:r>
              <w:rPr>
                <w:rFonts w:hint="eastAsia" w:ascii="PMingLiU" w:hAnsi="PMingLiU"/>
                <w:sz w:val="22"/>
                <w:szCs w:val="20"/>
              </w:rPr>
              <w:t>2</w:t>
            </w:r>
            <w:r>
              <w:rPr>
                <w:rFonts w:ascii="PMingLiU" w:hAnsi="PMingLiU"/>
                <w:sz w:val="22"/>
                <w:szCs w:val="20"/>
              </w:rPr>
              <w:t>7日</w:t>
            </w:r>
            <w:r>
              <w:rPr>
                <w:rFonts w:hint="eastAsia" w:ascii="PMingLiU" w:hAnsi="PMingLiU"/>
                <w:sz w:val="22"/>
                <w:szCs w:val="20"/>
              </w:rPr>
              <w:t>發行</w:t>
            </w:r>
            <w:r>
              <w:rPr>
                <w:rFonts w:hint="eastAsia" w:ascii="PMingLiU" w:hAnsi="PMingLiU"/>
                <w:sz w:val="22"/>
              </w:rPr>
              <w:t>資本化</w:t>
            </w:r>
            <w:r>
              <w:rPr>
                <w:rFonts w:ascii="PMingLiU" w:hAnsi="PMingLiU"/>
                <w:sz w:val="22"/>
                <w:szCs w:val="20"/>
              </w:rPr>
              <w:t>股</w:t>
            </w:r>
            <w:r>
              <w:rPr>
                <w:rFonts w:hint="eastAsia" w:ascii="PMingLiU" w:hAnsi="PMingLiU"/>
                <w:sz w:val="22"/>
                <w:szCs w:val="20"/>
              </w:rPr>
              <w:t>份</w:t>
            </w:r>
            <w:r>
              <w:rPr>
                <w:rFonts w:ascii="PMingLiU" w:hAnsi="PMingLiU"/>
                <w:sz w:val="22"/>
                <w:szCs w:val="20"/>
              </w:rPr>
              <w:t xml:space="preserve">。(註3) </w:t>
            </w:r>
          </w:p>
          <w:p>
            <w:pPr>
              <w:widowControl/>
              <w:jc w:val="both"/>
              <w:rPr>
                <w:rFonts w:ascii="PMingLiU" w:hAnsi="PMingLiU"/>
                <w:sz w:val="22"/>
                <w:szCs w:val="20"/>
              </w:rPr>
            </w:pPr>
          </w:p>
          <w:p>
            <w:pPr>
              <w:spacing w:line="216" w:lineRule="auto"/>
              <w:rPr>
                <w:rFonts w:ascii="PMingLiU" w:hAnsi="PMingLiU"/>
                <w:sz w:val="22"/>
              </w:rPr>
            </w:pPr>
          </w:p>
        </w:tc>
        <w:tc>
          <w:tcPr>
            <w:tcW w:w="2280" w:type="dxa"/>
            <w:vAlign w:val="top"/>
          </w:tcPr>
          <w:p>
            <w:pPr>
              <w:snapToGrid w:val="0"/>
              <w:jc w:val="center"/>
              <w:rPr>
                <w:rFonts w:ascii="PMingLiU" w:hAnsi="PMingLiU"/>
                <w:sz w:val="22"/>
              </w:rPr>
            </w:pPr>
          </w:p>
          <w:p>
            <w:pPr>
              <w:snapToGrid w:val="0"/>
              <w:jc w:val="center"/>
              <w:rPr>
                <w:rFonts w:ascii="PMingLiU" w:hAnsi="PMingLiU"/>
                <w:sz w:val="22"/>
              </w:rPr>
            </w:pPr>
            <w:r>
              <w:rPr>
                <w:rFonts w:ascii="PMingLiU" w:hAnsi="PMingLiU"/>
                <w:sz w:val="22"/>
                <w:lang w:eastAsia="zh-CN"/>
              </w:rPr>
              <w:t xml:space="preserve">45,000,000 </w:t>
            </w:r>
            <w:r>
              <w:rPr>
                <w:rFonts w:hint="eastAsia" w:ascii="PMingLiU" w:hAnsi="PMingLiU"/>
                <w:sz w:val="22"/>
              </w:rPr>
              <w:t>新</w:t>
            </w:r>
            <w:r>
              <w:rPr>
                <w:rFonts w:ascii="PMingLiU" w:hAnsi="PMingLiU"/>
                <w:sz w:val="22"/>
                <w:lang w:eastAsia="zh-CN"/>
              </w:rPr>
              <w:t>H股</w:t>
            </w:r>
            <w:r>
              <w:rPr>
                <w:rFonts w:hint="eastAsia" w:ascii="PMingLiU" w:hAnsi="PMingLiU"/>
                <w:sz w:val="22"/>
                <w:lang w:eastAsia="zh-CN"/>
              </w:rPr>
              <w:t xml:space="preserve"> 及</w:t>
            </w:r>
            <w:r>
              <w:rPr>
                <w:rFonts w:ascii="PMingLiU" w:hAnsi="PMingLiU"/>
                <w:sz w:val="22"/>
                <w:lang w:eastAsia="zh-CN"/>
              </w:rPr>
              <w:t>98,506,026</w:t>
            </w:r>
            <w:r>
              <w:rPr>
                <w:rFonts w:hint="eastAsia" w:ascii="PMingLiU" w:hAnsi="PMingLiU"/>
                <w:sz w:val="22"/>
                <w:lang w:eastAsia="zh-CN"/>
              </w:rPr>
              <w:t>及</w:t>
            </w:r>
            <w:r>
              <w:rPr>
                <w:rFonts w:ascii="PMingLiU" w:hAnsi="PMingLiU"/>
                <w:sz w:val="22"/>
                <w:lang w:eastAsia="zh-CN"/>
              </w:rPr>
              <w:t>新A</w:t>
            </w:r>
            <w:r>
              <w:rPr>
                <w:rFonts w:ascii="PMingLiU" w:hAnsi="PMingLiU"/>
                <w:sz w:val="22"/>
                <w:szCs w:val="22"/>
              </w:rPr>
              <w:t>股</w:t>
            </w:r>
          </w:p>
        </w:tc>
        <w:tc>
          <w:tcPr>
            <w:tcW w:w="2760" w:type="dxa"/>
            <w:vAlign w:val="top"/>
          </w:tcPr>
          <w:p>
            <w:pPr>
              <w:spacing w:line="216" w:lineRule="auto"/>
              <w:jc w:val="center"/>
              <w:rPr>
                <w:rFonts w:ascii="PMingLiU" w:hAnsi="PMingLiU"/>
                <w:sz w:val="22"/>
              </w:rPr>
            </w:pPr>
          </w:p>
          <w:p>
            <w:pPr>
              <w:spacing w:line="216" w:lineRule="auto"/>
              <w:jc w:val="center"/>
              <w:rPr>
                <w:rFonts w:ascii="PMingLiU" w:hAnsi="PMingLiU"/>
                <w:sz w:val="22"/>
              </w:rPr>
            </w:pPr>
            <w:r>
              <w:rPr>
                <w:rFonts w:hint="eastAsia" w:ascii="PMingLiU" w:hAnsi="PMingLiU"/>
                <w:sz w:val="22"/>
                <w:szCs w:val="22"/>
                <w:lang w:eastAsia="zh-CN"/>
              </w:rPr>
              <w:t>30</w:t>
            </w:r>
            <w:r>
              <w:rPr>
                <w:rFonts w:ascii="PMingLiU" w:hAnsi="PMingLiU"/>
                <w:sz w:val="22"/>
                <w:szCs w:val="22"/>
                <w:lang w:eastAsia="zh-CN"/>
              </w:rPr>
              <w:t>.</w:t>
            </w:r>
            <w:r>
              <w:rPr>
                <w:rFonts w:hint="eastAsia" w:ascii="PMingLiU" w:hAnsi="PMingLiU"/>
                <w:sz w:val="22"/>
                <w:szCs w:val="22"/>
                <w:lang w:eastAsia="zh-CN"/>
              </w:rPr>
              <w:t>0</w:t>
            </w:r>
            <w:r>
              <w:rPr>
                <w:rFonts w:ascii="PMingLiU" w:hAnsi="PMingLiU"/>
                <w:sz w:val="22"/>
                <w:szCs w:val="22"/>
                <w:lang w:eastAsia="zh-CN"/>
              </w:rPr>
              <w:t>0</w:t>
            </w:r>
            <w:r>
              <w:rPr>
                <w:rFonts w:ascii="PMingLiU" w:hAnsi="PMingLiU"/>
                <w:sz w:val="22"/>
                <w:szCs w:val="22"/>
              </w:rPr>
              <w:t>%</w:t>
            </w:r>
          </w:p>
          <w:p>
            <w:pPr>
              <w:spacing w:line="216" w:lineRule="auto"/>
              <w:jc w:val="center"/>
              <w:rPr>
                <w:rFonts w:ascii="PMingLiU" w:hAnsi="PMingLiU"/>
                <w:sz w:val="22"/>
              </w:rPr>
            </w:pPr>
            <w:r>
              <w:rPr>
                <w:rFonts w:hint="eastAsia" w:ascii="PMingLiU" w:hAnsi="PMingLiU"/>
                <w:sz w:val="22"/>
                <w:szCs w:val="22"/>
              </w:rPr>
              <w:t>(約整至小數後2位)</w:t>
            </w:r>
          </w:p>
        </w:tc>
        <w:tc>
          <w:tcPr>
            <w:tcW w:w="2280" w:type="dxa"/>
            <w:vAlign w:val="top"/>
          </w:tcPr>
          <w:p>
            <w:pPr>
              <w:spacing w:line="216" w:lineRule="auto"/>
              <w:jc w:val="center"/>
              <w:rPr>
                <w:rFonts w:ascii="PMingLiU" w:hAnsi="PMingLiU"/>
                <w:sz w:val="22"/>
              </w:rPr>
            </w:pPr>
          </w:p>
          <w:p>
            <w:pPr>
              <w:spacing w:line="216" w:lineRule="auto"/>
              <w:jc w:val="center"/>
              <w:rPr>
                <w:rFonts w:ascii="PMingLiU" w:hAnsi="PMingLiU"/>
                <w:sz w:val="22"/>
              </w:rPr>
            </w:pPr>
            <w:r>
              <w:rPr>
                <w:rFonts w:hint="eastAsia" w:ascii="PMingLiU" w:hAnsi="PMingLiU"/>
                <w:sz w:val="22"/>
                <w:szCs w:val="22"/>
              </w:rPr>
              <w:t>不適用</w:t>
            </w:r>
          </w:p>
        </w:tc>
        <w:tc>
          <w:tcPr>
            <w:tcW w:w="2520" w:type="dxa"/>
            <w:vAlign w:val="top"/>
          </w:tcPr>
          <w:p>
            <w:pPr>
              <w:spacing w:line="216" w:lineRule="auto"/>
              <w:jc w:val="center"/>
              <w:rPr>
                <w:rFonts w:ascii="PMingLiU" w:hAnsi="PMingLiU"/>
                <w:color w:val="auto"/>
                <w:sz w:val="22"/>
              </w:rPr>
            </w:pPr>
            <w:bookmarkStart w:id="0" w:name="_GoBack"/>
          </w:p>
          <w:p>
            <w:pPr>
              <w:spacing w:line="216" w:lineRule="auto"/>
              <w:jc w:val="center"/>
              <w:rPr>
                <w:rFonts w:ascii="PMingLiU" w:hAnsi="PMingLiU"/>
                <w:color w:val="auto"/>
                <w:sz w:val="22"/>
              </w:rPr>
            </w:pPr>
            <w:r>
              <w:rPr>
                <w:rFonts w:hint="eastAsia" w:ascii="PMingLiU" w:hAnsi="PMingLiU" w:eastAsia="宋体"/>
                <w:color w:val="auto"/>
                <w:sz w:val="22"/>
                <w:szCs w:val="22"/>
                <w:lang w:val="en-US" w:eastAsia="zh-CN"/>
              </w:rPr>
              <w:t>5.10</w:t>
            </w:r>
            <w:r>
              <w:rPr>
                <w:rFonts w:hint="eastAsia" w:ascii="PMingLiU" w:hAnsi="PMingLiU"/>
                <w:color w:val="auto"/>
                <w:sz w:val="22"/>
                <w:szCs w:val="22"/>
              </w:rPr>
              <w:t>港元</w:t>
            </w:r>
          </w:p>
          <w:p>
            <w:pPr>
              <w:spacing w:line="216" w:lineRule="auto"/>
              <w:jc w:val="center"/>
              <w:rPr>
                <w:rFonts w:ascii="PMingLiU" w:hAnsi="PMingLiU"/>
                <w:color w:val="0000FF"/>
                <w:sz w:val="22"/>
                <w:szCs w:val="20"/>
              </w:rPr>
            </w:pPr>
            <w:r>
              <w:rPr>
                <w:rFonts w:ascii="PMingLiU" w:hAnsi="PMingLiU"/>
                <w:color w:val="auto"/>
                <w:sz w:val="22"/>
                <w:szCs w:val="22"/>
              </w:rPr>
              <w:t>人民幣</w:t>
            </w:r>
            <w:r>
              <w:rPr>
                <w:rFonts w:hint="eastAsia" w:ascii="PMingLiU" w:hAnsi="PMingLiU"/>
                <w:color w:val="auto"/>
                <w:sz w:val="22"/>
                <w:szCs w:val="20"/>
                <w:lang w:val="en-US" w:eastAsia="zh-CN"/>
              </w:rPr>
              <w:t>10.50</w:t>
            </w:r>
            <w:r>
              <w:rPr>
                <w:rFonts w:ascii="PMingLiU" w:hAnsi="PMingLiU"/>
                <w:color w:val="auto"/>
                <w:sz w:val="22"/>
                <w:szCs w:val="20"/>
              </w:rPr>
              <w:t>元</w:t>
            </w:r>
            <w:bookmarkEnd w:id="0"/>
          </w:p>
          <w:p>
            <w:pPr>
              <w:spacing w:line="216" w:lineRule="auto"/>
              <w:jc w:val="center"/>
              <w:rPr>
                <w:rFonts w:ascii="PMingLiU" w:hAnsi="PMingLiU"/>
                <w:sz w:val="22"/>
              </w:rPr>
            </w:pPr>
            <w:r>
              <w:rPr>
                <w:rFonts w:hint="eastAsia" w:ascii="PMingLiU" w:hAnsi="PMingLiU"/>
                <w:sz w:val="22"/>
                <w:szCs w:val="20"/>
              </w:rPr>
              <w:t>(截至</w:t>
            </w:r>
            <w:r>
              <w:rPr>
                <w:rFonts w:ascii="PMingLiU" w:hAnsi="PMingLiU"/>
                <w:sz w:val="22"/>
                <w:szCs w:val="20"/>
              </w:rPr>
              <w:t>2018</w:t>
            </w:r>
            <w:r>
              <w:rPr>
                <w:rFonts w:hint="eastAsia" w:ascii="PMingLiU" w:hAnsi="PMingLiU"/>
                <w:sz w:val="22"/>
                <w:szCs w:val="20"/>
              </w:rPr>
              <w:t>年</w:t>
            </w:r>
            <w:r>
              <w:rPr>
                <w:rFonts w:ascii="PMingLiU" w:hAnsi="PMingLiU"/>
                <w:sz w:val="22"/>
                <w:szCs w:val="20"/>
              </w:rPr>
              <w:t>7</w:t>
            </w:r>
            <w:r>
              <w:rPr>
                <w:rFonts w:hint="eastAsia" w:ascii="PMingLiU" w:hAnsi="PMingLiU"/>
                <w:sz w:val="22"/>
                <w:szCs w:val="20"/>
              </w:rPr>
              <w:t>月</w:t>
            </w:r>
            <w:r>
              <w:rPr>
                <w:rFonts w:ascii="PMingLiU" w:hAnsi="PMingLiU"/>
                <w:sz w:val="22"/>
                <w:szCs w:val="20"/>
              </w:rPr>
              <w:t>26</w:t>
            </w:r>
            <w:r>
              <w:rPr>
                <w:rFonts w:hint="eastAsia" w:ascii="PMingLiU" w:hAnsi="PMingLiU"/>
                <w:sz w:val="22"/>
                <w:szCs w:val="20"/>
              </w:rPr>
              <w:t>日</w:t>
            </w:r>
            <w:r>
              <w:rPr>
                <w:rFonts w:ascii="PMingLiU" w:hAnsi="PMingLiU"/>
                <w:sz w:val="22"/>
                <w:szCs w:val="20"/>
              </w:rPr>
              <w:t>H</w:t>
            </w:r>
            <w:r>
              <w:rPr>
                <w:rFonts w:hint="eastAsia" w:ascii="PMingLiU" w:hAnsi="PMingLiU"/>
                <w:sz w:val="22"/>
                <w:szCs w:val="20"/>
              </w:rPr>
              <w:t>股及</w:t>
            </w:r>
            <w:r>
              <w:rPr>
                <w:rFonts w:ascii="PMingLiU" w:hAnsi="PMingLiU"/>
                <w:sz w:val="22"/>
                <w:szCs w:val="20"/>
              </w:rPr>
              <w:t>A</w:t>
            </w:r>
            <w:r>
              <w:rPr>
                <w:rFonts w:hint="eastAsia" w:ascii="PMingLiU" w:hAnsi="PMingLiU"/>
                <w:sz w:val="22"/>
                <w:szCs w:val="20"/>
              </w:rPr>
              <w:t>股各自之</w:t>
            </w:r>
            <w:r>
              <w:rPr>
                <w:rFonts w:ascii="PMingLiU" w:hAnsi="PMingLiU"/>
                <w:sz w:val="22"/>
                <w:szCs w:val="20"/>
              </w:rPr>
              <w:t>每股收市價</w:t>
            </w:r>
            <w:r>
              <w:rPr>
                <w:rFonts w:hint="eastAsia" w:ascii="PMingLiU" w:hAnsi="PMingLiU"/>
                <w:sz w:val="22"/>
                <w:szCs w:val="20"/>
              </w:rPr>
              <w:t>)</w:t>
            </w:r>
          </w:p>
        </w:tc>
        <w:tc>
          <w:tcPr>
            <w:tcW w:w="2520" w:type="dxa"/>
            <w:vAlign w:val="top"/>
          </w:tcPr>
          <w:p>
            <w:pPr>
              <w:spacing w:line="216" w:lineRule="auto"/>
              <w:jc w:val="center"/>
              <w:rPr>
                <w:rFonts w:ascii="PMingLiU" w:hAnsi="PMingLiU"/>
                <w:sz w:val="22"/>
              </w:rPr>
            </w:pPr>
          </w:p>
          <w:p>
            <w:pPr>
              <w:spacing w:line="216" w:lineRule="auto"/>
              <w:jc w:val="center"/>
              <w:rPr>
                <w:rFonts w:ascii="PMingLiU" w:hAnsi="PMingLiU"/>
                <w:sz w:val="22"/>
              </w:rPr>
            </w:pPr>
            <w:r>
              <w:rPr>
                <w:rFonts w:hint="eastAsia" w:ascii="PMingLiU" w:hAnsi="PMingLiU"/>
                <w:sz w:val="22"/>
                <w:szCs w:val="20"/>
                <w:lang w:eastAsia="zh-CN"/>
              </w:rPr>
              <w:t>不適用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6" w:hRule="atLeast"/>
        </w:trPr>
        <w:tc>
          <w:tcPr>
            <w:tcW w:w="2880" w:type="dxa"/>
            <w:shd w:val="clear" w:color="auto" w:fill="auto"/>
            <w:vAlign w:val="top"/>
          </w:tcPr>
          <w:p>
            <w:pPr>
              <w:snapToGrid w:val="0"/>
              <w:rPr>
                <w:rFonts w:ascii="PMingLiU" w:hAnsi="PMingLiU"/>
                <w:sz w:val="22"/>
              </w:rPr>
            </w:pPr>
          </w:p>
          <w:p>
            <w:pPr>
              <w:snapToGrid w:val="0"/>
              <w:rPr>
                <w:rFonts w:ascii="PMingLiU" w:hAnsi="PMingLiU"/>
                <w:sz w:val="22"/>
              </w:rPr>
            </w:pPr>
            <w:r>
              <w:rPr>
                <w:rFonts w:hint="eastAsia" w:ascii="PMingLiU" w:hAnsi="PMingLiU"/>
                <w:sz w:val="22"/>
                <w:szCs w:val="22"/>
              </w:rPr>
              <w:t>股份購回</w:t>
            </w:r>
          </w:p>
          <w:p>
            <w:pPr>
              <w:spacing w:before="120" w:line="216" w:lineRule="auto"/>
              <w:rPr>
                <w:rFonts w:ascii="PMingLiU" w:hAnsi="PMingLiU"/>
                <w:sz w:val="22"/>
              </w:rPr>
            </w:pPr>
          </w:p>
        </w:tc>
        <w:tc>
          <w:tcPr>
            <w:tcW w:w="2280" w:type="dxa"/>
            <w:shd w:val="clear" w:color="auto" w:fill="auto"/>
            <w:vAlign w:val="top"/>
          </w:tcPr>
          <w:p>
            <w:pPr>
              <w:snapToGrid w:val="0"/>
              <w:jc w:val="center"/>
              <w:rPr>
                <w:rFonts w:ascii="PMingLiU" w:hAnsi="PMingLiU"/>
                <w:sz w:val="22"/>
              </w:rPr>
            </w:pPr>
          </w:p>
          <w:p>
            <w:pPr>
              <w:snapToGrid w:val="0"/>
              <w:jc w:val="center"/>
              <w:rPr>
                <w:rFonts w:ascii="PMingLiU" w:hAnsi="PMingLiU"/>
                <w:sz w:val="22"/>
              </w:rPr>
            </w:pPr>
            <w:r>
              <w:rPr>
                <w:rFonts w:hint="eastAsia" w:ascii="PMingLiU" w:hAnsi="PMingLiU"/>
                <w:sz w:val="22"/>
                <w:szCs w:val="22"/>
              </w:rPr>
              <w:t>不適用</w:t>
            </w:r>
          </w:p>
        </w:tc>
        <w:tc>
          <w:tcPr>
            <w:tcW w:w="2760" w:type="dxa"/>
            <w:shd w:val="clear" w:color="auto" w:fill="auto"/>
            <w:vAlign w:val="top"/>
          </w:tcPr>
          <w:p>
            <w:pPr>
              <w:snapToGrid w:val="0"/>
              <w:jc w:val="center"/>
              <w:rPr>
                <w:rFonts w:ascii="PMingLiU" w:hAnsi="PMingLiU"/>
                <w:sz w:val="22"/>
              </w:rPr>
            </w:pPr>
          </w:p>
          <w:p>
            <w:pPr>
              <w:spacing w:line="216" w:lineRule="auto"/>
              <w:jc w:val="center"/>
              <w:rPr>
                <w:rFonts w:ascii="PMingLiU" w:hAnsi="PMingLiU"/>
                <w:sz w:val="22"/>
              </w:rPr>
            </w:pPr>
            <w:r>
              <w:rPr>
                <w:rFonts w:hint="eastAsia" w:ascii="PMingLiU" w:hAnsi="PMingLiU"/>
                <w:sz w:val="22"/>
                <w:szCs w:val="22"/>
              </w:rPr>
              <w:t>不適用</w:t>
            </w:r>
          </w:p>
        </w:tc>
        <w:tc>
          <w:tcPr>
            <w:tcW w:w="2280" w:type="dxa"/>
            <w:shd w:val="clear" w:color="auto" w:fill="808080"/>
            <w:vAlign w:val="top"/>
          </w:tcPr>
          <w:p>
            <w:pPr>
              <w:spacing w:line="216" w:lineRule="auto"/>
              <w:jc w:val="center"/>
              <w:rPr>
                <w:rFonts w:ascii="PMingLiU" w:hAnsi="PMingLiU"/>
                <w:sz w:val="22"/>
              </w:rPr>
            </w:pPr>
          </w:p>
        </w:tc>
        <w:tc>
          <w:tcPr>
            <w:tcW w:w="2520" w:type="dxa"/>
            <w:shd w:val="clear" w:color="auto" w:fill="808080"/>
            <w:vAlign w:val="top"/>
          </w:tcPr>
          <w:p>
            <w:pPr>
              <w:spacing w:line="216" w:lineRule="auto"/>
              <w:jc w:val="center"/>
              <w:rPr>
                <w:rFonts w:ascii="PMingLiU" w:hAnsi="PMingLiU"/>
                <w:sz w:val="22"/>
              </w:rPr>
            </w:pPr>
          </w:p>
        </w:tc>
        <w:tc>
          <w:tcPr>
            <w:tcW w:w="2520" w:type="dxa"/>
            <w:shd w:val="clear" w:color="auto" w:fill="808080"/>
            <w:vAlign w:val="top"/>
          </w:tcPr>
          <w:p>
            <w:pPr>
              <w:spacing w:line="216" w:lineRule="auto"/>
              <w:jc w:val="center"/>
              <w:rPr>
                <w:rFonts w:ascii="PMingLiU" w:hAnsi="PMingLiU"/>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6" w:hRule="atLeast"/>
        </w:trPr>
        <w:tc>
          <w:tcPr>
            <w:tcW w:w="2880" w:type="dxa"/>
            <w:shd w:val="clear" w:color="auto" w:fill="auto"/>
            <w:vAlign w:val="top"/>
          </w:tcPr>
          <w:p>
            <w:pPr>
              <w:spacing w:before="120" w:line="216" w:lineRule="auto"/>
              <w:rPr>
                <w:rFonts w:ascii="PMingLiU" w:hAnsi="PMingLiU"/>
                <w:sz w:val="22"/>
              </w:rPr>
            </w:pPr>
            <w:r>
              <w:rPr>
                <w:rFonts w:hint="eastAsia" w:ascii="PMingLiU" w:hAnsi="PMingLiU"/>
                <w:sz w:val="22"/>
                <w:szCs w:val="22"/>
              </w:rPr>
              <w:t>於下列日期結束時的結存</w:t>
            </w:r>
          </w:p>
          <w:p>
            <w:pPr>
              <w:spacing w:line="216" w:lineRule="auto"/>
              <w:rPr>
                <w:rFonts w:ascii="PMingLiU" w:hAnsi="PMingLiU"/>
                <w:sz w:val="22"/>
              </w:rPr>
            </w:pPr>
            <w:r>
              <w:rPr>
                <w:rFonts w:ascii="PMingLiU" w:hAnsi="PMingLiU"/>
                <w:sz w:val="22"/>
                <w:szCs w:val="22"/>
              </w:rPr>
              <w:t>2018</w:t>
            </w:r>
            <w:r>
              <w:rPr>
                <w:rFonts w:hint="eastAsia" w:ascii="PMingLiU" w:hAnsi="PMingLiU"/>
                <w:sz w:val="22"/>
                <w:szCs w:val="22"/>
              </w:rPr>
              <w:t>年</w:t>
            </w:r>
            <w:r>
              <w:rPr>
                <w:rFonts w:ascii="PMingLiU" w:hAnsi="PMingLiU"/>
                <w:sz w:val="22"/>
                <w:szCs w:val="22"/>
              </w:rPr>
              <w:t>7</w:t>
            </w:r>
            <w:r>
              <w:rPr>
                <w:rFonts w:hint="eastAsia" w:ascii="PMingLiU" w:hAnsi="PMingLiU"/>
                <w:sz w:val="22"/>
                <w:szCs w:val="22"/>
              </w:rPr>
              <w:t>月</w:t>
            </w:r>
            <w:r>
              <w:rPr>
                <w:rFonts w:ascii="PMingLiU" w:hAnsi="PMingLiU"/>
                <w:sz w:val="22"/>
                <w:szCs w:val="22"/>
              </w:rPr>
              <w:t>27</w:t>
            </w:r>
            <w:r>
              <w:rPr>
                <w:rFonts w:hint="eastAsia" w:ascii="PMingLiU" w:hAnsi="PMingLiU"/>
                <w:sz w:val="22"/>
                <w:szCs w:val="22"/>
              </w:rPr>
              <w:t>日</w:t>
            </w:r>
            <w:r>
              <w:rPr>
                <w:rFonts w:ascii="PMingLiU" w:hAnsi="PMingLiU"/>
                <w:sz w:val="22"/>
                <w:szCs w:val="22"/>
              </w:rPr>
              <w:t xml:space="preserve"> (</w:t>
            </w:r>
            <w:r>
              <w:rPr>
                <w:rFonts w:hint="eastAsia" w:ascii="PMingLiU" w:hAnsi="PMingLiU"/>
                <w:sz w:val="22"/>
                <w:szCs w:val="22"/>
              </w:rPr>
              <w:t>註</w:t>
            </w:r>
            <w:r>
              <w:rPr>
                <w:rFonts w:ascii="PMingLiU" w:hAnsi="PMingLiU"/>
                <w:sz w:val="22"/>
                <w:szCs w:val="22"/>
              </w:rPr>
              <w:t>8)</w:t>
            </w:r>
          </w:p>
        </w:tc>
        <w:tc>
          <w:tcPr>
            <w:tcW w:w="2280" w:type="dxa"/>
            <w:shd w:val="clear" w:color="auto" w:fill="auto"/>
            <w:vAlign w:val="top"/>
          </w:tcPr>
          <w:p>
            <w:pPr>
              <w:pStyle w:val="10"/>
              <w:adjustRightInd/>
              <w:snapToGrid w:val="0"/>
              <w:spacing w:line="240" w:lineRule="auto"/>
              <w:rPr>
                <w:rFonts w:ascii="PMingLiU" w:hAnsi="PMingLiU"/>
                <w:kern w:val="2"/>
                <w:lang w:eastAsia="zh-CN"/>
              </w:rPr>
            </w:pPr>
            <w:r>
              <w:rPr>
                <w:rFonts w:ascii="PMingLiU" w:hAnsi="PMingLiU"/>
                <w:lang w:eastAsia="zh-CN"/>
              </w:rPr>
              <w:t>621,859,447</w:t>
            </w:r>
            <w:r>
              <w:rPr>
                <w:rFonts w:hint="eastAsia" w:ascii="PMingLiU" w:hAnsi="PMingLiU"/>
                <w:lang w:eastAsia="zh-CN"/>
              </w:rPr>
              <w:t>股</w:t>
            </w:r>
          </w:p>
          <w:p>
            <w:pPr>
              <w:snapToGrid w:val="0"/>
              <w:jc w:val="both"/>
              <w:rPr>
                <w:rFonts w:ascii="PMingLiU" w:hAnsi="PMingLiU"/>
                <w:sz w:val="22"/>
              </w:rPr>
            </w:pPr>
            <w:r>
              <w:rPr>
                <w:rFonts w:hint="eastAsia" w:ascii="PMingLiU" w:hAnsi="PMingLiU"/>
                <w:sz w:val="22"/>
                <w:szCs w:val="22"/>
              </w:rPr>
              <w:t>(</w:t>
            </w:r>
            <w:r>
              <w:rPr>
                <w:rFonts w:ascii="PMingLiU" w:hAnsi="PMingLiU"/>
                <w:sz w:val="22"/>
              </w:rPr>
              <w:t>195,000,000</w:t>
            </w:r>
            <w:r>
              <w:rPr>
                <w:rFonts w:hint="eastAsia" w:ascii="PMingLiU" w:hAnsi="PMingLiU"/>
                <w:sz w:val="22"/>
                <w:szCs w:val="22"/>
              </w:rPr>
              <w:t xml:space="preserve"> H股及</w:t>
            </w:r>
          </w:p>
          <w:p>
            <w:pPr>
              <w:snapToGrid w:val="0"/>
              <w:jc w:val="center"/>
              <w:rPr>
                <w:rFonts w:ascii="PMingLiU" w:hAnsi="PMingLiU"/>
                <w:sz w:val="22"/>
              </w:rPr>
            </w:pPr>
            <w:r>
              <w:rPr>
                <w:rFonts w:ascii="PMingLiU" w:hAnsi="PMingLiU"/>
                <w:sz w:val="22"/>
              </w:rPr>
              <w:t>426,859,447</w:t>
            </w:r>
            <w:r>
              <w:rPr>
                <w:rFonts w:hint="eastAsia" w:ascii="PMingLiU" w:hAnsi="PMingLiU"/>
                <w:sz w:val="22"/>
                <w:szCs w:val="22"/>
                <w:lang w:eastAsia="zh-CN"/>
              </w:rPr>
              <w:t xml:space="preserve"> </w:t>
            </w:r>
            <w:r>
              <w:rPr>
                <w:rFonts w:hint="eastAsia" w:ascii="PMingLiU" w:hAnsi="PMingLiU"/>
                <w:sz w:val="22"/>
                <w:szCs w:val="22"/>
              </w:rPr>
              <w:t>A股</w:t>
            </w:r>
            <w:r>
              <w:rPr>
                <w:rFonts w:ascii="PMingLiU" w:hAnsi="PMingLiU"/>
                <w:sz w:val="22"/>
                <w:szCs w:val="22"/>
              </w:rPr>
              <w:t>)</w:t>
            </w:r>
          </w:p>
        </w:tc>
        <w:tc>
          <w:tcPr>
            <w:tcW w:w="2760" w:type="dxa"/>
            <w:shd w:val="clear" w:color="auto" w:fill="808080"/>
            <w:vAlign w:val="top"/>
          </w:tcPr>
          <w:p>
            <w:pPr>
              <w:spacing w:line="216" w:lineRule="auto"/>
              <w:jc w:val="center"/>
              <w:rPr>
                <w:rFonts w:ascii="PMingLiU" w:hAnsi="PMingLiU"/>
                <w:sz w:val="22"/>
              </w:rPr>
            </w:pPr>
          </w:p>
        </w:tc>
        <w:tc>
          <w:tcPr>
            <w:tcW w:w="2280" w:type="dxa"/>
            <w:tcBorders>
              <w:bottom w:val="single" w:color="auto" w:sz="4" w:space="0"/>
            </w:tcBorders>
            <w:shd w:val="clear" w:color="auto" w:fill="808080"/>
            <w:vAlign w:val="top"/>
          </w:tcPr>
          <w:p>
            <w:pPr>
              <w:spacing w:line="216" w:lineRule="auto"/>
              <w:jc w:val="center"/>
              <w:rPr>
                <w:rFonts w:ascii="PMingLiU" w:hAnsi="PMingLiU"/>
                <w:sz w:val="22"/>
              </w:rPr>
            </w:pPr>
          </w:p>
        </w:tc>
        <w:tc>
          <w:tcPr>
            <w:tcW w:w="2520" w:type="dxa"/>
            <w:tcBorders>
              <w:bottom w:val="single" w:color="auto" w:sz="4" w:space="0"/>
            </w:tcBorders>
            <w:shd w:val="clear" w:color="auto" w:fill="808080"/>
            <w:vAlign w:val="top"/>
          </w:tcPr>
          <w:p>
            <w:pPr>
              <w:spacing w:line="216" w:lineRule="auto"/>
              <w:jc w:val="center"/>
              <w:rPr>
                <w:rFonts w:ascii="PMingLiU" w:hAnsi="PMingLiU"/>
                <w:sz w:val="22"/>
              </w:rPr>
            </w:pPr>
          </w:p>
        </w:tc>
        <w:tc>
          <w:tcPr>
            <w:tcW w:w="2520" w:type="dxa"/>
            <w:tcBorders>
              <w:bottom w:val="single" w:color="auto" w:sz="4" w:space="0"/>
            </w:tcBorders>
            <w:shd w:val="clear" w:color="auto" w:fill="808080"/>
            <w:vAlign w:val="top"/>
          </w:tcPr>
          <w:p>
            <w:pPr>
              <w:spacing w:line="216" w:lineRule="auto"/>
              <w:jc w:val="center"/>
              <w:rPr>
                <w:rFonts w:ascii="PMingLiU" w:hAnsi="PMingLiU"/>
                <w:sz w:val="22"/>
              </w:rPr>
            </w:pPr>
          </w:p>
        </w:tc>
      </w:tr>
    </w:tbl>
    <w:p>
      <w:pPr>
        <w:rPr>
          <w:rFonts w:ascii="PMingLiU" w:hAnsi="PMingLiU"/>
        </w:rPr>
      </w:pPr>
    </w:p>
    <w:p>
      <w:pPr>
        <w:jc w:val="both"/>
        <w:rPr>
          <w:rFonts w:ascii="PMingLiU" w:hAnsi="PMingLiU"/>
          <w:i/>
          <w:iCs/>
          <w:sz w:val="20"/>
        </w:rPr>
      </w:pPr>
    </w:p>
    <w:p>
      <w:pPr>
        <w:jc w:val="both"/>
        <w:rPr>
          <w:rFonts w:ascii="PMingLiU" w:hAnsi="PMingLiU"/>
          <w:i/>
          <w:iCs/>
          <w:sz w:val="20"/>
        </w:rPr>
      </w:pPr>
      <w:r>
        <w:rPr>
          <w:rFonts w:ascii="PMingLiU" w:hAnsi="PMingLiU"/>
          <w:i/>
          <w:iCs/>
          <w:sz w:val="20"/>
        </w:rPr>
        <w:t>I</w:t>
      </w:r>
      <w:r>
        <w:rPr>
          <w:rFonts w:hint="eastAsia" w:ascii="PMingLiU" w:hAnsi="PMingLiU"/>
          <w:i/>
          <w:iCs/>
          <w:sz w:val="20"/>
        </w:rPr>
        <w:t>部註釋：</w:t>
      </w:r>
    </w:p>
    <w:p>
      <w:pPr>
        <w:jc w:val="both"/>
        <w:rPr>
          <w:rFonts w:ascii="PMingLiU" w:hAnsi="PMingLiU"/>
          <w:i/>
          <w:iCs/>
          <w:sz w:val="20"/>
        </w:rPr>
      </w:pPr>
    </w:p>
    <w:p>
      <w:pPr>
        <w:jc w:val="both"/>
        <w:rPr>
          <w:rFonts w:ascii="PMingLiU" w:hAnsi="PMingLiU"/>
          <w:i/>
          <w:iCs/>
          <w:sz w:val="20"/>
        </w:rPr>
      </w:pPr>
      <w:r>
        <w:rPr>
          <w:rFonts w:ascii="PMingLiU" w:hAnsi="PMingLiU"/>
          <w:i/>
          <w:iCs/>
          <w:sz w:val="20"/>
        </w:rPr>
        <w:t>1.</w:t>
      </w:r>
      <w:r>
        <w:rPr>
          <w:rFonts w:ascii="PMingLiU" w:hAnsi="PMingLiU"/>
          <w:i/>
          <w:iCs/>
          <w:sz w:val="20"/>
        </w:rPr>
        <w:tab/>
      </w:r>
      <w:r>
        <w:rPr>
          <w:rFonts w:hint="eastAsia" w:ascii="PMingLiU" w:hAnsi="PMingLiU"/>
          <w:i/>
          <w:iCs/>
          <w:sz w:val="20"/>
        </w:rPr>
        <w:t>若股份曾以超過一個每股發行價發行，須提供每股加權平均發行價。</w:t>
      </w:r>
      <w:r>
        <w:rPr>
          <w:rFonts w:ascii="PMingLiU" w:hAnsi="PMingLiU"/>
          <w:i/>
          <w:iCs/>
          <w:sz w:val="20"/>
        </w:rPr>
        <w:t xml:space="preserve"> </w:t>
      </w:r>
    </w:p>
    <w:p>
      <w:pPr>
        <w:ind w:left="720" w:hanging="720"/>
        <w:jc w:val="both"/>
        <w:rPr>
          <w:rFonts w:ascii="PMingLiU" w:hAnsi="PMingLiU"/>
          <w:i/>
          <w:iCs/>
          <w:sz w:val="20"/>
        </w:rPr>
      </w:pPr>
    </w:p>
    <w:p>
      <w:pPr>
        <w:ind w:left="720" w:hanging="720"/>
        <w:jc w:val="both"/>
        <w:rPr>
          <w:rFonts w:ascii="PMingLiU" w:hAnsi="PMingLiU"/>
          <w:i/>
          <w:iCs/>
          <w:sz w:val="20"/>
        </w:rPr>
      </w:pPr>
      <w:r>
        <w:rPr>
          <w:rFonts w:ascii="PMingLiU" w:hAnsi="PMingLiU"/>
          <w:i/>
          <w:iCs/>
          <w:sz w:val="20"/>
        </w:rPr>
        <w:t>2.</w:t>
      </w:r>
      <w:r>
        <w:rPr>
          <w:rFonts w:ascii="PMingLiU" w:hAnsi="PMingLiU"/>
          <w:i/>
          <w:iCs/>
          <w:sz w:val="20"/>
        </w:rPr>
        <w:tab/>
      </w:r>
      <w:r>
        <w:rPr>
          <w:rFonts w:hint="eastAsia" w:ascii="PMingLiU" w:hAnsi="PMingLiU"/>
          <w:i/>
          <w:iCs/>
          <w:sz w:val="20"/>
        </w:rPr>
        <w:t>請填上根據《上市規則》第</w:t>
      </w:r>
      <w:r>
        <w:rPr>
          <w:rFonts w:ascii="PMingLiU" w:hAnsi="PMingLiU"/>
          <w:i/>
          <w:iCs/>
          <w:sz w:val="20"/>
        </w:rPr>
        <w:t>13.25A</w:t>
      </w:r>
      <w:r>
        <w:rPr>
          <w:rFonts w:hint="eastAsia" w:ascii="PMingLiU" w:hAnsi="PMingLiU"/>
          <w:i/>
          <w:iCs/>
          <w:sz w:val="20"/>
        </w:rPr>
        <w:t>條刊發的上一份「翌日披露報表」或根據《上市規則》第</w:t>
      </w:r>
      <w:r>
        <w:rPr>
          <w:rFonts w:ascii="PMingLiU" w:hAnsi="PMingLiU"/>
          <w:i/>
          <w:iCs/>
          <w:sz w:val="20"/>
        </w:rPr>
        <w:t>13.25B</w:t>
      </w:r>
      <w:r>
        <w:rPr>
          <w:rFonts w:hint="eastAsia" w:ascii="PMingLiU" w:hAnsi="PMingLiU"/>
          <w:i/>
          <w:iCs/>
          <w:sz w:val="20"/>
        </w:rPr>
        <w:t>條刊發的上一份</w:t>
      </w:r>
      <w:r>
        <w:rPr>
          <w:rFonts w:hint="eastAsia" w:ascii="PMingLiU" w:hAnsi="PMingLiU"/>
          <w:bCs/>
          <w:i/>
          <w:iCs/>
          <w:sz w:val="20"/>
        </w:rPr>
        <w:t>「</w:t>
      </w:r>
      <w:r>
        <w:rPr>
          <w:rFonts w:hint="eastAsia" w:ascii="PMingLiU" w:hAnsi="PMingLiU"/>
          <w:i/>
          <w:iCs/>
          <w:sz w:val="20"/>
        </w:rPr>
        <w:t>月報表</w:t>
      </w:r>
      <w:r>
        <w:rPr>
          <w:rFonts w:hint="eastAsia" w:ascii="PMingLiU" w:hAnsi="PMingLiU"/>
          <w:bCs/>
          <w:i/>
          <w:iCs/>
          <w:sz w:val="20"/>
        </w:rPr>
        <w:t>」</w:t>
      </w:r>
      <w:r>
        <w:rPr>
          <w:rFonts w:hint="eastAsia" w:ascii="PMingLiU" w:hAnsi="PMingLiU"/>
          <w:i/>
          <w:iCs/>
          <w:sz w:val="20"/>
        </w:rPr>
        <w:t>（以較後者為準）的期終結存日期。</w:t>
      </w:r>
    </w:p>
    <w:p>
      <w:pPr>
        <w:ind w:left="720" w:hanging="720"/>
        <w:jc w:val="both"/>
        <w:rPr>
          <w:rFonts w:ascii="PMingLiU" w:hAnsi="PMingLiU"/>
          <w:i/>
          <w:iCs/>
          <w:sz w:val="20"/>
        </w:rPr>
      </w:pPr>
    </w:p>
    <w:p>
      <w:pPr>
        <w:ind w:left="720" w:hanging="720"/>
        <w:jc w:val="both"/>
        <w:rPr>
          <w:rFonts w:ascii="PMingLiU" w:hAnsi="PMingLiU"/>
          <w:i/>
          <w:iCs/>
          <w:sz w:val="20"/>
        </w:rPr>
      </w:pPr>
      <w:r>
        <w:rPr>
          <w:rFonts w:ascii="PMingLiU" w:hAnsi="PMingLiU"/>
          <w:i/>
          <w:iCs/>
          <w:sz w:val="20"/>
        </w:rPr>
        <w:t>3.</w:t>
      </w:r>
      <w:r>
        <w:rPr>
          <w:rFonts w:ascii="PMingLiU" w:hAnsi="PMingLiU"/>
          <w:i/>
          <w:iCs/>
          <w:sz w:val="20"/>
        </w:rPr>
        <w:tab/>
      </w:r>
      <w:r>
        <w:rPr>
          <w:rFonts w:hint="eastAsia" w:ascii="PMingLiU" w:hAnsi="PMingLiU"/>
          <w:i/>
          <w:iCs/>
          <w:sz w:val="20"/>
        </w:rPr>
        <w:t>請列出所有須根據《上市規則》第</w:t>
      </w:r>
      <w:r>
        <w:rPr>
          <w:rFonts w:ascii="PMingLiU" w:hAnsi="PMingLiU"/>
          <w:i/>
          <w:iCs/>
          <w:sz w:val="20"/>
        </w:rPr>
        <w:t>13.25A</w:t>
      </w:r>
      <w:r>
        <w:rPr>
          <w:rFonts w:hint="eastAsia" w:ascii="PMingLiU" w:hAnsi="PMingLiU"/>
          <w:i/>
          <w:iCs/>
          <w:sz w:val="20"/>
        </w:rPr>
        <w:t>條披露的已發行股本變動，連同有關的發行日期。每個類別須獨立披露，並提供充足資料，以便使用者可在上市發行人的</w:t>
      </w:r>
      <w:r>
        <w:rPr>
          <w:rFonts w:hint="eastAsia" w:ascii="PMingLiU" w:hAnsi="PMingLiU"/>
          <w:bCs/>
          <w:i/>
          <w:iCs/>
          <w:sz w:val="20"/>
        </w:rPr>
        <w:t>「</w:t>
      </w:r>
      <w:r>
        <w:rPr>
          <w:rFonts w:hint="eastAsia" w:ascii="PMingLiU" w:hAnsi="PMingLiU"/>
          <w:i/>
          <w:iCs/>
          <w:sz w:val="20"/>
        </w:rPr>
        <w:t>月報表</w:t>
      </w:r>
      <w:r>
        <w:rPr>
          <w:rFonts w:hint="eastAsia" w:ascii="PMingLiU" w:hAnsi="PMingLiU"/>
          <w:bCs/>
          <w:i/>
          <w:iCs/>
          <w:sz w:val="20"/>
        </w:rPr>
        <w:t>」</w:t>
      </w:r>
      <w:r>
        <w:rPr>
          <w:rFonts w:hint="eastAsia" w:ascii="PMingLiU" w:hAnsi="PMingLiU"/>
          <w:i/>
          <w:iCs/>
          <w:sz w:val="20"/>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pPr>
        <w:ind w:left="720" w:hanging="720"/>
        <w:jc w:val="both"/>
        <w:rPr>
          <w:rFonts w:ascii="PMingLiU" w:hAnsi="PMingLiU"/>
          <w:i/>
          <w:iCs/>
          <w:sz w:val="20"/>
        </w:rPr>
      </w:pPr>
    </w:p>
    <w:p>
      <w:pPr>
        <w:ind w:left="720" w:hanging="720"/>
        <w:jc w:val="both"/>
        <w:rPr>
          <w:rFonts w:ascii="PMingLiU" w:hAnsi="PMingLiU"/>
          <w:bCs/>
          <w:i/>
          <w:iCs/>
          <w:sz w:val="20"/>
          <w:szCs w:val="20"/>
        </w:rPr>
      </w:pPr>
      <w:r>
        <w:rPr>
          <w:rFonts w:ascii="PMingLiU" w:hAnsi="PMingLiU"/>
          <w:i/>
          <w:iCs/>
          <w:sz w:val="20"/>
        </w:rPr>
        <w:t>4.</w:t>
      </w:r>
      <w:r>
        <w:rPr>
          <w:rFonts w:ascii="PMingLiU" w:hAnsi="PMingLiU"/>
          <w:i/>
          <w:iCs/>
          <w:sz w:val="20"/>
        </w:rPr>
        <w:tab/>
      </w:r>
      <w:r>
        <w:rPr>
          <w:rFonts w:hint="eastAsia" w:ascii="PMingLiU" w:hAnsi="PMingLiU"/>
          <w:i/>
          <w:iCs/>
          <w:sz w:val="20"/>
        </w:rPr>
        <w:t>在計算上市發行人已發行股份數目變動的百分比時，將參照以上市發行人在發生其最早一宗相關事件前的已發行股份數目總額 (就此目的而言不包括已購回或贖回但尚未註銷的任何股份</w:t>
      </w:r>
      <w:r>
        <w:rPr>
          <w:rFonts w:ascii="PMingLiU" w:hAnsi="PMingLiU"/>
          <w:i/>
          <w:iCs/>
          <w:sz w:val="20"/>
        </w:rPr>
        <w:t>)</w:t>
      </w:r>
      <w:r>
        <w:rPr>
          <w:rFonts w:hint="eastAsia" w:ascii="PMingLiU" w:hAnsi="PMingLiU"/>
          <w:i/>
          <w:iCs/>
          <w:sz w:val="20"/>
        </w:rPr>
        <w:t xml:space="preserve"> ；該最早一宗相關事件是之前並未有在「月報表」或「翌日披露報表」內披露的。</w:t>
      </w:r>
    </w:p>
    <w:p>
      <w:pPr>
        <w:ind w:left="720" w:hanging="720"/>
        <w:jc w:val="both"/>
        <w:rPr>
          <w:rFonts w:ascii="PMingLiU" w:hAnsi="PMingLiU"/>
          <w:bCs/>
          <w:i/>
          <w:iCs/>
          <w:sz w:val="20"/>
          <w:szCs w:val="20"/>
        </w:rPr>
      </w:pPr>
    </w:p>
    <w:p>
      <w:pPr>
        <w:ind w:left="720" w:hanging="720"/>
        <w:jc w:val="both"/>
        <w:rPr>
          <w:rFonts w:ascii="PMingLiU" w:hAnsi="PMingLiU"/>
          <w:i/>
          <w:iCs/>
          <w:sz w:val="20"/>
        </w:rPr>
      </w:pPr>
      <w:r>
        <w:rPr>
          <w:rFonts w:ascii="PMingLiU" w:hAnsi="PMingLiU"/>
          <w:i/>
          <w:iCs/>
          <w:sz w:val="20"/>
        </w:rPr>
        <w:t>5.</w:t>
      </w:r>
      <w:r>
        <w:rPr>
          <w:rFonts w:ascii="PMingLiU" w:hAnsi="PMingLiU"/>
          <w:i/>
          <w:iCs/>
          <w:sz w:val="20"/>
        </w:rPr>
        <w:tab/>
      </w:r>
      <w:r>
        <w:rPr>
          <w:rFonts w:hint="eastAsia" w:ascii="PMingLiU" w:hAnsi="PMingLiU"/>
          <w:i/>
          <w:iCs/>
          <w:sz w:val="20"/>
        </w:rPr>
        <w:t>如上市發行人的股份暫停買賣，則「上一個營業日的每股收市價」應理解為「股份作最後買賣的營業日當天的每股收市價」。</w:t>
      </w:r>
    </w:p>
    <w:p>
      <w:pPr>
        <w:ind w:left="720" w:hanging="720"/>
        <w:jc w:val="both"/>
        <w:rPr>
          <w:rFonts w:ascii="PMingLiU" w:hAnsi="PMingLiU"/>
          <w:i/>
          <w:iCs/>
          <w:sz w:val="20"/>
        </w:rPr>
      </w:pPr>
    </w:p>
    <w:p>
      <w:pPr>
        <w:ind w:left="720" w:hanging="720"/>
        <w:jc w:val="both"/>
        <w:rPr>
          <w:rFonts w:ascii="PMingLiU" w:hAnsi="PMingLiU"/>
          <w:i/>
          <w:iCs/>
          <w:sz w:val="20"/>
          <w:shd w:val="clear" w:color="auto" w:fill="E0E0E0"/>
        </w:rPr>
      </w:pPr>
      <w:r>
        <w:rPr>
          <w:rFonts w:ascii="PMingLiU" w:hAnsi="PMingLiU"/>
          <w:i/>
          <w:iCs/>
          <w:sz w:val="20"/>
        </w:rPr>
        <w:t>6.</w:t>
      </w:r>
      <w:r>
        <w:rPr>
          <w:rFonts w:ascii="PMingLiU" w:hAnsi="PMingLiU"/>
          <w:i/>
          <w:iCs/>
          <w:sz w:val="20"/>
        </w:rPr>
        <w:tab/>
      </w:r>
      <w:r>
        <w:rPr>
          <w:rFonts w:hint="eastAsia" w:ascii="PMingLiU" w:hAnsi="PMingLiU"/>
          <w:i/>
          <w:iCs/>
          <w:sz w:val="20"/>
        </w:rPr>
        <w:t>如購回股份：</w:t>
      </w:r>
    </w:p>
    <w:p>
      <w:pPr>
        <w:numPr>
          <w:ilvl w:val="0"/>
          <w:numId w:val="1"/>
        </w:numPr>
        <w:tabs>
          <w:tab w:val="left" w:pos="360"/>
        </w:tabs>
        <w:jc w:val="both"/>
        <w:rPr>
          <w:rFonts w:ascii="PMingLiU" w:hAnsi="PMingLiU"/>
          <w:i/>
          <w:iCs/>
          <w:sz w:val="20"/>
          <w:shd w:val="clear" w:color="auto" w:fill="E0E0E0"/>
        </w:rPr>
      </w:pPr>
      <w:r>
        <w:rPr>
          <w:rFonts w:hint="eastAsia" w:ascii="PMingLiU" w:hAnsi="PMingLiU"/>
          <w:i/>
          <w:iCs/>
          <w:sz w:val="20"/>
        </w:rPr>
        <w:t>「發行股份」應理解為「購回股份</w:t>
      </w:r>
      <w:r>
        <w:rPr>
          <w:rFonts w:ascii="PMingLiU" w:hAnsi="PMingLiU"/>
          <w:i/>
          <w:iCs/>
          <w:sz w:val="20"/>
        </w:rPr>
        <w:t xml:space="preserve"> </w:t>
      </w:r>
      <w:r>
        <w:rPr>
          <w:rFonts w:hint="eastAsia" w:ascii="PMingLiU" w:hAnsi="PMingLiU"/>
          <w:i/>
          <w:iCs/>
          <w:sz w:val="20"/>
        </w:rPr>
        <w:t>」；及</w:t>
      </w:r>
    </w:p>
    <w:p>
      <w:pPr>
        <w:numPr>
          <w:ilvl w:val="0"/>
          <w:numId w:val="1"/>
        </w:numPr>
        <w:tabs>
          <w:tab w:val="left" w:pos="360"/>
        </w:tabs>
        <w:jc w:val="both"/>
        <w:rPr>
          <w:rFonts w:ascii="PMingLiU" w:hAnsi="PMingLiU"/>
          <w:i/>
          <w:iCs/>
          <w:sz w:val="20"/>
        </w:rPr>
      </w:pPr>
      <w:r>
        <w:rPr>
          <w:rFonts w:hint="eastAsia" w:ascii="PMingLiU" w:hAnsi="PMingLiU"/>
          <w:i/>
          <w:iCs/>
          <w:sz w:val="20"/>
        </w:rPr>
        <w:t>「</w:t>
      </w:r>
      <w:r>
        <w:rPr>
          <w:rFonts w:hint="eastAsia" w:ascii="PMingLiU" w:hAnsi="PMingLiU"/>
          <w:bCs/>
          <w:i/>
          <w:iCs/>
          <w:sz w:val="20"/>
        </w:rPr>
        <w:t>已發行股份佔有關股份發行前的現有已發行股</w:t>
      </w:r>
      <w:r>
        <w:rPr>
          <w:rFonts w:hint="eastAsia" w:ascii="PMingLiU" w:hAnsi="PMingLiU"/>
          <w:i/>
          <w:iCs/>
          <w:sz w:val="20"/>
        </w:rPr>
        <w:t>份數目</w:t>
      </w:r>
      <w:r>
        <w:rPr>
          <w:rFonts w:hint="eastAsia" w:ascii="PMingLiU" w:hAnsi="PMingLiU"/>
          <w:bCs/>
          <w:i/>
          <w:iCs/>
          <w:sz w:val="20"/>
        </w:rPr>
        <w:t>百分比」應理解為「已購回股份佔有關股份購回前的現有已發行股</w:t>
      </w:r>
      <w:r>
        <w:rPr>
          <w:rFonts w:hint="eastAsia" w:ascii="PMingLiU" w:hAnsi="PMingLiU"/>
          <w:i/>
          <w:iCs/>
          <w:sz w:val="20"/>
        </w:rPr>
        <w:t>份數目</w:t>
      </w:r>
      <w:r>
        <w:rPr>
          <w:rFonts w:hint="eastAsia" w:ascii="PMingLiU" w:hAnsi="PMingLiU"/>
          <w:bCs/>
          <w:i/>
          <w:iCs/>
          <w:sz w:val="20"/>
        </w:rPr>
        <w:t>百分比」。</w:t>
      </w:r>
    </w:p>
    <w:p>
      <w:pPr>
        <w:ind w:left="720" w:hanging="720"/>
        <w:jc w:val="both"/>
        <w:rPr>
          <w:rFonts w:ascii="PMingLiU" w:hAnsi="PMingLiU"/>
          <w:i/>
          <w:iCs/>
          <w:sz w:val="20"/>
        </w:rPr>
      </w:pPr>
    </w:p>
    <w:p>
      <w:pPr>
        <w:ind w:left="720" w:hanging="720"/>
        <w:jc w:val="both"/>
        <w:rPr>
          <w:rFonts w:ascii="PMingLiU" w:hAnsi="PMingLiU"/>
          <w:i/>
          <w:iCs/>
          <w:sz w:val="20"/>
          <w:shd w:val="clear" w:color="auto" w:fill="E0E0E0"/>
        </w:rPr>
      </w:pPr>
      <w:r>
        <w:rPr>
          <w:rFonts w:ascii="PMingLiU" w:hAnsi="PMingLiU"/>
          <w:i/>
          <w:iCs/>
          <w:sz w:val="20"/>
        </w:rPr>
        <w:t>7.</w:t>
      </w:r>
      <w:r>
        <w:rPr>
          <w:rFonts w:ascii="PMingLiU" w:hAnsi="PMingLiU"/>
          <w:i/>
          <w:iCs/>
          <w:sz w:val="20"/>
        </w:rPr>
        <w:tab/>
      </w:r>
      <w:r>
        <w:rPr>
          <w:rFonts w:hint="eastAsia" w:ascii="PMingLiU" w:hAnsi="PMingLiU"/>
          <w:i/>
          <w:iCs/>
          <w:sz w:val="20"/>
        </w:rPr>
        <w:t>如贖回股份：</w:t>
      </w:r>
    </w:p>
    <w:p>
      <w:pPr>
        <w:numPr>
          <w:ilvl w:val="0"/>
          <w:numId w:val="1"/>
        </w:numPr>
        <w:tabs>
          <w:tab w:val="left" w:pos="360"/>
        </w:tabs>
        <w:jc w:val="both"/>
        <w:rPr>
          <w:rFonts w:ascii="PMingLiU" w:hAnsi="PMingLiU"/>
          <w:i/>
          <w:iCs/>
          <w:sz w:val="20"/>
          <w:shd w:val="clear" w:color="auto" w:fill="E0E0E0"/>
        </w:rPr>
      </w:pPr>
      <w:r>
        <w:rPr>
          <w:rFonts w:hint="eastAsia" w:ascii="PMingLiU" w:hAnsi="PMingLiU"/>
          <w:i/>
          <w:iCs/>
          <w:sz w:val="20"/>
        </w:rPr>
        <w:t>「發行股份」應理解為「贖回股份</w:t>
      </w:r>
      <w:r>
        <w:rPr>
          <w:rFonts w:ascii="PMingLiU" w:hAnsi="PMingLiU"/>
          <w:i/>
          <w:iCs/>
          <w:sz w:val="20"/>
        </w:rPr>
        <w:t xml:space="preserve"> </w:t>
      </w:r>
      <w:r>
        <w:rPr>
          <w:rFonts w:hint="eastAsia" w:ascii="PMingLiU" w:hAnsi="PMingLiU"/>
          <w:i/>
          <w:iCs/>
          <w:sz w:val="20"/>
        </w:rPr>
        <w:t>」；及</w:t>
      </w:r>
    </w:p>
    <w:p>
      <w:pPr>
        <w:numPr>
          <w:ilvl w:val="0"/>
          <w:numId w:val="1"/>
        </w:numPr>
        <w:tabs>
          <w:tab w:val="left" w:pos="360"/>
        </w:tabs>
        <w:jc w:val="both"/>
        <w:rPr>
          <w:rFonts w:ascii="PMingLiU" w:hAnsi="PMingLiU"/>
          <w:i/>
          <w:iCs/>
          <w:sz w:val="20"/>
        </w:rPr>
      </w:pPr>
      <w:r>
        <w:rPr>
          <w:rFonts w:hint="eastAsia" w:ascii="PMingLiU" w:hAnsi="PMingLiU"/>
          <w:i/>
          <w:iCs/>
          <w:sz w:val="20"/>
        </w:rPr>
        <w:t>「</w:t>
      </w:r>
      <w:r>
        <w:rPr>
          <w:rFonts w:hint="eastAsia" w:ascii="PMingLiU" w:hAnsi="PMingLiU"/>
          <w:bCs/>
          <w:i/>
          <w:iCs/>
          <w:sz w:val="20"/>
        </w:rPr>
        <w:t>已發行股份佔有關股份發行前的現有已發行股</w:t>
      </w:r>
      <w:r>
        <w:rPr>
          <w:rFonts w:hint="eastAsia" w:ascii="PMingLiU" w:hAnsi="PMingLiU"/>
          <w:i/>
          <w:iCs/>
          <w:sz w:val="20"/>
        </w:rPr>
        <w:t>份數目</w:t>
      </w:r>
      <w:r>
        <w:rPr>
          <w:rFonts w:hint="eastAsia" w:ascii="PMingLiU" w:hAnsi="PMingLiU"/>
          <w:bCs/>
          <w:i/>
          <w:iCs/>
          <w:sz w:val="20"/>
        </w:rPr>
        <w:t>百分比」應理解為「已贖回股份佔有關股份贖回前的現有已發行股</w:t>
      </w:r>
      <w:r>
        <w:rPr>
          <w:rFonts w:hint="eastAsia" w:ascii="PMingLiU" w:hAnsi="PMingLiU"/>
          <w:i/>
          <w:iCs/>
          <w:sz w:val="20"/>
        </w:rPr>
        <w:t>份數目</w:t>
      </w:r>
      <w:r>
        <w:rPr>
          <w:rFonts w:hint="eastAsia" w:ascii="PMingLiU" w:hAnsi="PMingLiU"/>
          <w:bCs/>
          <w:i/>
          <w:iCs/>
          <w:sz w:val="20"/>
        </w:rPr>
        <w:t>百分比」。</w:t>
      </w:r>
    </w:p>
    <w:p>
      <w:pPr>
        <w:numPr>
          <w:ilvl w:val="0"/>
          <w:numId w:val="1"/>
        </w:numPr>
        <w:tabs>
          <w:tab w:val="left" w:pos="360"/>
        </w:tabs>
        <w:jc w:val="both"/>
        <w:rPr>
          <w:rFonts w:ascii="PMingLiU" w:hAnsi="PMingLiU"/>
          <w:i/>
          <w:iCs/>
          <w:sz w:val="20"/>
        </w:rPr>
      </w:pPr>
      <w:r>
        <w:rPr>
          <w:rFonts w:hint="eastAsia" w:ascii="PMingLiU" w:hAnsi="PMingLiU"/>
          <w:i/>
          <w:iCs/>
          <w:sz w:val="20"/>
        </w:rPr>
        <w:t>「每股發行價」應理解為「每股贖回價」。</w:t>
      </w:r>
    </w:p>
    <w:p>
      <w:pPr>
        <w:jc w:val="both"/>
        <w:rPr>
          <w:rFonts w:ascii="PMingLiU" w:hAnsi="PMingLiU"/>
          <w:i/>
          <w:iCs/>
          <w:sz w:val="20"/>
          <w:shd w:val="clear" w:color="auto" w:fill="E0E0E0"/>
        </w:rPr>
      </w:pPr>
    </w:p>
    <w:p>
      <w:pPr>
        <w:jc w:val="both"/>
        <w:rPr>
          <w:rFonts w:ascii="PMingLiU" w:hAnsi="PMingLiU"/>
          <w:i/>
          <w:iCs/>
          <w:sz w:val="20"/>
          <w:shd w:val="clear" w:color="auto" w:fill="E0E0E0"/>
        </w:rPr>
      </w:pPr>
      <w:r>
        <w:rPr>
          <w:rFonts w:ascii="PMingLiU" w:hAnsi="PMingLiU"/>
          <w:i/>
          <w:iCs/>
          <w:sz w:val="20"/>
        </w:rPr>
        <w:t>8.</w:t>
      </w:r>
      <w:r>
        <w:rPr>
          <w:rFonts w:ascii="PMingLiU" w:hAnsi="PMingLiU"/>
          <w:i/>
          <w:iCs/>
          <w:sz w:val="20"/>
        </w:rPr>
        <w:tab/>
      </w:r>
      <w:r>
        <w:rPr>
          <w:rFonts w:hint="eastAsia" w:ascii="PMingLiU" w:hAnsi="PMingLiU"/>
          <w:i/>
          <w:iCs/>
          <w:sz w:val="20"/>
        </w:rPr>
        <w:t>期終結存日期為最後一宗披露的相關事件的日期。</w:t>
      </w:r>
      <w:r>
        <w:rPr>
          <w:rFonts w:ascii="PMingLiU" w:hAnsi="PMingLiU"/>
          <w:i/>
          <w:iCs/>
          <w:sz w:val="20"/>
        </w:rPr>
        <w:t xml:space="preserve"> </w:t>
      </w:r>
    </w:p>
    <w:p>
      <w:pPr>
        <w:ind w:left="720" w:hanging="720"/>
        <w:jc w:val="both"/>
        <w:rPr>
          <w:rFonts w:ascii="PMingLiU" w:hAnsi="PMingLiU"/>
          <w:i/>
          <w:iCs/>
          <w:sz w:val="20"/>
        </w:rPr>
      </w:pPr>
    </w:p>
    <w:p>
      <w:pPr>
        <w:ind w:left="720" w:hanging="720"/>
        <w:jc w:val="both"/>
        <w:rPr>
          <w:rFonts w:ascii="PMingLiU" w:hAnsi="PMingLiU"/>
          <w:i/>
          <w:iCs/>
          <w:sz w:val="20"/>
        </w:rPr>
      </w:pPr>
    </w:p>
    <w:p>
      <w:pPr>
        <w:ind w:left="720" w:hanging="720"/>
        <w:jc w:val="both"/>
        <w:rPr>
          <w:rFonts w:ascii="PMingLiU" w:hAnsi="PMingLiU"/>
          <w:i/>
          <w:iCs/>
          <w:sz w:val="20"/>
        </w:rPr>
      </w:pPr>
    </w:p>
    <w:p>
      <w:pPr>
        <w:ind w:left="720" w:hanging="720"/>
        <w:jc w:val="both"/>
        <w:rPr>
          <w:rFonts w:ascii="PMingLiU" w:hAnsi="PMingLiU"/>
          <w:i/>
          <w:iCs/>
          <w:sz w:val="20"/>
        </w:rPr>
      </w:pPr>
    </w:p>
    <w:p>
      <w:pPr>
        <w:jc w:val="both"/>
        <w:rPr>
          <w:rFonts w:ascii="PMingLiU" w:hAnsi="PMingLiU"/>
          <w:sz w:val="22"/>
          <w:szCs w:val="22"/>
        </w:rPr>
      </w:pPr>
    </w:p>
    <w:tbl>
      <w:tblPr>
        <w:tblW w:w="155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74"/>
        <w:gridCol w:w="236"/>
        <w:gridCol w:w="1584"/>
        <w:gridCol w:w="360"/>
        <w:gridCol w:w="3008"/>
        <w:gridCol w:w="360"/>
        <w:gridCol w:w="2527"/>
        <w:gridCol w:w="360"/>
        <w:gridCol w:w="138"/>
        <w:gridCol w:w="2147"/>
        <w:gridCol w:w="360"/>
        <w:gridCol w:w="3008"/>
        <w:gridCol w:w="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5262" w:type="dxa"/>
            <w:gridSpan w:val="12"/>
            <w:tcBorders>
              <w:top w:val="single" w:color="auto" w:sz="4" w:space="0"/>
              <w:left w:val="single" w:color="auto" w:sz="4" w:space="0"/>
            </w:tcBorders>
            <w:vAlign w:val="center"/>
          </w:tcPr>
          <w:p>
            <w:pPr>
              <w:jc w:val="both"/>
              <w:rPr>
                <w:rFonts w:ascii="PMingLiU" w:hAnsi="PMingLiU"/>
                <w:sz w:val="22"/>
                <w:lang w:eastAsia="zh-CN"/>
              </w:rPr>
            </w:pPr>
            <w:r>
              <w:rPr>
                <w:rFonts w:ascii="PMingLiU" w:hAnsi="PMingLiU"/>
                <w:sz w:val="22"/>
                <w:szCs w:val="22"/>
              </w:rPr>
              <w:t>II.</w:t>
            </w:r>
          </w:p>
          <w:p>
            <w:pPr>
              <w:jc w:val="both"/>
              <w:rPr>
                <w:rFonts w:ascii="PMingLiU" w:hAnsi="PMingLiU"/>
                <w:b/>
                <w:sz w:val="22"/>
                <w:lang w:eastAsia="zh-CN"/>
              </w:rPr>
            </w:pPr>
          </w:p>
          <w:p>
            <w:pPr>
              <w:jc w:val="both"/>
              <w:rPr>
                <w:rFonts w:ascii="PMingLiU" w:hAnsi="PMingLiU"/>
                <w:sz w:val="22"/>
              </w:rPr>
            </w:pPr>
            <w:r>
              <w:rPr>
                <w:rFonts w:ascii="PMingLiU" w:hAnsi="PMingLiU"/>
                <w:sz w:val="22"/>
                <w:szCs w:val="22"/>
              </w:rPr>
              <w:t>A.</w:t>
            </w:r>
            <w:r>
              <w:rPr>
                <w:rFonts w:ascii="PMingLiU" w:hAnsi="PMingLiU"/>
                <w:sz w:val="22"/>
                <w:szCs w:val="22"/>
              </w:rPr>
              <w:tab/>
            </w:r>
            <w:r>
              <w:rPr>
                <w:rFonts w:hint="eastAsia" w:ascii="PMingLiU" w:hAnsi="PMingLiU"/>
                <w:sz w:val="22"/>
                <w:szCs w:val="22"/>
              </w:rPr>
              <w:t>購回報告</w:t>
            </w:r>
          </w:p>
          <w:p>
            <w:pPr>
              <w:jc w:val="both"/>
              <w:rPr>
                <w:rFonts w:ascii="PMingLiU" w:hAnsi="PMingLiU"/>
                <w:sz w:val="22"/>
              </w:rPr>
            </w:pPr>
          </w:p>
          <w:p>
            <w:pPr>
              <w:jc w:val="both"/>
              <w:rPr>
                <w:rFonts w:ascii="PMingLiU" w:hAnsi="PMingLiU"/>
                <w:sz w:val="22"/>
              </w:rPr>
            </w:pPr>
          </w:p>
        </w:tc>
        <w:tc>
          <w:tcPr>
            <w:tcW w:w="242" w:type="dxa"/>
            <w:tcBorders>
              <w:top w:val="single" w:color="auto" w:sz="4" w:space="0"/>
              <w:right w:val="single" w:color="auto" w:sz="4" w:space="0"/>
            </w:tcBorders>
            <w:vAlign w:val="top"/>
          </w:tcPr>
          <w:p>
            <w:pPr>
              <w:spacing w:line="216" w:lineRule="auto"/>
              <w:jc w:val="center"/>
              <w:rPr>
                <w:rFonts w:ascii="PMingLiU" w:hAnsi="PMingLiU"/>
                <w:bCs/>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174" w:type="dxa"/>
            <w:tcBorders>
              <w:left w:val="single" w:color="auto" w:sz="4" w:space="0"/>
            </w:tcBorders>
            <w:vAlign w:val="center"/>
          </w:tcPr>
          <w:p>
            <w:pPr>
              <w:jc w:val="center"/>
              <w:rPr>
                <w:rFonts w:ascii="PMingLiU" w:hAnsi="PMingLiU"/>
                <w:sz w:val="22"/>
              </w:rPr>
            </w:pPr>
            <w:r>
              <w:rPr>
                <w:rFonts w:hint="eastAsia" w:ascii="PMingLiU" w:hAnsi="PMingLiU"/>
                <w:sz w:val="22"/>
                <w:szCs w:val="22"/>
              </w:rPr>
              <w:t>交易日</w:t>
            </w:r>
          </w:p>
        </w:tc>
        <w:tc>
          <w:tcPr>
            <w:tcW w:w="236" w:type="dxa"/>
            <w:vAlign w:val="top"/>
          </w:tcPr>
          <w:p>
            <w:pPr>
              <w:jc w:val="center"/>
              <w:rPr>
                <w:rFonts w:ascii="PMingLiU" w:hAnsi="PMingLiU"/>
                <w:sz w:val="22"/>
              </w:rPr>
            </w:pPr>
          </w:p>
        </w:tc>
        <w:tc>
          <w:tcPr>
            <w:tcW w:w="1584" w:type="dxa"/>
            <w:vAlign w:val="top"/>
          </w:tcPr>
          <w:p>
            <w:pPr>
              <w:jc w:val="center"/>
              <w:rPr>
                <w:rFonts w:ascii="PMingLiU" w:hAnsi="PMingLiU"/>
                <w:sz w:val="22"/>
              </w:rPr>
            </w:pPr>
            <w:r>
              <w:rPr>
                <w:rFonts w:hint="eastAsia" w:ascii="PMingLiU" w:hAnsi="PMingLiU"/>
                <w:sz w:val="22"/>
                <w:szCs w:val="22"/>
              </w:rPr>
              <w:t>購回證券數目</w:t>
            </w:r>
          </w:p>
        </w:tc>
        <w:tc>
          <w:tcPr>
            <w:tcW w:w="360" w:type="dxa"/>
            <w:vAlign w:val="top"/>
          </w:tcPr>
          <w:p>
            <w:pPr>
              <w:jc w:val="center"/>
              <w:rPr>
                <w:rFonts w:ascii="PMingLiU" w:hAnsi="PMingLiU"/>
                <w:sz w:val="22"/>
              </w:rPr>
            </w:pPr>
          </w:p>
        </w:tc>
        <w:tc>
          <w:tcPr>
            <w:tcW w:w="3008" w:type="dxa"/>
            <w:vAlign w:val="center"/>
          </w:tcPr>
          <w:p>
            <w:pPr>
              <w:jc w:val="center"/>
              <w:rPr>
                <w:rFonts w:ascii="PMingLiU" w:hAnsi="PMingLiU"/>
                <w:sz w:val="22"/>
              </w:rPr>
            </w:pPr>
            <w:r>
              <w:rPr>
                <w:rFonts w:hint="eastAsia" w:ascii="PMingLiU" w:hAnsi="PMingLiU"/>
                <w:sz w:val="22"/>
                <w:szCs w:val="22"/>
              </w:rPr>
              <w:t>購回方式</w:t>
            </w:r>
          </w:p>
          <w:p>
            <w:pPr>
              <w:jc w:val="center"/>
              <w:rPr>
                <w:rFonts w:ascii="PMingLiU" w:hAnsi="PMingLiU"/>
                <w:i/>
                <w:sz w:val="22"/>
              </w:rPr>
            </w:pPr>
            <w:r>
              <w:rPr>
                <w:rFonts w:ascii="PMingLiU" w:hAnsi="PMingLiU"/>
                <w:i/>
                <w:iCs/>
                <w:sz w:val="22"/>
                <w:szCs w:val="22"/>
              </w:rPr>
              <w:t>(</w:t>
            </w:r>
            <w:r>
              <w:rPr>
                <w:rFonts w:hint="eastAsia" w:ascii="PMingLiU" w:hAnsi="PMingLiU"/>
                <w:i/>
                <w:iCs/>
                <w:sz w:val="22"/>
                <w:szCs w:val="22"/>
              </w:rPr>
              <w:t>註</w:t>
            </w:r>
            <w:r>
              <w:rPr>
                <w:rFonts w:ascii="PMingLiU" w:hAnsi="PMingLiU"/>
                <w:i/>
                <w:iCs/>
                <w:sz w:val="22"/>
                <w:szCs w:val="22"/>
              </w:rPr>
              <w:t>)</w:t>
            </w:r>
          </w:p>
        </w:tc>
        <w:tc>
          <w:tcPr>
            <w:tcW w:w="360" w:type="dxa"/>
            <w:vAlign w:val="top"/>
          </w:tcPr>
          <w:p>
            <w:pPr>
              <w:jc w:val="center"/>
              <w:rPr>
                <w:rFonts w:ascii="PMingLiU" w:hAnsi="PMingLiU"/>
                <w:sz w:val="22"/>
              </w:rPr>
            </w:pPr>
          </w:p>
        </w:tc>
        <w:tc>
          <w:tcPr>
            <w:tcW w:w="2527" w:type="dxa"/>
            <w:vAlign w:val="center"/>
          </w:tcPr>
          <w:p>
            <w:pPr>
              <w:jc w:val="center"/>
              <w:rPr>
                <w:rFonts w:ascii="PMingLiU" w:hAnsi="PMingLiU"/>
                <w:sz w:val="22"/>
              </w:rPr>
            </w:pPr>
            <w:r>
              <w:rPr>
                <w:rFonts w:hint="eastAsia" w:ascii="PMingLiU" w:hAnsi="PMingLiU"/>
                <w:sz w:val="22"/>
                <w:szCs w:val="22"/>
              </w:rPr>
              <w:t>每股價格或</w:t>
            </w:r>
            <w:r>
              <w:rPr>
                <w:rFonts w:ascii="PMingLiU" w:hAnsi="PMingLiU"/>
                <w:sz w:val="22"/>
                <w:szCs w:val="22"/>
              </w:rPr>
              <w:br/>
            </w:r>
            <w:r>
              <w:rPr>
                <w:rFonts w:hint="eastAsia" w:ascii="PMingLiU" w:hAnsi="PMingLiU"/>
                <w:sz w:val="22"/>
                <w:szCs w:val="22"/>
              </w:rPr>
              <w:t>付出最高價 (元)</w:t>
            </w:r>
          </w:p>
        </w:tc>
        <w:tc>
          <w:tcPr>
            <w:tcW w:w="360" w:type="dxa"/>
            <w:vAlign w:val="top"/>
          </w:tcPr>
          <w:p>
            <w:pPr>
              <w:tabs>
                <w:tab w:val="right" w:pos="2368"/>
              </w:tabs>
              <w:jc w:val="center"/>
              <w:rPr>
                <w:rFonts w:ascii="PMingLiU" w:hAnsi="PMingLiU"/>
                <w:sz w:val="22"/>
              </w:rPr>
            </w:pPr>
          </w:p>
        </w:tc>
        <w:tc>
          <w:tcPr>
            <w:tcW w:w="2285" w:type="dxa"/>
            <w:gridSpan w:val="2"/>
            <w:vAlign w:val="center"/>
          </w:tcPr>
          <w:p>
            <w:pPr>
              <w:jc w:val="center"/>
              <w:rPr>
                <w:rFonts w:ascii="PMingLiU" w:hAnsi="PMingLiU"/>
                <w:sz w:val="22"/>
              </w:rPr>
            </w:pPr>
            <w:r>
              <w:rPr>
                <w:rFonts w:hint="eastAsia" w:ascii="PMingLiU" w:hAnsi="PMingLiU"/>
                <w:sz w:val="22"/>
                <w:szCs w:val="22"/>
              </w:rPr>
              <w:t>最低價</w:t>
            </w:r>
          </w:p>
          <w:p>
            <w:pPr>
              <w:jc w:val="center"/>
              <w:rPr>
                <w:rFonts w:ascii="PMingLiU" w:hAnsi="PMingLiU"/>
                <w:sz w:val="22"/>
              </w:rPr>
            </w:pPr>
            <w:r>
              <w:rPr>
                <w:rFonts w:hint="eastAsia" w:ascii="PMingLiU" w:hAnsi="PMingLiU"/>
                <w:sz w:val="22"/>
                <w:szCs w:val="22"/>
              </w:rPr>
              <w:t>(元)</w:t>
            </w:r>
          </w:p>
        </w:tc>
        <w:tc>
          <w:tcPr>
            <w:tcW w:w="360" w:type="dxa"/>
            <w:vAlign w:val="top"/>
          </w:tcPr>
          <w:p>
            <w:pPr>
              <w:jc w:val="center"/>
              <w:rPr>
                <w:rFonts w:ascii="PMingLiU" w:hAnsi="PMingLiU"/>
                <w:sz w:val="22"/>
              </w:rPr>
            </w:pPr>
          </w:p>
        </w:tc>
        <w:tc>
          <w:tcPr>
            <w:tcW w:w="3008" w:type="dxa"/>
            <w:vAlign w:val="center"/>
          </w:tcPr>
          <w:p>
            <w:pPr>
              <w:jc w:val="center"/>
              <w:rPr>
                <w:rFonts w:ascii="PMingLiU" w:hAnsi="PMingLiU"/>
                <w:sz w:val="22"/>
              </w:rPr>
            </w:pPr>
            <w:r>
              <w:rPr>
                <w:rFonts w:hint="eastAsia" w:ascii="PMingLiU" w:hAnsi="PMingLiU"/>
                <w:sz w:val="22"/>
                <w:szCs w:val="22"/>
              </w:rPr>
              <w:t>付出總額</w:t>
            </w:r>
          </w:p>
          <w:p>
            <w:pPr>
              <w:jc w:val="center"/>
              <w:rPr>
                <w:rFonts w:ascii="PMingLiU" w:hAnsi="PMingLiU"/>
                <w:sz w:val="22"/>
              </w:rPr>
            </w:pPr>
            <w:r>
              <w:rPr>
                <w:rFonts w:hint="eastAsia" w:ascii="PMingLiU" w:hAnsi="PMingLiU"/>
                <w:sz w:val="22"/>
                <w:szCs w:val="22"/>
              </w:rPr>
              <w:t>(元)</w:t>
            </w:r>
          </w:p>
        </w:tc>
        <w:tc>
          <w:tcPr>
            <w:tcW w:w="242" w:type="dxa"/>
            <w:tcBorders>
              <w:right w:val="single" w:color="auto" w:sz="4" w:space="0"/>
            </w:tcBorders>
            <w:vAlign w:val="top"/>
          </w:tcPr>
          <w:p>
            <w:pPr>
              <w:spacing w:line="216" w:lineRule="auto"/>
              <w:jc w:val="center"/>
              <w:rPr>
                <w:rFonts w:ascii="PMingLiU" w:hAnsi="PMingLiU"/>
                <w:bCs/>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39" w:hRule="atLeast"/>
        </w:trPr>
        <w:tc>
          <w:tcPr>
            <w:tcW w:w="1174" w:type="dxa"/>
            <w:tcBorders>
              <w:left w:val="single" w:color="auto" w:sz="4" w:space="0"/>
            </w:tcBorders>
            <w:vAlign w:val="top"/>
          </w:tcPr>
          <w:p>
            <w:pPr>
              <w:jc w:val="center"/>
              <w:rPr>
                <w:rFonts w:ascii="PMingLiU" w:hAnsi="PMingLiU"/>
                <w:sz w:val="22"/>
              </w:rPr>
            </w:pPr>
          </w:p>
          <w:p>
            <w:pPr>
              <w:jc w:val="center"/>
              <w:rPr>
                <w:rFonts w:ascii="PMingLiU" w:hAnsi="PMingLiU"/>
                <w:sz w:val="22"/>
              </w:rPr>
            </w:pPr>
          </w:p>
          <w:p>
            <w:pPr>
              <w:jc w:val="center"/>
              <w:rPr>
                <w:rFonts w:ascii="PMingLiU" w:hAnsi="PMingLiU"/>
                <w:sz w:val="22"/>
              </w:rPr>
            </w:pPr>
            <w:r>
              <w:rPr>
                <w:rFonts w:hint="eastAsia" w:ascii="PMingLiU" w:hAnsi="PMingLiU"/>
                <w:sz w:val="22"/>
                <w:szCs w:val="22"/>
              </w:rPr>
              <w:t>不適用</w:t>
            </w:r>
          </w:p>
          <w:p>
            <w:pPr>
              <w:jc w:val="center"/>
              <w:rPr>
                <w:rFonts w:ascii="PMingLiU" w:hAnsi="PMingLiU"/>
                <w:sz w:val="22"/>
              </w:rPr>
            </w:pPr>
          </w:p>
          <w:p>
            <w:pPr>
              <w:jc w:val="center"/>
              <w:rPr>
                <w:rFonts w:ascii="PMingLiU" w:hAnsi="PMingLiU"/>
                <w:sz w:val="22"/>
              </w:rPr>
            </w:pPr>
          </w:p>
          <w:p>
            <w:pPr>
              <w:jc w:val="center"/>
              <w:rPr>
                <w:rFonts w:ascii="PMingLiU" w:hAnsi="PMingLiU"/>
                <w:sz w:val="22"/>
              </w:rPr>
            </w:pPr>
          </w:p>
        </w:tc>
        <w:tc>
          <w:tcPr>
            <w:tcW w:w="236" w:type="dxa"/>
            <w:vAlign w:val="top"/>
          </w:tcPr>
          <w:p>
            <w:pPr>
              <w:jc w:val="center"/>
              <w:rPr>
                <w:rFonts w:ascii="PMingLiU" w:hAnsi="PMingLiU"/>
                <w:sz w:val="22"/>
              </w:rPr>
            </w:pPr>
          </w:p>
        </w:tc>
        <w:tc>
          <w:tcPr>
            <w:tcW w:w="1584" w:type="dxa"/>
            <w:tcBorders>
              <w:bottom w:val="single" w:color="auto" w:sz="4" w:space="0"/>
            </w:tcBorders>
            <w:vAlign w:val="top"/>
          </w:tcPr>
          <w:p>
            <w:pPr>
              <w:jc w:val="center"/>
              <w:rPr>
                <w:rFonts w:ascii="PMingLiU" w:hAnsi="PMingLiU"/>
                <w:sz w:val="22"/>
              </w:rPr>
            </w:pPr>
          </w:p>
          <w:p>
            <w:pPr>
              <w:jc w:val="center"/>
              <w:rPr>
                <w:rFonts w:ascii="PMingLiU" w:hAnsi="PMingLiU"/>
                <w:sz w:val="22"/>
              </w:rPr>
            </w:pPr>
          </w:p>
          <w:p>
            <w:pPr>
              <w:jc w:val="center"/>
              <w:rPr>
                <w:rFonts w:ascii="PMingLiU" w:hAnsi="PMingLiU"/>
                <w:sz w:val="22"/>
              </w:rPr>
            </w:pPr>
            <w:r>
              <w:rPr>
                <w:rFonts w:hint="eastAsia" w:ascii="PMingLiU" w:hAnsi="PMingLiU"/>
                <w:sz w:val="22"/>
                <w:szCs w:val="22"/>
              </w:rPr>
              <w:t>不適用</w:t>
            </w:r>
          </w:p>
          <w:p>
            <w:pPr>
              <w:jc w:val="center"/>
              <w:rPr>
                <w:rFonts w:ascii="PMingLiU" w:hAnsi="PMingLiU"/>
                <w:sz w:val="22"/>
              </w:rPr>
            </w:pPr>
          </w:p>
        </w:tc>
        <w:tc>
          <w:tcPr>
            <w:tcW w:w="360" w:type="dxa"/>
            <w:vAlign w:val="top"/>
          </w:tcPr>
          <w:p>
            <w:pPr>
              <w:jc w:val="center"/>
              <w:rPr>
                <w:rFonts w:ascii="PMingLiU" w:hAnsi="PMingLiU"/>
                <w:sz w:val="22"/>
              </w:rPr>
            </w:pPr>
          </w:p>
        </w:tc>
        <w:tc>
          <w:tcPr>
            <w:tcW w:w="3008" w:type="dxa"/>
            <w:vAlign w:val="top"/>
          </w:tcPr>
          <w:p>
            <w:pPr>
              <w:jc w:val="center"/>
              <w:rPr>
                <w:rFonts w:ascii="PMingLiU" w:hAnsi="PMingLiU"/>
                <w:sz w:val="22"/>
              </w:rPr>
            </w:pPr>
          </w:p>
          <w:p>
            <w:pPr>
              <w:jc w:val="center"/>
              <w:rPr>
                <w:rFonts w:ascii="PMingLiU" w:hAnsi="PMingLiU"/>
                <w:sz w:val="22"/>
              </w:rPr>
            </w:pPr>
          </w:p>
          <w:p>
            <w:pPr>
              <w:jc w:val="center"/>
              <w:rPr>
                <w:rFonts w:ascii="PMingLiU" w:hAnsi="PMingLiU"/>
                <w:sz w:val="22"/>
              </w:rPr>
            </w:pPr>
            <w:r>
              <w:rPr>
                <w:rFonts w:hint="eastAsia" w:ascii="PMingLiU" w:hAnsi="PMingLiU"/>
                <w:sz w:val="22"/>
                <w:szCs w:val="22"/>
              </w:rPr>
              <w:t>不適用</w:t>
            </w:r>
          </w:p>
          <w:p>
            <w:pPr>
              <w:jc w:val="center"/>
              <w:rPr>
                <w:rFonts w:ascii="PMingLiU" w:hAnsi="PMingLiU"/>
                <w:sz w:val="22"/>
              </w:rPr>
            </w:pPr>
          </w:p>
          <w:p>
            <w:pPr>
              <w:jc w:val="center"/>
              <w:rPr>
                <w:rFonts w:ascii="PMingLiU" w:hAnsi="PMingLiU"/>
                <w:sz w:val="22"/>
              </w:rPr>
            </w:pPr>
          </w:p>
          <w:p>
            <w:pPr>
              <w:jc w:val="center"/>
              <w:rPr>
                <w:rFonts w:ascii="PMingLiU" w:hAnsi="PMingLiU"/>
                <w:sz w:val="22"/>
              </w:rPr>
            </w:pPr>
          </w:p>
        </w:tc>
        <w:tc>
          <w:tcPr>
            <w:tcW w:w="360" w:type="dxa"/>
            <w:vAlign w:val="top"/>
          </w:tcPr>
          <w:p>
            <w:pPr>
              <w:jc w:val="center"/>
              <w:rPr>
                <w:rFonts w:ascii="PMingLiU" w:hAnsi="PMingLiU"/>
                <w:sz w:val="22"/>
              </w:rPr>
            </w:pPr>
          </w:p>
        </w:tc>
        <w:tc>
          <w:tcPr>
            <w:tcW w:w="2527" w:type="dxa"/>
            <w:vAlign w:val="top"/>
          </w:tcPr>
          <w:p>
            <w:pPr>
              <w:jc w:val="center"/>
              <w:rPr>
                <w:rFonts w:ascii="PMingLiU" w:hAnsi="PMingLiU"/>
                <w:sz w:val="22"/>
              </w:rPr>
            </w:pPr>
          </w:p>
          <w:p>
            <w:pPr>
              <w:jc w:val="center"/>
              <w:rPr>
                <w:rFonts w:ascii="PMingLiU" w:hAnsi="PMingLiU"/>
                <w:sz w:val="22"/>
              </w:rPr>
            </w:pPr>
          </w:p>
          <w:p>
            <w:pPr>
              <w:jc w:val="center"/>
              <w:rPr>
                <w:rFonts w:ascii="PMingLiU" w:hAnsi="PMingLiU"/>
                <w:sz w:val="22"/>
              </w:rPr>
            </w:pPr>
            <w:r>
              <w:rPr>
                <w:rFonts w:hint="eastAsia" w:ascii="PMingLiU" w:hAnsi="PMingLiU"/>
                <w:sz w:val="22"/>
                <w:szCs w:val="22"/>
              </w:rPr>
              <w:t>不適用</w:t>
            </w:r>
          </w:p>
          <w:p>
            <w:pPr>
              <w:jc w:val="center"/>
              <w:rPr>
                <w:rFonts w:ascii="PMingLiU" w:hAnsi="PMingLiU"/>
                <w:sz w:val="22"/>
              </w:rPr>
            </w:pPr>
          </w:p>
        </w:tc>
        <w:tc>
          <w:tcPr>
            <w:tcW w:w="360" w:type="dxa"/>
            <w:vAlign w:val="top"/>
          </w:tcPr>
          <w:p>
            <w:pPr>
              <w:jc w:val="center"/>
              <w:rPr>
                <w:rFonts w:ascii="PMingLiU" w:hAnsi="PMingLiU"/>
                <w:sz w:val="22"/>
              </w:rPr>
            </w:pPr>
          </w:p>
        </w:tc>
        <w:tc>
          <w:tcPr>
            <w:tcW w:w="2285" w:type="dxa"/>
            <w:gridSpan w:val="2"/>
            <w:vAlign w:val="top"/>
          </w:tcPr>
          <w:p>
            <w:pPr>
              <w:jc w:val="center"/>
              <w:rPr>
                <w:rFonts w:ascii="PMingLiU" w:hAnsi="PMingLiU"/>
                <w:sz w:val="22"/>
              </w:rPr>
            </w:pPr>
          </w:p>
          <w:p>
            <w:pPr>
              <w:jc w:val="center"/>
              <w:rPr>
                <w:rFonts w:ascii="PMingLiU" w:hAnsi="PMingLiU"/>
                <w:sz w:val="22"/>
              </w:rPr>
            </w:pPr>
          </w:p>
          <w:p>
            <w:pPr>
              <w:jc w:val="center"/>
              <w:rPr>
                <w:rFonts w:ascii="PMingLiU" w:hAnsi="PMingLiU"/>
                <w:sz w:val="22"/>
              </w:rPr>
            </w:pPr>
            <w:r>
              <w:rPr>
                <w:rFonts w:hint="eastAsia" w:ascii="PMingLiU" w:hAnsi="PMingLiU"/>
                <w:sz w:val="22"/>
                <w:szCs w:val="22"/>
              </w:rPr>
              <w:t>不適用</w:t>
            </w:r>
          </w:p>
          <w:p>
            <w:pPr>
              <w:jc w:val="center"/>
              <w:rPr>
                <w:rFonts w:ascii="PMingLiU" w:hAnsi="PMingLiU"/>
                <w:sz w:val="22"/>
              </w:rPr>
            </w:pPr>
          </w:p>
          <w:p>
            <w:pPr>
              <w:jc w:val="center"/>
              <w:rPr>
                <w:rFonts w:ascii="PMingLiU" w:hAnsi="PMingLiU"/>
                <w:sz w:val="22"/>
              </w:rPr>
            </w:pPr>
          </w:p>
          <w:p>
            <w:pPr>
              <w:jc w:val="center"/>
              <w:rPr>
                <w:rFonts w:ascii="PMingLiU" w:hAnsi="PMingLiU"/>
                <w:sz w:val="22"/>
              </w:rPr>
            </w:pPr>
          </w:p>
        </w:tc>
        <w:tc>
          <w:tcPr>
            <w:tcW w:w="360" w:type="dxa"/>
            <w:vAlign w:val="top"/>
          </w:tcPr>
          <w:p>
            <w:pPr>
              <w:jc w:val="center"/>
              <w:rPr>
                <w:rFonts w:ascii="PMingLiU" w:hAnsi="PMingLiU"/>
                <w:sz w:val="22"/>
              </w:rPr>
            </w:pPr>
          </w:p>
        </w:tc>
        <w:tc>
          <w:tcPr>
            <w:tcW w:w="3008" w:type="dxa"/>
            <w:tcBorders>
              <w:bottom w:val="single" w:color="auto" w:sz="4" w:space="0"/>
            </w:tcBorders>
            <w:vAlign w:val="top"/>
          </w:tcPr>
          <w:p>
            <w:pPr>
              <w:jc w:val="center"/>
              <w:rPr>
                <w:rFonts w:ascii="PMingLiU" w:hAnsi="PMingLiU"/>
                <w:sz w:val="22"/>
              </w:rPr>
            </w:pPr>
          </w:p>
          <w:p>
            <w:pPr>
              <w:jc w:val="center"/>
              <w:rPr>
                <w:rFonts w:ascii="PMingLiU" w:hAnsi="PMingLiU"/>
                <w:sz w:val="22"/>
              </w:rPr>
            </w:pPr>
          </w:p>
          <w:p>
            <w:pPr>
              <w:jc w:val="center"/>
              <w:rPr>
                <w:rFonts w:ascii="PMingLiU" w:hAnsi="PMingLiU"/>
                <w:sz w:val="22"/>
              </w:rPr>
            </w:pPr>
            <w:r>
              <w:rPr>
                <w:rFonts w:hint="eastAsia" w:ascii="PMingLiU" w:hAnsi="PMingLiU"/>
                <w:sz w:val="22"/>
                <w:szCs w:val="22"/>
              </w:rPr>
              <w:t>不適用</w:t>
            </w:r>
          </w:p>
          <w:p>
            <w:pPr>
              <w:jc w:val="center"/>
              <w:rPr>
                <w:rFonts w:ascii="PMingLiU" w:hAnsi="PMingLiU"/>
                <w:sz w:val="22"/>
              </w:rPr>
            </w:pPr>
          </w:p>
        </w:tc>
        <w:tc>
          <w:tcPr>
            <w:tcW w:w="242" w:type="dxa"/>
            <w:tcBorders>
              <w:right w:val="single" w:color="auto" w:sz="4" w:space="0"/>
            </w:tcBorders>
            <w:vAlign w:val="top"/>
          </w:tcPr>
          <w:p>
            <w:pPr>
              <w:spacing w:line="216" w:lineRule="auto"/>
              <w:rPr>
                <w:rFonts w:ascii="PMingLiU" w:hAnsi="PMingLi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30" w:hRule="atLeast"/>
        </w:trPr>
        <w:tc>
          <w:tcPr>
            <w:tcW w:w="1174" w:type="dxa"/>
            <w:tcBorders>
              <w:left w:val="single" w:color="auto" w:sz="4" w:space="0"/>
            </w:tcBorders>
            <w:vAlign w:val="bottom"/>
          </w:tcPr>
          <w:p>
            <w:pPr>
              <w:rPr>
                <w:rFonts w:ascii="PMingLiU" w:hAnsi="PMingLiU"/>
                <w:sz w:val="22"/>
              </w:rPr>
            </w:pPr>
            <w:r>
              <w:rPr>
                <w:rFonts w:hint="eastAsia" w:ascii="PMingLiU" w:hAnsi="PMingLiU"/>
                <w:sz w:val="22"/>
                <w:szCs w:val="22"/>
              </w:rPr>
              <w:t>合共</w:t>
            </w:r>
          </w:p>
        </w:tc>
        <w:tc>
          <w:tcPr>
            <w:tcW w:w="236" w:type="dxa"/>
            <w:vAlign w:val="top"/>
          </w:tcPr>
          <w:p>
            <w:pPr>
              <w:jc w:val="both"/>
              <w:rPr>
                <w:rFonts w:ascii="PMingLiU" w:hAnsi="PMingLiU"/>
                <w:sz w:val="22"/>
              </w:rPr>
            </w:pPr>
          </w:p>
        </w:tc>
        <w:tc>
          <w:tcPr>
            <w:tcW w:w="1584" w:type="dxa"/>
            <w:tcBorders>
              <w:top w:val="single" w:color="auto" w:sz="4" w:space="0"/>
              <w:bottom w:val="single" w:color="auto" w:sz="4" w:space="0"/>
            </w:tcBorders>
            <w:vAlign w:val="top"/>
          </w:tcPr>
          <w:p>
            <w:pPr>
              <w:jc w:val="both"/>
              <w:rPr>
                <w:rFonts w:ascii="PMingLiU" w:hAnsi="PMingLiU"/>
                <w:sz w:val="22"/>
              </w:rPr>
            </w:pPr>
          </w:p>
          <w:p>
            <w:pPr>
              <w:jc w:val="center"/>
              <w:rPr>
                <w:rFonts w:ascii="PMingLiU" w:hAnsi="PMingLiU"/>
                <w:sz w:val="22"/>
              </w:rPr>
            </w:pPr>
            <w:r>
              <w:rPr>
                <w:rFonts w:hint="eastAsia" w:ascii="PMingLiU" w:hAnsi="PMingLiU"/>
                <w:sz w:val="22"/>
                <w:szCs w:val="22"/>
              </w:rPr>
              <w:t>不適用</w:t>
            </w:r>
          </w:p>
        </w:tc>
        <w:tc>
          <w:tcPr>
            <w:tcW w:w="360" w:type="dxa"/>
            <w:vAlign w:val="top"/>
          </w:tcPr>
          <w:p>
            <w:pPr>
              <w:jc w:val="both"/>
              <w:rPr>
                <w:rFonts w:ascii="PMingLiU" w:hAnsi="PMingLiU"/>
                <w:sz w:val="22"/>
              </w:rPr>
            </w:pPr>
          </w:p>
        </w:tc>
        <w:tc>
          <w:tcPr>
            <w:tcW w:w="3008" w:type="dxa"/>
            <w:vAlign w:val="top"/>
          </w:tcPr>
          <w:p>
            <w:pPr>
              <w:jc w:val="both"/>
              <w:rPr>
                <w:rFonts w:ascii="PMingLiU" w:hAnsi="PMingLiU"/>
                <w:sz w:val="22"/>
              </w:rPr>
            </w:pPr>
          </w:p>
        </w:tc>
        <w:tc>
          <w:tcPr>
            <w:tcW w:w="360" w:type="dxa"/>
            <w:vAlign w:val="top"/>
          </w:tcPr>
          <w:p>
            <w:pPr>
              <w:jc w:val="both"/>
              <w:rPr>
                <w:rFonts w:ascii="PMingLiU" w:hAnsi="PMingLiU"/>
                <w:sz w:val="22"/>
              </w:rPr>
            </w:pPr>
          </w:p>
        </w:tc>
        <w:tc>
          <w:tcPr>
            <w:tcW w:w="2527" w:type="dxa"/>
            <w:vAlign w:val="top"/>
          </w:tcPr>
          <w:p>
            <w:pPr>
              <w:jc w:val="both"/>
              <w:rPr>
                <w:rFonts w:ascii="PMingLiU" w:hAnsi="PMingLiU"/>
                <w:sz w:val="22"/>
              </w:rPr>
            </w:pPr>
          </w:p>
        </w:tc>
        <w:tc>
          <w:tcPr>
            <w:tcW w:w="360" w:type="dxa"/>
            <w:vAlign w:val="top"/>
          </w:tcPr>
          <w:p>
            <w:pPr>
              <w:jc w:val="both"/>
              <w:rPr>
                <w:rFonts w:ascii="PMingLiU" w:hAnsi="PMingLiU"/>
                <w:sz w:val="22"/>
              </w:rPr>
            </w:pPr>
          </w:p>
        </w:tc>
        <w:tc>
          <w:tcPr>
            <w:tcW w:w="2285" w:type="dxa"/>
            <w:gridSpan w:val="2"/>
            <w:vAlign w:val="top"/>
          </w:tcPr>
          <w:p>
            <w:pPr>
              <w:jc w:val="both"/>
              <w:rPr>
                <w:rFonts w:ascii="PMingLiU" w:hAnsi="PMingLiU"/>
                <w:sz w:val="22"/>
              </w:rPr>
            </w:pPr>
          </w:p>
        </w:tc>
        <w:tc>
          <w:tcPr>
            <w:tcW w:w="360" w:type="dxa"/>
            <w:vAlign w:val="top"/>
          </w:tcPr>
          <w:p>
            <w:pPr>
              <w:jc w:val="both"/>
              <w:rPr>
                <w:rFonts w:ascii="PMingLiU" w:hAnsi="PMingLiU"/>
                <w:sz w:val="22"/>
              </w:rPr>
            </w:pPr>
          </w:p>
        </w:tc>
        <w:tc>
          <w:tcPr>
            <w:tcW w:w="3008" w:type="dxa"/>
            <w:tcBorders>
              <w:top w:val="single" w:color="auto" w:sz="4" w:space="0"/>
              <w:bottom w:val="single" w:color="auto" w:sz="4" w:space="0"/>
            </w:tcBorders>
            <w:vAlign w:val="top"/>
          </w:tcPr>
          <w:p>
            <w:pPr>
              <w:jc w:val="center"/>
              <w:rPr>
                <w:rFonts w:ascii="PMingLiU" w:hAnsi="PMingLiU"/>
                <w:sz w:val="22"/>
              </w:rPr>
            </w:pPr>
          </w:p>
          <w:p>
            <w:pPr>
              <w:pStyle w:val="10"/>
              <w:adjustRightInd/>
              <w:spacing w:line="240" w:lineRule="auto"/>
              <w:jc w:val="center"/>
              <w:rPr>
                <w:rFonts w:ascii="PMingLiU" w:hAnsi="PMingLiU"/>
                <w:lang w:eastAsia="zh-CN"/>
              </w:rPr>
            </w:pPr>
            <w:r>
              <w:rPr>
                <w:rFonts w:hint="eastAsia" w:ascii="PMingLiU" w:hAnsi="PMingLiU"/>
              </w:rPr>
              <w:t>不適用</w:t>
            </w:r>
          </w:p>
          <w:p>
            <w:pPr>
              <w:pStyle w:val="10"/>
              <w:adjustRightInd/>
              <w:spacing w:line="240" w:lineRule="auto"/>
              <w:jc w:val="center"/>
              <w:rPr>
                <w:rFonts w:ascii="PMingLiU" w:hAnsi="PMingLiU"/>
                <w:kern w:val="2"/>
                <w:lang w:eastAsia="zh-CN"/>
              </w:rPr>
            </w:pPr>
          </w:p>
        </w:tc>
        <w:tc>
          <w:tcPr>
            <w:tcW w:w="242" w:type="dxa"/>
            <w:tcBorders>
              <w:right w:val="single" w:color="auto" w:sz="4" w:space="0"/>
            </w:tcBorders>
            <w:vAlign w:val="top"/>
          </w:tcPr>
          <w:p>
            <w:pPr>
              <w:spacing w:line="216" w:lineRule="auto"/>
              <w:jc w:val="center"/>
              <w:rPr>
                <w:rFonts w:ascii="PMingLiU" w:hAnsi="PMingLi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0" w:hRule="atLeast"/>
        </w:trPr>
        <w:tc>
          <w:tcPr>
            <w:tcW w:w="15504" w:type="dxa"/>
            <w:gridSpan w:val="13"/>
            <w:tcBorders>
              <w:top w:val="nil"/>
              <w:bottom w:val="nil"/>
            </w:tcBorders>
            <w:vAlign w:val="top"/>
          </w:tcPr>
          <w:p>
            <w:pPr>
              <w:pBdr>
                <w:left w:val="single" w:color="auto" w:sz="4" w:space="5"/>
                <w:right w:val="single" w:color="auto" w:sz="4" w:space="4"/>
              </w:pBdr>
              <w:ind w:left="720" w:hanging="720"/>
              <w:jc w:val="both"/>
              <w:rPr>
                <w:rFonts w:ascii="PMingLiU" w:hAnsi="PMingLiU"/>
                <w:sz w:val="22"/>
              </w:rPr>
            </w:pPr>
          </w:p>
          <w:p>
            <w:pPr>
              <w:pBdr>
                <w:left w:val="single" w:color="auto" w:sz="4" w:space="5"/>
                <w:right w:val="single" w:color="auto" w:sz="4" w:space="4"/>
              </w:pBdr>
              <w:ind w:left="720" w:hanging="720"/>
              <w:jc w:val="both"/>
              <w:rPr>
                <w:rFonts w:ascii="PMingLiU" w:hAnsi="PMingLiU"/>
                <w:sz w:val="22"/>
              </w:rPr>
            </w:pPr>
          </w:p>
          <w:p>
            <w:pPr>
              <w:pBdr>
                <w:left w:val="single" w:color="auto" w:sz="4" w:space="5"/>
                <w:right w:val="single" w:color="auto" w:sz="4" w:space="4"/>
              </w:pBdr>
              <w:ind w:left="720" w:hanging="720"/>
              <w:jc w:val="both"/>
              <w:rPr>
                <w:rFonts w:ascii="PMingLiU" w:hAnsi="PMingLiU"/>
                <w:sz w:val="22"/>
              </w:rPr>
            </w:pPr>
            <w:r>
              <w:rPr>
                <w:rFonts w:ascii="PMingLiU" w:hAnsi="PMingLiU"/>
                <w:sz w:val="22"/>
                <w:szCs w:val="22"/>
              </w:rPr>
              <w:t>B.</w:t>
            </w:r>
            <w:r>
              <w:rPr>
                <w:rFonts w:ascii="PMingLiU" w:hAnsi="PMingLiU"/>
                <w:sz w:val="22"/>
                <w:szCs w:val="22"/>
              </w:rPr>
              <w:tab/>
            </w:r>
            <w:r>
              <w:rPr>
                <w:rFonts w:hint="eastAsia" w:ascii="PMingLiU" w:hAnsi="PMingLiU"/>
                <w:sz w:val="22"/>
                <w:szCs w:val="22"/>
              </w:rPr>
              <w:t>以貴交易所為第一上市地的發行人的其他資料</w:t>
            </w:r>
          </w:p>
          <w:p>
            <w:pPr>
              <w:pBdr>
                <w:left w:val="single" w:color="auto" w:sz="4" w:space="5"/>
                <w:right w:val="single" w:color="auto" w:sz="4" w:space="4"/>
              </w:pBdr>
              <w:ind w:left="720" w:hanging="720"/>
              <w:jc w:val="both"/>
              <w:rPr>
                <w:rFonts w:ascii="PMingLiU" w:hAnsi="PMingLiU"/>
                <w:sz w:val="22"/>
                <w:shd w:val="clear" w:color="auto" w:fill="E0E0E0"/>
              </w:rPr>
            </w:pPr>
          </w:p>
          <w:p>
            <w:pPr>
              <w:spacing w:line="216" w:lineRule="auto"/>
              <w:jc w:val="center"/>
              <w:rPr>
                <w:rFonts w:ascii="PMingLiU" w:hAnsi="PMingLi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9747" w:type="dxa"/>
            <w:gridSpan w:val="9"/>
            <w:tcBorders>
              <w:left w:val="single" w:color="auto" w:sz="4" w:space="0"/>
            </w:tcBorders>
            <w:vAlign w:val="top"/>
          </w:tcPr>
          <w:p>
            <w:pPr>
              <w:jc w:val="both"/>
              <w:rPr>
                <w:rFonts w:ascii="PMingLiU" w:hAnsi="PMingLiU"/>
                <w:iCs/>
                <w:sz w:val="22"/>
              </w:rPr>
            </w:pPr>
            <w:r>
              <w:rPr>
                <w:rFonts w:ascii="PMingLiU" w:hAnsi="PMingLiU"/>
                <w:sz w:val="22"/>
                <w:szCs w:val="22"/>
              </w:rPr>
              <w:t xml:space="preserve">1. </w:t>
            </w:r>
            <w:r>
              <w:rPr>
                <w:rFonts w:hint="eastAsia" w:ascii="PMingLiU" w:hAnsi="PMingLiU"/>
                <w:sz w:val="22"/>
                <w:szCs w:val="22"/>
              </w:rPr>
              <w:t>本年內至今天為止 (自普通決議案通過以來) 在貴交易所購回該等證券的數目</w:t>
            </w:r>
          </w:p>
        </w:tc>
        <w:tc>
          <w:tcPr>
            <w:tcW w:w="5757" w:type="dxa"/>
            <w:gridSpan w:val="4"/>
            <w:tcBorders>
              <w:right w:val="single" w:color="auto" w:sz="4" w:space="0"/>
            </w:tcBorders>
            <w:vAlign w:val="top"/>
          </w:tcPr>
          <w:p>
            <w:pPr>
              <w:widowControl/>
              <w:autoSpaceDE w:val="0"/>
              <w:autoSpaceDN w:val="0"/>
              <w:adjustRightInd w:val="0"/>
              <w:jc w:val="right"/>
              <w:rPr>
                <w:rFonts w:ascii="PMingLiU" w:hAnsi="PMingLiU"/>
                <w:sz w:val="22"/>
                <w:shd w:val="clear" w:color="auto" w:fill="E0E0E0"/>
              </w:rPr>
            </w:pPr>
            <w:r>
              <w:rPr>
                <w:rFonts w:ascii="PMingLiU" w:hAnsi="PMingLiU"/>
                <w:sz w:val="22"/>
                <w:szCs w:val="22"/>
              </w:rPr>
              <w:t>(a) __</w:t>
            </w:r>
            <w:r>
              <w:rPr>
                <w:rFonts w:hint="eastAsia" w:ascii="PMingLiU" w:hAnsi="PMingLiU"/>
                <w:sz w:val="22"/>
                <w:szCs w:val="22"/>
                <w:u w:val="single"/>
              </w:rPr>
              <w:t>不適用</w:t>
            </w:r>
            <w:r>
              <w:rPr>
                <w:rFonts w:ascii="PMingLiU" w:hAnsi="PMingLiU"/>
                <w:sz w:val="22"/>
                <w:szCs w:val="22"/>
              </w:rPr>
              <w:t>_____</w:t>
            </w:r>
          </w:p>
          <w:p>
            <w:pPr>
              <w:tabs>
                <w:tab w:val="left" w:pos="342"/>
              </w:tabs>
              <w:jc w:val="both"/>
              <w:rPr>
                <w:rFonts w:ascii="PMingLiU" w:hAnsi="PMingLiU"/>
                <w:iCs/>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9747" w:type="dxa"/>
            <w:gridSpan w:val="9"/>
            <w:tcBorders>
              <w:left w:val="single" w:color="auto" w:sz="4" w:space="0"/>
            </w:tcBorders>
            <w:vAlign w:val="top"/>
          </w:tcPr>
          <w:p>
            <w:pPr>
              <w:ind w:left="720" w:hanging="720"/>
              <w:rPr>
                <w:rFonts w:ascii="PMingLiU" w:hAnsi="PMingLiU"/>
                <w:sz w:val="22"/>
                <w:lang w:eastAsia="zh-CN"/>
              </w:rPr>
            </w:pPr>
          </w:p>
          <w:p>
            <w:pPr>
              <w:ind w:left="720" w:hanging="720"/>
              <w:rPr>
                <w:rFonts w:ascii="PMingLiU" w:hAnsi="PMingLiU"/>
                <w:sz w:val="22"/>
                <w:shd w:val="clear" w:color="auto" w:fill="E0E0E0"/>
              </w:rPr>
            </w:pPr>
            <w:r>
              <w:rPr>
                <w:rFonts w:ascii="PMingLiU" w:hAnsi="PMingLiU"/>
                <w:sz w:val="22"/>
                <w:szCs w:val="22"/>
              </w:rPr>
              <w:t xml:space="preserve">2. </w:t>
            </w:r>
            <w:r>
              <w:rPr>
                <w:rFonts w:hint="eastAsia" w:ascii="PMingLiU" w:hAnsi="PMingLiU"/>
                <w:sz w:val="22"/>
                <w:szCs w:val="22"/>
              </w:rPr>
              <w:t>自決議案通過日期以來在貴交易所購回的證券佔於普通決議案通過時已發行股份數目的百分比</w:t>
            </w:r>
          </w:p>
          <w:p>
            <w:pPr>
              <w:widowControl/>
              <w:autoSpaceDE w:val="0"/>
              <w:autoSpaceDN w:val="0"/>
              <w:adjustRightInd w:val="0"/>
              <w:rPr>
                <w:rFonts w:ascii="PMingLiU" w:hAnsi="PMingLiU"/>
                <w:kern w:val="0"/>
                <w:sz w:val="17"/>
                <w:szCs w:val="17"/>
              </w:rPr>
            </w:pPr>
          </w:p>
          <w:p>
            <w:pPr>
              <w:widowControl/>
              <w:autoSpaceDE w:val="0"/>
              <w:autoSpaceDN w:val="0"/>
              <w:adjustRightInd w:val="0"/>
              <w:rPr>
                <w:rFonts w:ascii="PMingLiU" w:hAnsi="PMingLiU"/>
                <w:kern w:val="0"/>
                <w:sz w:val="17"/>
                <w:szCs w:val="17"/>
              </w:rPr>
            </w:pPr>
          </w:p>
          <w:p>
            <w:pPr>
              <w:widowControl/>
              <w:autoSpaceDE w:val="0"/>
              <w:autoSpaceDN w:val="0"/>
              <w:adjustRightInd w:val="0"/>
              <w:jc w:val="center"/>
              <w:rPr>
                <w:rFonts w:ascii="PMingLiU" w:hAnsi="PMingLiU"/>
                <w:sz w:val="22"/>
                <w:shd w:val="clear" w:color="auto" w:fill="E0E0E0"/>
              </w:rPr>
            </w:pPr>
            <w:r>
              <w:rPr>
                <w:rFonts w:ascii="PMingLiU" w:hAnsi="PMingLiU"/>
                <w:sz w:val="22"/>
                <w:szCs w:val="22"/>
              </w:rPr>
              <w:t>( (a) x 100 )</w:t>
            </w:r>
          </w:p>
          <w:p>
            <w:pPr>
              <w:widowControl/>
              <w:autoSpaceDE w:val="0"/>
              <w:autoSpaceDN w:val="0"/>
              <w:adjustRightInd w:val="0"/>
              <w:jc w:val="center"/>
              <w:rPr>
                <w:rFonts w:ascii="PMingLiU" w:hAnsi="PMingLiU"/>
                <w:kern w:val="0"/>
                <w:sz w:val="2"/>
                <w:szCs w:val="2"/>
              </w:rPr>
            </w:pPr>
            <w:r>
              <w:rPr>
                <w:rFonts w:ascii="PMingLiU" w:hAnsi="PMingLiU"/>
                <w:kern w:val="0"/>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center"/>
              <w:rPr>
                <w:rFonts w:ascii="PMingLiU" w:hAnsi="PMingLiU"/>
                <w:iCs/>
                <w:sz w:val="22"/>
              </w:rPr>
            </w:pPr>
            <w:r>
              <w:rPr>
                <w:rFonts w:hint="eastAsia" w:ascii="PMingLiU" w:hAnsi="PMingLiU"/>
                <w:sz w:val="22"/>
                <w:szCs w:val="22"/>
              </w:rPr>
              <w:t>已發行股份數目</w:t>
            </w:r>
          </w:p>
        </w:tc>
        <w:tc>
          <w:tcPr>
            <w:tcW w:w="5757" w:type="dxa"/>
            <w:gridSpan w:val="4"/>
            <w:tcBorders>
              <w:right w:val="single" w:color="auto" w:sz="4" w:space="0"/>
            </w:tcBorders>
            <w:vAlign w:val="top"/>
          </w:tcPr>
          <w:p>
            <w:pPr>
              <w:widowControl/>
              <w:autoSpaceDE w:val="0"/>
              <w:autoSpaceDN w:val="0"/>
              <w:adjustRightInd w:val="0"/>
              <w:jc w:val="right"/>
              <w:rPr>
                <w:rFonts w:ascii="PMingLiU" w:hAnsi="PMingLiU"/>
                <w:sz w:val="22"/>
                <w:lang w:eastAsia="zh-CN"/>
              </w:rPr>
            </w:pPr>
          </w:p>
          <w:p>
            <w:pPr>
              <w:widowControl/>
              <w:autoSpaceDE w:val="0"/>
              <w:autoSpaceDN w:val="0"/>
              <w:adjustRightInd w:val="0"/>
              <w:jc w:val="right"/>
              <w:rPr>
                <w:rFonts w:ascii="PMingLiU" w:hAnsi="PMingLiU"/>
                <w:sz w:val="22"/>
                <w:shd w:val="clear" w:color="auto" w:fill="E0E0E0"/>
              </w:rPr>
            </w:pPr>
            <w:r>
              <w:rPr>
                <w:rFonts w:ascii="PMingLiU" w:hAnsi="PMingLiU"/>
                <w:sz w:val="22"/>
                <w:szCs w:val="22"/>
              </w:rPr>
              <w:t>__</w:t>
            </w:r>
            <w:r>
              <w:rPr>
                <w:rFonts w:hint="eastAsia" w:ascii="PMingLiU" w:hAnsi="PMingLiU"/>
                <w:sz w:val="22"/>
                <w:szCs w:val="22"/>
                <w:u w:val="single"/>
              </w:rPr>
              <w:t>不適用</w:t>
            </w:r>
            <w:r>
              <w:rPr>
                <w:rFonts w:ascii="PMingLiU" w:hAnsi="PMingLiU"/>
                <w:sz w:val="22"/>
                <w:szCs w:val="22"/>
              </w:rPr>
              <w:t>___%</w:t>
            </w:r>
          </w:p>
          <w:p>
            <w:pPr>
              <w:jc w:val="both"/>
              <w:rPr>
                <w:rFonts w:ascii="PMingLiU" w:hAnsi="PMingLiU"/>
                <w:i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0" w:hRule="atLeast"/>
        </w:trPr>
        <w:tc>
          <w:tcPr>
            <w:tcW w:w="15504" w:type="dxa"/>
            <w:gridSpan w:val="13"/>
            <w:tcBorders>
              <w:top w:val="nil"/>
              <w:bottom w:val="nil"/>
            </w:tcBorders>
            <w:vAlign w:val="top"/>
          </w:tcPr>
          <w:p>
            <w:pPr>
              <w:pBdr>
                <w:left w:val="single" w:color="auto" w:sz="4" w:space="4"/>
                <w:bottom w:val="single" w:color="auto" w:sz="4" w:space="1"/>
                <w:right w:val="single" w:color="auto" w:sz="4" w:space="4"/>
              </w:pBdr>
              <w:jc w:val="both"/>
              <w:rPr>
                <w:rFonts w:ascii="PMingLiU" w:hAnsi="PMingLiU"/>
                <w:iCs/>
                <w:sz w:val="20"/>
                <w:lang w:eastAsia="zh-CN"/>
              </w:rPr>
            </w:pPr>
          </w:p>
          <w:p>
            <w:pPr>
              <w:pBdr>
                <w:left w:val="single" w:color="auto" w:sz="4" w:space="4"/>
                <w:bottom w:val="single" w:color="auto" w:sz="4" w:space="1"/>
                <w:right w:val="single" w:color="auto" w:sz="4" w:space="4"/>
              </w:pBdr>
              <w:jc w:val="both"/>
              <w:rPr>
                <w:rFonts w:ascii="PMingLiU" w:hAnsi="PMingLiU"/>
                <w:iCs/>
                <w:sz w:val="20"/>
                <w:lang w:eastAsia="zh-CN"/>
              </w:rPr>
            </w:pPr>
          </w:p>
          <w:p>
            <w:pPr>
              <w:widowControl/>
              <w:pBdr>
                <w:left w:val="single" w:color="auto" w:sz="4" w:space="4"/>
                <w:bottom w:val="single" w:color="auto" w:sz="4" w:space="1"/>
                <w:right w:val="single" w:color="auto" w:sz="4" w:space="4"/>
              </w:pBdr>
              <w:autoSpaceDE w:val="0"/>
              <w:autoSpaceDN w:val="0"/>
              <w:adjustRightInd w:val="0"/>
              <w:jc w:val="both"/>
              <w:rPr>
                <w:rFonts w:ascii="PMingLiU" w:hAnsi="PMingLiU"/>
                <w:iCs/>
                <w:sz w:val="22"/>
              </w:rPr>
            </w:pPr>
            <w:r>
              <w:rPr>
                <w:rFonts w:hint="eastAsia" w:ascii="PMingLiU" w:hAnsi="PMingLiU"/>
                <w:sz w:val="22"/>
                <w:szCs w:val="22"/>
              </w:rPr>
              <w:t>我們確認</w:t>
            </w:r>
            <w:r>
              <w:rPr>
                <w:rFonts w:hint="eastAsia" w:ascii="PMingLiU" w:hAnsi="PMingLiU"/>
                <w:iCs/>
                <w:sz w:val="20"/>
              </w:rPr>
              <w:t>，</w:t>
            </w:r>
            <w:r>
              <w:rPr>
                <w:rFonts w:hint="eastAsia" w:ascii="PMingLiU" w:hAnsi="PMingLiU"/>
                <w:sz w:val="22"/>
                <w:szCs w:val="22"/>
              </w:rPr>
              <w:t>上文</w:t>
            </w:r>
            <w:r>
              <w:rPr>
                <w:rFonts w:ascii="PMingLiU" w:hAnsi="PMingLiU"/>
                <w:sz w:val="22"/>
                <w:szCs w:val="22"/>
              </w:rPr>
              <w:t>A</w:t>
            </w:r>
            <w:r>
              <w:rPr>
                <w:rFonts w:hint="eastAsia" w:ascii="PMingLiU" w:hAnsi="PMingLiU"/>
                <w:sz w:val="22"/>
                <w:szCs w:val="22"/>
              </w:rPr>
              <w:t>部所述於貴交易所進行的購回是根據《上市規則》的規定進行，而已呈交貴交易所日期為_______</w:t>
            </w:r>
            <w:r>
              <w:rPr>
                <w:rFonts w:hint="eastAsia" w:ascii="PMingLiU" w:hAnsi="PMingLiU"/>
                <w:sz w:val="22"/>
                <w:szCs w:val="22"/>
                <w:u w:val="single"/>
              </w:rPr>
              <w:t>不適用</w:t>
            </w:r>
            <w:r>
              <w:rPr>
                <w:rFonts w:hint="eastAsia" w:ascii="PMingLiU" w:hAnsi="PMingLiU"/>
                <w:sz w:val="22"/>
                <w:szCs w:val="22"/>
              </w:rPr>
              <w:t>_____________的說明函件所載資料並無任何重大變動。我們亦確認</w:t>
            </w:r>
            <w:r>
              <w:rPr>
                <w:rFonts w:hint="eastAsia" w:ascii="PMingLiU" w:hAnsi="PMingLiU"/>
                <w:iCs/>
                <w:sz w:val="20"/>
              </w:rPr>
              <w:t>，</w:t>
            </w:r>
            <w:r>
              <w:rPr>
                <w:rFonts w:hint="eastAsia" w:ascii="PMingLiU" w:hAnsi="PMingLiU"/>
                <w:sz w:val="22"/>
                <w:szCs w:val="22"/>
              </w:rPr>
              <w:t>上文</w:t>
            </w:r>
            <w:r>
              <w:rPr>
                <w:rFonts w:ascii="PMingLiU" w:hAnsi="PMingLiU"/>
                <w:sz w:val="22"/>
                <w:szCs w:val="22"/>
              </w:rPr>
              <w:t>A</w:t>
            </w:r>
            <w:r>
              <w:rPr>
                <w:rFonts w:hint="eastAsia" w:ascii="PMingLiU" w:hAnsi="PMingLiU"/>
                <w:sz w:val="22"/>
                <w:szCs w:val="22"/>
              </w:rPr>
              <w:t>部所述於另一家證券交易所進行的購股活動，是根據當地有關在該交易所購入股份的適用規則進行。</w:t>
            </w:r>
          </w:p>
        </w:tc>
      </w:tr>
    </w:tbl>
    <w:p>
      <w:pPr>
        <w:rPr>
          <w:rFonts w:ascii="PMingLiU" w:hAnsi="PMingLiU"/>
        </w:rPr>
      </w:pPr>
    </w:p>
    <w:p>
      <w:pPr>
        <w:jc w:val="both"/>
        <w:rPr>
          <w:rFonts w:ascii="PMingLiU" w:hAnsi="PMingLiU"/>
          <w:iCs/>
          <w:sz w:val="22"/>
          <w:szCs w:val="22"/>
        </w:rPr>
      </w:pPr>
    </w:p>
    <w:p>
      <w:pPr>
        <w:jc w:val="both"/>
        <w:rPr>
          <w:rFonts w:ascii="PMingLiU" w:hAnsi="PMingLiU"/>
          <w:i/>
          <w:iCs/>
          <w:sz w:val="20"/>
          <w:szCs w:val="20"/>
        </w:rPr>
      </w:pPr>
      <w:r>
        <w:rPr>
          <w:rFonts w:ascii="PMingLiU" w:hAnsi="PMingLiU"/>
          <w:i/>
          <w:iCs/>
          <w:sz w:val="20"/>
          <w:szCs w:val="20"/>
        </w:rPr>
        <w:t>II</w:t>
      </w:r>
      <w:r>
        <w:rPr>
          <w:rFonts w:hint="eastAsia" w:ascii="PMingLiU" w:hAnsi="PMingLiU"/>
          <w:i/>
          <w:iCs/>
          <w:sz w:val="20"/>
          <w:szCs w:val="20"/>
        </w:rPr>
        <w:t xml:space="preserve">部註釋：請註明是於本交易所、另一家證券交易所 (列明交易所名稱)、以私人安排方式或以全面收購方式進行。 </w:t>
      </w:r>
    </w:p>
    <w:p>
      <w:pPr>
        <w:pStyle w:val="4"/>
        <w:tabs>
          <w:tab w:val="right" w:pos="2040"/>
          <w:tab w:val="left" w:pos="2250"/>
        </w:tabs>
        <w:ind w:left="0"/>
        <w:rPr>
          <w:rFonts w:ascii="PMingLiU" w:hAnsi="PMingLiU"/>
          <w:sz w:val="22"/>
          <w:szCs w:val="22"/>
        </w:rPr>
      </w:pPr>
      <w:r>
        <w:rPr>
          <w:rFonts w:ascii="PMingLiU" w:hAnsi="PMingLiU"/>
          <w:sz w:val="22"/>
          <w:szCs w:val="22"/>
        </w:rPr>
        <w:tab/>
      </w:r>
    </w:p>
    <w:p>
      <w:pPr>
        <w:pStyle w:val="4"/>
        <w:tabs>
          <w:tab w:val="right" w:pos="2040"/>
          <w:tab w:val="left" w:pos="2250"/>
        </w:tabs>
        <w:ind w:left="0"/>
        <w:rPr>
          <w:rFonts w:ascii="PMingLiU" w:hAnsi="PMingLiU"/>
          <w:sz w:val="22"/>
          <w:szCs w:val="22"/>
        </w:rPr>
      </w:pPr>
    </w:p>
    <w:p>
      <w:pPr>
        <w:pStyle w:val="4"/>
        <w:tabs>
          <w:tab w:val="right" w:pos="2040"/>
          <w:tab w:val="left" w:pos="2250"/>
        </w:tabs>
        <w:ind w:left="0"/>
        <w:rPr>
          <w:rFonts w:ascii="PMingLiU" w:hAnsi="PMingLiU"/>
          <w:sz w:val="22"/>
          <w:szCs w:val="22"/>
        </w:rPr>
      </w:pPr>
      <w:r>
        <w:rPr>
          <w:rFonts w:ascii="PMingLiU" w:hAnsi="PMingLiU"/>
          <w:sz w:val="22"/>
          <w:szCs w:val="22"/>
        </w:rPr>
        <w:tab/>
      </w:r>
      <w:r>
        <w:rPr>
          <w:rFonts w:hint="eastAsia" w:ascii="PMingLiU" w:hAnsi="PMingLiU"/>
          <w:sz w:val="22"/>
          <w:szCs w:val="22"/>
        </w:rPr>
        <w:t>呈交者：</w:t>
      </w:r>
      <w:r>
        <w:rPr>
          <w:rFonts w:ascii="PMingLiU" w:hAnsi="PMingLiU"/>
          <w:sz w:val="22"/>
          <w:szCs w:val="22"/>
        </w:rPr>
        <w:tab/>
      </w:r>
      <w:r>
        <w:rPr>
          <w:rFonts w:ascii="PMingLiU" w:hAnsi="PMingLiU"/>
          <w:sz w:val="22"/>
          <w:szCs w:val="22"/>
        </w:rPr>
        <w:t>____</w:t>
      </w:r>
      <w:r>
        <w:rPr>
          <w:rFonts w:hint="eastAsia" w:ascii="PMingLiU" w:hAnsi="PMingLiU"/>
          <w:sz w:val="22"/>
          <w:szCs w:val="22"/>
          <w:u w:val="single"/>
        </w:rPr>
        <w:t>曹長求</w:t>
      </w:r>
      <w:r>
        <w:rPr>
          <w:rFonts w:ascii="PMingLiU" w:hAnsi="PMingLiU"/>
          <w:sz w:val="22"/>
          <w:szCs w:val="22"/>
        </w:rPr>
        <w:t>________________________________</w:t>
      </w:r>
    </w:p>
    <w:p>
      <w:pPr>
        <w:pStyle w:val="4"/>
        <w:tabs>
          <w:tab w:val="left" w:pos="840"/>
          <w:tab w:val="left" w:pos="2280"/>
        </w:tabs>
        <w:ind w:left="0"/>
        <w:rPr>
          <w:rFonts w:ascii="PMingLiU" w:hAnsi="PMingLiU"/>
          <w:sz w:val="22"/>
          <w:szCs w:val="22"/>
        </w:rPr>
      </w:pPr>
      <w:r>
        <w:rPr>
          <w:rFonts w:ascii="PMingLiU" w:hAnsi="PMingLiU"/>
          <w:sz w:val="22"/>
          <w:szCs w:val="22"/>
        </w:rPr>
        <w:tab/>
      </w:r>
      <w:r>
        <w:rPr>
          <w:rFonts w:hint="eastAsia" w:ascii="PMingLiU" w:hAnsi="PMingLiU"/>
          <w:sz w:val="22"/>
          <w:szCs w:val="22"/>
        </w:rPr>
        <w:tab/>
      </w:r>
      <w:r>
        <w:rPr>
          <w:rFonts w:ascii="PMingLiU" w:hAnsi="PMingLiU"/>
          <w:sz w:val="22"/>
          <w:szCs w:val="22"/>
        </w:rPr>
        <w:t>(</w:t>
      </w:r>
      <w:r>
        <w:rPr>
          <w:rFonts w:hint="eastAsia" w:ascii="PMingLiU" w:hAnsi="PMingLiU"/>
          <w:sz w:val="22"/>
          <w:szCs w:val="22"/>
        </w:rPr>
        <w:t>姓名</w:t>
      </w:r>
      <w:r>
        <w:rPr>
          <w:rFonts w:ascii="PMingLiU" w:hAnsi="PMingLiU"/>
          <w:sz w:val="22"/>
          <w:szCs w:val="22"/>
        </w:rPr>
        <w:t xml:space="preserve">) </w:t>
      </w:r>
    </w:p>
    <w:p>
      <w:pPr>
        <w:pStyle w:val="4"/>
        <w:tabs>
          <w:tab w:val="right" w:pos="2040"/>
          <w:tab w:val="left" w:pos="2250"/>
        </w:tabs>
        <w:ind w:left="0"/>
        <w:rPr>
          <w:rFonts w:hint="eastAsia" w:ascii="PMingLiU" w:hAnsi="PMingLiU" w:eastAsia="宋体"/>
          <w:sz w:val="22"/>
          <w:szCs w:val="22"/>
          <w:lang w:val="en-US" w:eastAsia="zh-CN"/>
        </w:rPr>
      </w:pPr>
      <w:r>
        <w:rPr>
          <w:rFonts w:hint="eastAsia" w:ascii="PMingLiU" w:hAnsi="PMingLiU" w:eastAsia="宋体"/>
          <w:sz w:val="22"/>
          <w:szCs w:val="22"/>
          <w:lang w:val="en-US" w:eastAsia="zh-CN"/>
        </w:rPr>
        <w:t xml:space="preserve">    </w:t>
      </w:r>
    </w:p>
    <w:p>
      <w:pPr>
        <w:pStyle w:val="4"/>
        <w:tabs>
          <w:tab w:val="right" w:pos="2040"/>
          <w:tab w:val="left" w:pos="2250"/>
        </w:tabs>
        <w:ind w:left="0"/>
        <w:rPr>
          <w:rFonts w:ascii="PMingLiU" w:hAnsi="PMingLiU"/>
          <w:sz w:val="22"/>
          <w:szCs w:val="22"/>
        </w:rPr>
      </w:pPr>
    </w:p>
    <w:p>
      <w:pPr>
        <w:pStyle w:val="4"/>
        <w:tabs>
          <w:tab w:val="left" w:pos="840"/>
        </w:tabs>
        <w:ind w:left="0"/>
        <w:rPr>
          <w:rFonts w:ascii="PMingLiU" w:hAnsi="PMingLiU"/>
          <w:sz w:val="22"/>
          <w:szCs w:val="22"/>
        </w:rPr>
      </w:pPr>
      <w:r>
        <w:rPr>
          <w:rFonts w:ascii="PMingLiU" w:hAnsi="PMingLiU"/>
          <w:sz w:val="22"/>
          <w:szCs w:val="22"/>
        </w:rPr>
        <w:tab/>
      </w:r>
      <w:r>
        <w:rPr>
          <w:rFonts w:hint="eastAsia" w:ascii="PMingLiU" w:hAnsi="PMingLiU"/>
          <w:sz w:val="22"/>
          <w:szCs w:val="22"/>
        </w:rPr>
        <w:tab/>
      </w:r>
      <w:r>
        <w:rPr>
          <w:rFonts w:hint="eastAsia" w:ascii="PMingLiU" w:hAnsi="PMingLiU"/>
          <w:sz w:val="22"/>
          <w:szCs w:val="22"/>
        </w:rPr>
        <w:t>職銜：</w:t>
      </w:r>
      <w:r>
        <w:rPr>
          <w:rFonts w:ascii="PMingLiU" w:hAnsi="PMingLiU"/>
          <w:sz w:val="22"/>
          <w:szCs w:val="22"/>
        </w:rPr>
        <w:tab/>
      </w:r>
      <w:r>
        <w:rPr>
          <w:rFonts w:ascii="PMingLiU" w:hAnsi="PMingLiU"/>
          <w:sz w:val="22"/>
          <w:szCs w:val="22"/>
        </w:rPr>
        <w:t>____</w:t>
      </w:r>
      <w:r>
        <w:rPr>
          <w:rFonts w:ascii="PMingLiU" w:hAnsi="PMingLiU"/>
          <w:sz w:val="22"/>
          <w:szCs w:val="22"/>
          <w:u w:val="single"/>
        </w:rPr>
        <w:t>_</w:t>
      </w:r>
      <w:r>
        <w:rPr>
          <w:rFonts w:hint="eastAsia" w:ascii="PMingLiU" w:hAnsi="PMingLiU"/>
          <w:sz w:val="22"/>
          <w:szCs w:val="22"/>
          <w:u w:val="single"/>
        </w:rPr>
        <w:t>公司秘書</w:t>
      </w:r>
      <w:r>
        <w:rPr>
          <w:rFonts w:ascii="PMingLiU" w:hAnsi="PMingLiU"/>
          <w:sz w:val="22"/>
          <w:szCs w:val="22"/>
          <w:u w:val="single"/>
        </w:rPr>
        <w:t>___</w:t>
      </w:r>
      <w:r>
        <w:rPr>
          <w:rFonts w:ascii="PMingLiU" w:hAnsi="PMingLiU"/>
          <w:sz w:val="22"/>
          <w:szCs w:val="22"/>
        </w:rPr>
        <w:t>___________________________</w:t>
      </w:r>
    </w:p>
    <w:p>
      <w:pPr>
        <w:pStyle w:val="4"/>
        <w:tabs>
          <w:tab w:val="left" w:pos="2160"/>
        </w:tabs>
        <w:ind w:left="0"/>
        <w:rPr>
          <w:rFonts w:ascii="PMingLiU" w:hAnsi="PMingLiU"/>
          <w:sz w:val="22"/>
          <w:szCs w:val="22"/>
        </w:rPr>
      </w:pPr>
      <w:r>
        <w:rPr>
          <w:rFonts w:ascii="PMingLiU" w:hAnsi="PMingLiU"/>
        </w:rPr>
        <w:tab/>
      </w:r>
      <w:r>
        <w:rPr>
          <w:rFonts w:ascii="PMingLiU" w:hAnsi="PMingLiU"/>
        </w:rPr>
        <w:t xml:space="preserve">  </w:t>
      </w:r>
      <w:r>
        <w:rPr>
          <w:rFonts w:ascii="PMingLiU" w:hAnsi="PMingLiU"/>
          <w:sz w:val="22"/>
          <w:szCs w:val="22"/>
        </w:rPr>
        <w:t>(</w:t>
      </w:r>
      <w:r>
        <w:rPr>
          <w:rFonts w:hint="eastAsia" w:ascii="PMingLiU" w:hAnsi="PMingLiU"/>
          <w:sz w:val="22"/>
          <w:szCs w:val="22"/>
        </w:rPr>
        <w:t>董事、秘書或其他獲正式授權的人員</w:t>
      </w:r>
      <w:r>
        <w:rPr>
          <w:rFonts w:ascii="PMingLiU" w:hAnsi="PMingLiU"/>
          <w:sz w:val="22"/>
          <w:szCs w:val="22"/>
        </w:rPr>
        <w:t>)</w:t>
      </w:r>
    </w:p>
    <w:sectPr>
      <w:headerReference r:id="rId4" w:type="default"/>
      <w:pgSz w:w="16840" w:h="11907" w:orient="landscape"/>
      <w:pgMar w:top="737" w:right="992" w:bottom="1021" w:left="561" w:header="720" w:footer="59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TimesNewRomanPS">
    <w:altName w:val="Times New Roman"/>
    <w:panose1 w:val="00000000000000000000"/>
    <w:charset w:val="00"/>
    <w:family w:val="auto"/>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16373871">
    <w:nsid w:val="24BD1E6F"/>
    <w:multiLevelType w:val="multilevel"/>
    <w:tmpl w:val="24BD1E6F"/>
    <w:lvl w:ilvl="0" w:tentative="1">
      <w:start w:val="1"/>
      <w:numFmt w:val="bullet"/>
      <w:lvlText w:val=""/>
      <w:lvlJc w:val="left"/>
      <w:pPr>
        <w:tabs>
          <w:tab w:val="left" w:pos="1080"/>
        </w:tabs>
        <w:ind w:left="1080" w:hanging="360"/>
      </w:pPr>
      <w:rPr>
        <w:rFonts w:hint="default" w:ascii="Wingdings" w:hAnsi="Wingdings"/>
      </w:rPr>
    </w:lvl>
    <w:lvl w:ilvl="1" w:tentative="1">
      <w:start w:val="1"/>
      <w:numFmt w:val="bullet"/>
      <w:lvlText w:val="o"/>
      <w:lvlJc w:val="left"/>
      <w:pPr>
        <w:tabs>
          <w:tab w:val="left" w:pos="1454"/>
        </w:tabs>
        <w:ind w:left="1454" w:hanging="360"/>
      </w:pPr>
      <w:rPr>
        <w:rFonts w:hint="default" w:ascii="Courier New" w:hAnsi="Courier New" w:cs="Courier New"/>
      </w:rPr>
    </w:lvl>
    <w:lvl w:ilvl="2" w:tentative="1">
      <w:start w:val="1"/>
      <w:numFmt w:val="bullet"/>
      <w:lvlText w:val=""/>
      <w:lvlJc w:val="left"/>
      <w:pPr>
        <w:tabs>
          <w:tab w:val="left" w:pos="2174"/>
        </w:tabs>
        <w:ind w:left="2174" w:hanging="360"/>
      </w:pPr>
      <w:rPr>
        <w:rFonts w:hint="default" w:ascii="Wingdings" w:hAnsi="Wingdings"/>
      </w:rPr>
    </w:lvl>
    <w:lvl w:ilvl="3" w:tentative="1">
      <w:start w:val="1"/>
      <w:numFmt w:val="bullet"/>
      <w:lvlText w:val=""/>
      <w:lvlJc w:val="left"/>
      <w:pPr>
        <w:tabs>
          <w:tab w:val="left" w:pos="2894"/>
        </w:tabs>
        <w:ind w:left="2894" w:hanging="360"/>
      </w:pPr>
      <w:rPr>
        <w:rFonts w:hint="default" w:ascii="Symbol" w:hAnsi="Symbol"/>
      </w:rPr>
    </w:lvl>
    <w:lvl w:ilvl="4" w:tentative="1">
      <w:start w:val="1"/>
      <w:numFmt w:val="bullet"/>
      <w:lvlText w:val="o"/>
      <w:lvlJc w:val="left"/>
      <w:pPr>
        <w:tabs>
          <w:tab w:val="left" w:pos="3614"/>
        </w:tabs>
        <w:ind w:left="3614" w:hanging="360"/>
      </w:pPr>
      <w:rPr>
        <w:rFonts w:hint="default" w:ascii="Courier New" w:hAnsi="Courier New" w:cs="Courier New"/>
      </w:rPr>
    </w:lvl>
    <w:lvl w:ilvl="5" w:tentative="1">
      <w:start w:val="1"/>
      <w:numFmt w:val="bullet"/>
      <w:lvlText w:val=""/>
      <w:lvlJc w:val="left"/>
      <w:pPr>
        <w:tabs>
          <w:tab w:val="left" w:pos="4334"/>
        </w:tabs>
        <w:ind w:left="4334" w:hanging="360"/>
      </w:pPr>
      <w:rPr>
        <w:rFonts w:hint="default" w:ascii="Wingdings" w:hAnsi="Wingdings"/>
      </w:rPr>
    </w:lvl>
    <w:lvl w:ilvl="6" w:tentative="1">
      <w:start w:val="1"/>
      <w:numFmt w:val="bullet"/>
      <w:lvlText w:val=""/>
      <w:lvlJc w:val="left"/>
      <w:pPr>
        <w:tabs>
          <w:tab w:val="left" w:pos="5054"/>
        </w:tabs>
        <w:ind w:left="5054" w:hanging="360"/>
      </w:pPr>
      <w:rPr>
        <w:rFonts w:hint="default" w:ascii="Symbol" w:hAnsi="Symbol"/>
      </w:rPr>
    </w:lvl>
    <w:lvl w:ilvl="7" w:tentative="1">
      <w:start w:val="1"/>
      <w:numFmt w:val="bullet"/>
      <w:lvlText w:val="o"/>
      <w:lvlJc w:val="left"/>
      <w:pPr>
        <w:tabs>
          <w:tab w:val="left" w:pos="5774"/>
        </w:tabs>
        <w:ind w:left="5774" w:hanging="360"/>
      </w:pPr>
      <w:rPr>
        <w:rFonts w:hint="default" w:ascii="Courier New" w:hAnsi="Courier New" w:cs="Courier New"/>
      </w:rPr>
    </w:lvl>
    <w:lvl w:ilvl="8" w:tentative="1">
      <w:start w:val="1"/>
      <w:numFmt w:val="bullet"/>
      <w:lvlText w:val=""/>
      <w:lvlJc w:val="left"/>
      <w:pPr>
        <w:tabs>
          <w:tab w:val="left" w:pos="6494"/>
        </w:tabs>
        <w:ind w:left="6494" w:hanging="360"/>
      </w:pPr>
      <w:rPr>
        <w:rFonts w:hint="default" w:ascii="Wingdings" w:hAnsi="Wingdings"/>
      </w:rPr>
    </w:lvl>
  </w:abstractNum>
  <w:num w:numId="1">
    <w:abstractNumId w:val="6163738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uiPriority="0" w:name="footnote text"/>
    <w:lsdException w:uiPriority="99" w:name="annotation text"/>
    <w:lsdException w:unhideWhenUsed="0" w:uiPriority="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character" w:default="1" w:styleId="8">
    <w:name w:val="Default Paragraph Font"/>
    <w:semiHidden/>
    <w:unhideWhenUsed/>
    <w:uiPriority w:val="1"/>
  </w:style>
  <w:style w:type="paragraph" w:styleId="2">
    <w:name w:val="annotation subject"/>
    <w:basedOn w:val="3"/>
    <w:next w:val="3"/>
    <w:link w:val="15"/>
    <w:semiHidden/>
    <w:unhideWhenUsed/>
    <w:uiPriority w:val="99"/>
    <w:rPr>
      <w:b/>
      <w:bCs/>
    </w:rPr>
  </w:style>
  <w:style w:type="paragraph" w:styleId="3">
    <w:name w:val="annotation text"/>
    <w:basedOn w:val="1"/>
    <w:link w:val="14"/>
    <w:semiHidden/>
    <w:unhideWhenUsed/>
    <w:uiPriority w:val="99"/>
    <w:rPr>
      <w:sz w:val="20"/>
      <w:szCs w:val="20"/>
    </w:rPr>
  </w:style>
  <w:style w:type="paragraph" w:styleId="4">
    <w:name w:val="Normal Indent"/>
    <w:basedOn w:val="1"/>
    <w:semiHidden/>
    <w:uiPriority w:val="0"/>
    <w:pPr>
      <w:ind w:left="480"/>
    </w:pPr>
    <w:rPr>
      <w:szCs w:val="20"/>
    </w:rPr>
  </w:style>
  <w:style w:type="paragraph" w:styleId="5">
    <w:name w:val="Balloon Text"/>
    <w:basedOn w:val="1"/>
    <w:link w:val="13"/>
    <w:semiHidden/>
    <w:unhideWhenUsed/>
    <w:uiPriority w:val="99"/>
    <w:rPr>
      <w:rFonts w:ascii="Tahoma" w:hAnsi="Tahoma" w:cs="Tahoma"/>
      <w:sz w:val="16"/>
      <w:szCs w:val="16"/>
    </w:rPr>
  </w:style>
  <w:style w:type="paragraph" w:styleId="6">
    <w:name w:val="footer"/>
    <w:basedOn w:val="1"/>
    <w:link w:val="16"/>
    <w:unhideWhenUsed/>
    <w:uiPriority w:val="99"/>
    <w:pPr>
      <w:tabs>
        <w:tab w:val="center" w:pos="4513"/>
        <w:tab w:val="right" w:pos="9026"/>
      </w:tabs>
    </w:pPr>
  </w:style>
  <w:style w:type="paragraph" w:styleId="7">
    <w:name w:val="header"/>
    <w:basedOn w:val="1"/>
    <w:link w:val="12"/>
    <w:semiHidden/>
    <w:uiPriority w:val="0"/>
    <w:pPr>
      <w:tabs>
        <w:tab w:val="center" w:pos="4153"/>
        <w:tab w:val="right" w:pos="8306"/>
      </w:tabs>
      <w:snapToGrid w:val="0"/>
    </w:pPr>
    <w:rPr>
      <w:sz w:val="20"/>
      <w:szCs w:val="20"/>
    </w:rPr>
  </w:style>
  <w:style w:type="character" w:styleId="9">
    <w:name w:val="annotation reference"/>
    <w:basedOn w:val="8"/>
    <w:semiHidden/>
    <w:unhideWhenUsed/>
    <w:uiPriority w:val="99"/>
    <w:rPr>
      <w:sz w:val="16"/>
      <w:szCs w:val="16"/>
    </w:rPr>
  </w:style>
  <w:style w:type="paragraph" w:customStyle="1" w:styleId="10">
    <w:name w:val="10pt"/>
    <w:uiPriority w:val="0"/>
    <w:pPr>
      <w:widowControl w:val="0"/>
      <w:autoSpaceDE w:val="0"/>
      <w:autoSpaceDN w:val="0"/>
      <w:adjustRightInd w:val="0"/>
      <w:spacing w:line="200" w:lineRule="atLeast"/>
      <w:jc w:val="both"/>
    </w:pPr>
    <w:rPr>
      <w:rFonts w:ascii="TimesNewRomanPS" w:hAnsi="TimesNewRomanPS" w:eastAsia="PMingLiU" w:cs="TimesNewRomanPS"/>
      <w:kern w:val="0"/>
      <w:sz w:val="22"/>
      <w:lang w:eastAsia="zh-TW"/>
    </w:rPr>
  </w:style>
  <w:style w:type="paragraph" w:customStyle="1" w:styleId="11">
    <w:name w:val="List Paragraph"/>
    <w:basedOn w:val="1"/>
    <w:qFormat/>
    <w:uiPriority w:val="34"/>
    <w:pPr>
      <w:ind w:left="480" w:leftChars="200"/>
    </w:pPr>
  </w:style>
  <w:style w:type="character" w:customStyle="1" w:styleId="12">
    <w:name w:val="Header Char"/>
    <w:basedOn w:val="8"/>
    <w:link w:val="7"/>
    <w:semiHidden/>
    <w:uiPriority w:val="0"/>
    <w:rPr>
      <w:rFonts w:ascii="Times New Roman" w:hAnsi="Times New Roman" w:eastAsia="PMingLiU" w:cs="Times New Roman"/>
      <w:sz w:val="20"/>
      <w:szCs w:val="20"/>
      <w:lang w:eastAsia="zh-TW"/>
    </w:rPr>
  </w:style>
  <w:style w:type="character" w:customStyle="1" w:styleId="13">
    <w:name w:val="Balloon Text Char"/>
    <w:basedOn w:val="8"/>
    <w:link w:val="5"/>
    <w:semiHidden/>
    <w:uiPriority w:val="99"/>
    <w:rPr>
      <w:rFonts w:ascii="Tahoma" w:hAnsi="Tahoma" w:eastAsia="PMingLiU" w:cs="Tahoma"/>
      <w:sz w:val="16"/>
      <w:szCs w:val="16"/>
      <w:lang w:eastAsia="zh-TW"/>
    </w:rPr>
  </w:style>
  <w:style w:type="character" w:customStyle="1" w:styleId="14">
    <w:name w:val="Comment Text Char"/>
    <w:basedOn w:val="8"/>
    <w:link w:val="3"/>
    <w:semiHidden/>
    <w:uiPriority w:val="99"/>
    <w:rPr>
      <w:rFonts w:ascii="Times New Roman" w:hAnsi="Times New Roman" w:eastAsia="PMingLiU" w:cs="Times New Roman"/>
      <w:sz w:val="20"/>
      <w:szCs w:val="20"/>
      <w:lang w:eastAsia="zh-TW"/>
    </w:rPr>
  </w:style>
  <w:style w:type="character" w:customStyle="1" w:styleId="15">
    <w:name w:val="Comment Subject Char"/>
    <w:basedOn w:val="14"/>
    <w:link w:val="2"/>
    <w:semiHidden/>
    <w:uiPriority w:val="99"/>
    <w:rPr>
      <w:rFonts w:ascii="Times New Roman" w:hAnsi="Times New Roman" w:eastAsia="PMingLiU" w:cs="Times New Roman"/>
      <w:b/>
      <w:bCs/>
      <w:sz w:val="20"/>
      <w:szCs w:val="20"/>
      <w:lang w:eastAsia="zh-TW"/>
    </w:rPr>
  </w:style>
  <w:style w:type="character" w:customStyle="1" w:styleId="16">
    <w:name w:val="Footer Char"/>
    <w:basedOn w:val="8"/>
    <w:link w:val="6"/>
    <w:uiPriority w:val="99"/>
    <w:rPr>
      <w:rFonts w:ascii="Times New Roman" w:hAnsi="Times New Roman" w:eastAsia="PMingLiU" w:cs="Times New Roman"/>
      <w:sz w:val="24"/>
      <w:szCs w:val="24"/>
      <w:lang w:eastAsia="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383</Words>
  <Characters>2282</Characters>
  <Lines>18</Lines>
  <Paragraphs>5</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2017-10-13T09:21:00Z</dcterms:created>
  <dc:creator>王修国</dc:creator>
  <cp:lastModifiedBy>曹长求</cp:lastModifiedBy>
  <cp:lastPrinted>2018-07-26T03:43:00Z</cp:lastPrinted>
  <dcterms:modified xsi:type="dcterms:W3CDTF">2018-07-27T02:05:14Z</dcterms:modified>
  <dc:title>翌日披露報表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