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rPr>
          <w:i/>
          <w:sz w:val="18"/>
          <w:szCs w:val="18"/>
        </w:rPr>
      </w:pPr>
      <w:r>
        <w:rPr>
          <w:rFonts w:hint="eastAsia" w:eastAsia="PMingLiU"/>
          <w:i/>
          <w:sz w:val="18"/>
          <w:szCs w:val="18"/>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pPr>
        <w:autoSpaceDE w:val="0"/>
        <w:autoSpaceDN w:val="0"/>
        <w:adjustRightInd w:val="0"/>
        <w:rPr>
          <w:rFonts w:ascii="宋体" w:hAnsi="宋体"/>
          <w:i/>
          <w:color w:val="231F20"/>
          <w:kern w:val="0"/>
          <w:szCs w:val="21"/>
          <w:lang w:eastAsia="zh-TW"/>
        </w:rPr>
      </w:pPr>
    </w:p>
    <w:p>
      <w:pPr>
        <w:autoSpaceDE w:val="0"/>
        <w:autoSpaceDN w:val="0"/>
        <w:adjustRightInd w:val="0"/>
        <w:rPr>
          <w:rFonts w:ascii="宋体" w:hAnsi="宋体"/>
          <w:color w:val="231F20"/>
          <w:kern w:val="0"/>
          <w:sz w:val="28"/>
          <w:szCs w:val="18"/>
          <w:lang w:eastAsia="zh-TW"/>
        </w:rPr>
      </w:pPr>
      <w:r>
        <w:rPr>
          <w:rFonts w:ascii="PMingLiU" w:hAnsi="PMingLiU" w:eastAsia="PMingLiU" w:cs="PMingLiU"/>
          <w:kern w:val="0"/>
          <w:sz w:val="17"/>
          <w:szCs w:val="17"/>
          <w:lang w:val="en-US" w:eastAsia="zh-CN" w:bidi="ar-SA"/>
        </w:rPr>
        <w:pict>
          <v:shape id="图片 2" o:spid="_x0000_s1027" type="#_x0000_t75" style="position:absolute;left:0;margin-left:225pt;margin-top:9.75pt;height:39pt;width:36pt;rotation:0f;z-index:251659264;" o:ole="f" fillcolor="#FFFFFF" filled="f" o:preferrelative="t" stroked="f" coordorigin="0,0" coordsize="21600,21600">
            <v:fill on="f" color2="#FFFFFF" focus="0%"/>
            <v:imagedata gain="65536f" blacklevel="0f" gamma="0" chromakey="#FFFFFF" o:title="" r:id="rId7"/>
            <o:lock v:ext="edit" position="f" selection="f" grouping="f" rotation="f" cropping="f" text="f" aspectratio="t"/>
          </v:shape>
        </w:pict>
      </w:r>
    </w:p>
    <w:p>
      <w:pPr>
        <w:autoSpaceDE w:val="0"/>
        <w:autoSpaceDN w:val="0"/>
        <w:adjustRightInd w:val="0"/>
        <w:jc w:val="center"/>
        <w:rPr>
          <w:rFonts w:ascii="宋体" w:hAnsi="宋体"/>
          <w:b/>
          <w:bCs/>
          <w:color w:val="231F20"/>
          <w:kern w:val="0"/>
          <w:sz w:val="24"/>
          <w:szCs w:val="18"/>
        </w:rPr>
      </w:pPr>
    </w:p>
    <w:p>
      <w:pPr>
        <w:autoSpaceDE w:val="0"/>
        <w:autoSpaceDN w:val="0"/>
        <w:adjustRightInd w:val="0"/>
        <w:jc w:val="center"/>
        <w:rPr>
          <w:rFonts w:ascii="宋体" w:hAnsi="宋体"/>
          <w:b/>
          <w:bCs/>
          <w:color w:val="231F20"/>
          <w:kern w:val="0"/>
          <w:sz w:val="24"/>
          <w:szCs w:val="18"/>
        </w:rPr>
      </w:pPr>
    </w:p>
    <w:p>
      <w:pPr>
        <w:autoSpaceDE w:val="0"/>
        <w:autoSpaceDN w:val="0"/>
        <w:adjustRightInd w:val="0"/>
        <w:jc w:val="center"/>
        <w:rPr>
          <w:rFonts w:ascii="宋体" w:hAnsi="宋体"/>
          <w:b/>
          <w:bCs/>
          <w:color w:val="231F20"/>
          <w:kern w:val="0"/>
          <w:sz w:val="24"/>
          <w:szCs w:val="18"/>
          <w:lang w:eastAsia="zh-TW"/>
        </w:rPr>
      </w:pPr>
      <w:r>
        <w:rPr>
          <w:rFonts w:hint="eastAsia" w:ascii="宋体" w:hAnsi="宋体" w:eastAsia="PMingLiU"/>
          <w:b/>
          <w:bCs/>
          <w:color w:val="231F20"/>
          <w:kern w:val="0"/>
          <w:sz w:val="24"/>
          <w:szCs w:val="18"/>
          <w:lang w:eastAsia="zh-TW"/>
        </w:rPr>
        <w:t>山東新華製藥股份有限公司</w:t>
      </w:r>
    </w:p>
    <w:p>
      <w:pPr>
        <w:autoSpaceDE w:val="0"/>
        <w:autoSpaceDN w:val="0"/>
        <w:adjustRightInd w:val="0"/>
        <w:jc w:val="center"/>
        <w:rPr>
          <w:rFonts w:ascii="宋体" w:hAnsi="宋体"/>
          <w:b/>
          <w:bCs/>
          <w:color w:val="231F20"/>
          <w:kern w:val="0"/>
          <w:sz w:val="18"/>
          <w:szCs w:val="18"/>
          <w:lang w:eastAsia="zh-TW"/>
        </w:rPr>
      </w:pPr>
      <w:r>
        <w:rPr>
          <w:rFonts w:ascii="宋体" w:hAnsi="宋体" w:eastAsia="PMingLiU"/>
          <w:b/>
          <w:bCs/>
          <w:color w:val="231F20"/>
          <w:kern w:val="0"/>
          <w:sz w:val="24"/>
          <w:szCs w:val="18"/>
          <w:lang w:eastAsia="zh-TW"/>
        </w:rPr>
        <w:t>Shandong Xinhua Pharmaceutical Company Limited</w:t>
      </w:r>
    </w:p>
    <w:p>
      <w:pPr>
        <w:autoSpaceDE w:val="0"/>
        <w:autoSpaceDN w:val="0"/>
        <w:adjustRightInd w:val="0"/>
        <w:jc w:val="center"/>
        <w:rPr>
          <w:rFonts w:ascii="宋体" w:hAnsi="宋体"/>
          <w:color w:val="231F20"/>
          <w:kern w:val="0"/>
          <w:sz w:val="18"/>
          <w:szCs w:val="18"/>
          <w:lang w:eastAsia="zh-TW"/>
        </w:rPr>
      </w:pPr>
      <w:r>
        <w:rPr>
          <w:rFonts w:hint="eastAsia" w:ascii="宋体" w:hAnsi="宋体" w:eastAsia="PMingLiU"/>
          <w:color w:val="231F20"/>
          <w:kern w:val="0"/>
          <w:sz w:val="18"/>
          <w:szCs w:val="18"/>
          <w:lang w:eastAsia="zh-TW"/>
        </w:rPr>
        <w:t>（於中華人民共和國註冊成立之股份有限公司）</w:t>
      </w:r>
    </w:p>
    <w:p>
      <w:pPr>
        <w:autoSpaceDE w:val="0"/>
        <w:autoSpaceDN w:val="0"/>
        <w:adjustRightInd w:val="0"/>
        <w:jc w:val="center"/>
        <w:rPr>
          <w:rFonts w:ascii="宋体" w:hAnsi="宋体"/>
          <w:color w:val="231F20"/>
          <w:kern w:val="0"/>
          <w:sz w:val="20"/>
          <w:szCs w:val="20"/>
        </w:rPr>
      </w:pPr>
      <w:r>
        <w:rPr>
          <w:rFonts w:hint="eastAsia" w:ascii="宋体" w:hAnsi="宋体" w:eastAsia="PMingLiU"/>
          <w:color w:val="231F20"/>
          <w:kern w:val="0"/>
          <w:sz w:val="20"/>
          <w:szCs w:val="20"/>
          <w:lang w:eastAsia="zh-TW"/>
        </w:rPr>
        <w:t>（股份代碼：</w:t>
      </w:r>
      <w:r>
        <w:rPr>
          <w:rFonts w:ascii="宋体" w:hAnsi="宋体" w:eastAsia="PMingLiU"/>
          <w:color w:val="231F20"/>
          <w:kern w:val="0"/>
          <w:sz w:val="20"/>
          <w:szCs w:val="20"/>
          <w:lang w:eastAsia="zh-TW"/>
        </w:rPr>
        <w:t>0719</w:t>
      </w:r>
      <w:r>
        <w:rPr>
          <w:rFonts w:hint="eastAsia" w:ascii="宋体" w:hAnsi="宋体" w:eastAsia="PMingLiU"/>
          <w:color w:val="231F20"/>
          <w:kern w:val="0"/>
          <w:sz w:val="20"/>
          <w:szCs w:val="20"/>
          <w:lang w:eastAsia="zh-TW"/>
        </w:rPr>
        <w:t>）</w:t>
      </w:r>
    </w:p>
    <w:p>
      <w:pPr>
        <w:autoSpaceDE w:val="0"/>
        <w:autoSpaceDN w:val="0"/>
        <w:adjustRightInd w:val="0"/>
        <w:jc w:val="center"/>
        <w:rPr>
          <w:rFonts w:ascii="宋体" w:hAnsi="宋体"/>
          <w:color w:val="231F20"/>
          <w:kern w:val="0"/>
          <w:sz w:val="20"/>
          <w:szCs w:val="20"/>
          <w:lang w:eastAsia="zh-TW"/>
        </w:rPr>
      </w:pPr>
    </w:p>
    <w:p>
      <w:pPr>
        <w:autoSpaceDE w:val="0"/>
        <w:autoSpaceDN w:val="0"/>
        <w:adjustRightInd w:val="0"/>
        <w:jc w:val="center"/>
        <w:rPr>
          <w:rFonts w:ascii="宋体" w:hAnsi="宋体"/>
          <w:b/>
          <w:bCs/>
          <w:color w:val="231F20"/>
          <w:kern w:val="0"/>
          <w:sz w:val="26"/>
          <w:szCs w:val="26"/>
          <w:lang w:eastAsia="zh-TW"/>
        </w:rPr>
      </w:pPr>
      <w:r>
        <w:rPr>
          <w:rFonts w:hint="eastAsia" w:ascii="宋体" w:hAnsi="宋体" w:eastAsia="PMingLiU"/>
          <w:b/>
          <w:bCs/>
          <w:color w:val="231F20"/>
          <w:kern w:val="0"/>
          <w:sz w:val="26"/>
          <w:szCs w:val="26"/>
          <w:lang w:eastAsia="zh-TW"/>
        </w:rPr>
        <w:t>海外監管公告</w:t>
      </w:r>
    </w:p>
    <w:p>
      <w:pPr>
        <w:autoSpaceDE w:val="0"/>
        <w:autoSpaceDN w:val="0"/>
        <w:adjustRightInd w:val="0"/>
        <w:jc w:val="center"/>
        <w:rPr>
          <w:rFonts w:ascii="宋体" w:hAnsi="宋体"/>
          <w:b/>
          <w:bCs/>
          <w:color w:val="231F20"/>
          <w:kern w:val="0"/>
          <w:sz w:val="26"/>
          <w:szCs w:val="26"/>
          <w:lang w:eastAsia="zh-TW"/>
        </w:rPr>
      </w:pPr>
    </w:p>
    <w:tbl>
      <w:tblPr>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8280" w:type="dxa"/>
            <w:vAlign w:val="top"/>
          </w:tcPr>
          <w:p>
            <w:pPr>
              <w:autoSpaceDE w:val="0"/>
              <w:autoSpaceDN w:val="0"/>
              <w:adjustRightInd w:val="0"/>
              <w:rPr>
                <w:rFonts w:ascii="宋体" w:hAnsi="宋体"/>
                <w:color w:val="231F20"/>
                <w:kern w:val="0"/>
                <w:szCs w:val="21"/>
              </w:rPr>
            </w:pPr>
          </w:p>
          <w:p>
            <w:pPr>
              <w:autoSpaceDE w:val="0"/>
              <w:autoSpaceDN w:val="0"/>
              <w:adjustRightInd w:val="0"/>
              <w:rPr>
                <w:rFonts w:ascii="宋体" w:hAnsi="宋体"/>
                <w:color w:val="231F20"/>
                <w:kern w:val="0"/>
                <w:szCs w:val="21"/>
                <w:lang w:eastAsia="zh-TW"/>
              </w:rPr>
            </w:pPr>
            <w:r>
              <w:rPr>
                <w:rFonts w:hint="eastAsia" w:ascii="宋体" w:hAnsi="宋体" w:eastAsia="PMingLiU"/>
                <w:color w:val="231F20"/>
                <w:kern w:val="0"/>
                <w:szCs w:val="21"/>
                <w:lang w:eastAsia="zh-TW"/>
              </w:rPr>
              <w:t>本公告乃根據香港聯合交易所有限公司證券上市規則第</w:t>
            </w:r>
            <w:r>
              <w:rPr>
                <w:rFonts w:ascii="宋体" w:hAnsi="宋体" w:eastAsia="PMingLiU"/>
                <w:color w:val="231F20"/>
                <w:kern w:val="0"/>
                <w:szCs w:val="21"/>
                <w:lang w:eastAsia="zh-TW"/>
              </w:rPr>
              <w:t>13.</w:t>
            </w:r>
            <w:r>
              <w:rPr>
                <w:rFonts w:hint="eastAsia" w:ascii="宋体" w:hAnsi="宋体"/>
                <w:color w:val="231F20"/>
                <w:kern w:val="0"/>
                <w:szCs w:val="21"/>
              </w:rPr>
              <w:t>10B</w:t>
            </w:r>
            <w:r>
              <w:rPr>
                <w:rFonts w:hint="eastAsia" w:ascii="宋体" w:hAnsi="宋体" w:eastAsia="PMingLiU"/>
                <w:color w:val="231F20"/>
                <w:kern w:val="0"/>
                <w:szCs w:val="21"/>
                <w:lang w:eastAsia="zh-TW"/>
              </w:rPr>
              <w:t>條作出。</w:t>
            </w:r>
          </w:p>
        </w:tc>
      </w:tr>
    </w:tbl>
    <w:p>
      <w:pPr>
        <w:autoSpaceDE w:val="0"/>
        <w:autoSpaceDN w:val="0"/>
        <w:adjustRightInd w:val="0"/>
        <w:rPr>
          <w:rFonts w:ascii="宋体" w:hAnsi="宋体"/>
          <w:color w:val="231F20"/>
          <w:kern w:val="0"/>
          <w:szCs w:val="21"/>
          <w:lang w:eastAsia="zh-TW"/>
        </w:rPr>
      </w:pPr>
    </w:p>
    <w:p>
      <w:pPr>
        <w:spacing w:after="156" w:line="400" w:lineRule="exact"/>
        <w:jc w:val="both"/>
        <w:rPr>
          <w:rFonts w:hint="eastAsia" w:ascii="宋体" w:hAnsi="宋体" w:eastAsia="宋体"/>
          <w:color w:val="231F20"/>
          <w:kern w:val="0"/>
          <w:szCs w:val="21"/>
          <w:lang w:eastAsia="zh-TW"/>
        </w:rPr>
      </w:pPr>
      <w:r>
        <w:rPr>
          <w:rFonts w:hint="eastAsia" w:ascii="宋体" w:hAnsi="宋体" w:eastAsia="宋体"/>
          <w:color w:val="231F20"/>
          <w:kern w:val="0"/>
          <w:szCs w:val="21"/>
          <w:lang w:eastAsia="zh-TW"/>
        </w:rPr>
        <w:t>山東新華製藥股份有限公司（「本公司」）於</w:t>
      </w:r>
      <w:r>
        <w:rPr>
          <w:rFonts w:ascii="宋体" w:hAnsi="宋体" w:eastAsia="宋体"/>
          <w:color w:val="231F20"/>
          <w:kern w:val="0"/>
          <w:szCs w:val="21"/>
          <w:lang w:eastAsia="zh-TW"/>
        </w:rPr>
        <w:t>201</w:t>
      </w:r>
      <w:r>
        <w:rPr>
          <w:rFonts w:hint="eastAsia" w:ascii="宋体" w:hAnsi="宋体" w:eastAsia="宋体"/>
          <w:color w:val="231F20"/>
          <w:kern w:val="0"/>
          <w:szCs w:val="21"/>
          <w:lang w:val="en-US" w:eastAsia="zh-CN"/>
        </w:rPr>
        <w:t>8</w:t>
      </w:r>
      <w:r>
        <w:rPr>
          <w:rFonts w:hint="eastAsia" w:ascii="宋体" w:hAnsi="宋体" w:eastAsia="宋体"/>
          <w:color w:val="231F20"/>
          <w:kern w:val="0"/>
          <w:szCs w:val="21"/>
          <w:lang w:eastAsia="zh-TW"/>
        </w:rPr>
        <w:t>年</w:t>
      </w:r>
      <w:r>
        <w:rPr>
          <w:rFonts w:hint="eastAsia" w:ascii="宋体" w:hAnsi="宋体"/>
          <w:color w:val="231F20"/>
          <w:kern w:val="0"/>
          <w:szCs w:val="21"/>
          <w:lang w:val="en-US" w:eastAsia="zh-CN"/>
        </w:rPr>
        <w:t>7</w:t>
      </w:r>
      <w:r>
        <w:rPr>
          <w:rFonts w:hint="eastAsia" w:ascii="宋体" w:hAnsi="宋体" w:eastAsia="宋体"/>
          <w:color w:val="231F20"/>
          <w:kern w:val="0"/>
          <w:szCs w:val="21"/>
          <w:lang w:eastAsia="zh-TW"/>
        </w:rPr>
        <w:t>月</w:t>
      </w:r>
      <w:r>
        <w:rPr>
          <w:rFonts w:hint="eastAsia" w:ascii="宋体" w:hAnsi="宋体" w:eastAsia="宋体"/>
          <w:color w:val="231F20"/>
          <w:kern w:val="0"/>
          <w:szCs w:val="21"/>
          <w:lang w:val="en-US" w:eastAsia="zh-CN"/>
        </w:rPr>
        <w:t>19</w:t>
      </w:r>
      <w:r>
        <w:rPr>
          <w:rFonts w:hint="eastAsia" w:ascii="宋体" w:hAnsi="宋体" w:eastAsia="宋体"/>
          <w:color w:val="231F20"/>
          <w:kern w:val="0"/>
          <w:szCs w:val="21"/>
          <w:lang w:eastAsia="zh-TW"/>
        </w:rPr>
        <w:t>日在巨潮資訊網（</w:t>
      </w:r>
      <w:r>
        <w:fldChar w:fldCharType="begin"/>
      </w:r>
      <w:r>
        <w:instrText xml:space="preserve"> HYPERLINK "http://www.cninfo.com.cn" </w:instrText>
      </w:r>
      <w:r>
        <w:fldChar w:fldCharType="separate"/>
      </w:r>
      <w:r>
        <w:rPr>
          <w:rStyle w:val="7"/>
          <w:rFonts w:ascii="宋体" w:hAnsi="宋体" w:eastAsia="宋体"/>
          <w:kern w:val="0"/>
          <w:szCs w:val="21"/>
          <w:lang w:eastAsia="zh-TW"/>
        </w:rPr>
        <w:t>http://www.cninfo.com.cn</w:t>
      </w:r>
      <w:r>
        <w:rPr>
          <w:rStyle w:val="7"/>
          <w:rFonts w:ascii="宋体" w:hAnsi="宋体" w:eastAsia="PMingLiU"/>
          <w:kern w:val="0"/>
          <w:szCs w:val="21"/>
          <w:lang w:eastAsia="zh-TW"/>
        </w:rPr>
        <w:fldChar w:fldCharType="end"/>
      </w:r>
      <w:r>
        <w:rPr>
          <w:rFonts w:hint="eastAsia" w:ascii="宋体" w:hAnsi="宋体" w:eastAsia="宋体"/>
          <w:color w:val="231F20"/>
          <w:kern w:val="0"/>
          <w:szCs w:val="21"/>
          <w:lang w:eastAsia="zh-TW"/>
        </w:rPr>
        <w:t>）刊登本公司《山東新華製藥股份有限公司2017年</w:t>
      </w:r>
      <w:r>
        <w:rPr>
          <w:rFonts w:hint="eastAsia" w:ascii="宋体" w:hAnsi="宋体" w:eastAsia="宋体"/>
          <w:color w:val="231F20"/>
          <w:kern w:val="0"/>
          <w:szCs w:val="21"/>
          <w:lang w:eastAsia="zh-CN"/>
        </w:rPr>
        <w:t>度</w:t>
      </w:r>
      <w:r>
        <w:rPr>
          <w:rFonts w:hint="eastAsia" w:ascii="宋体" w:hAnsi="宋体" w:eastAsia="宋体"/>
          <w:color w:val="231F20"/>
          <w:kern w:val="0"/>
          <w:szCs w:val="21"/>
          <w:lang w:eastAsia="zh-TW"/>
        </w:rPr>
        <w:t>A股</w:t>
      </w:r>
      <w:r>
        <w:rPr>
          <w:rFonts w:hint="eastAsia" w:ascii="宋体" w:hAnsi="宋体" w:eastAsia="宋体"/>
          <w:color w:val="231F20"/>
          <w:kern w:val="0"/>
          <w:szCs w:val="21"/>
          <w:lang w:eastAsia="zh-CN"/>
        </w:rPr>
        <w:t>權益分派</w:t>
      </w:r>
      <w:r>
        <w:rPr>
          <w:rFonts w:hint="eastAsia" w:ascii="宋体" w:hAnsi="宋体" w:eastAsia="宋体"/>
          <w:color w:val="231F20"/>
          <w:kern w:val="0"/>
          <w:szCs w:val="21"/>
          <w:lang w:eastAsia="zh-TW"/>
        </w:rPr>
        <w:t>實施公告》，茲載列有關文檔之中文版，以供參閱。</w:t>
      </w:r>
    </w:p>
    <w:p>
      <w:pPr>
        <w:spacing w:after="156" w:line="400" w:lineRule="exact"/>
        <w:jc w:val="both"/>
        <w:rPr>
          <w:rFonts w:hint="eastAsia" w:ascii="宋体" w:hAnsi="宋体" w:eastAsia="宋体"/>
          <w:color w:val="231F20"/>
          <w:kern w:val="0"/>
          <w:szCs w:val="21"/>
          <w:lang w:eastAsia="zh-TW"/>
        </w:rPr>
      </w:pPr>
    </w:p>
    <w:p>
      <w:pPr>
        <w:autoSpaceDE w:val="0"/>
        <w:autoSpaceDN w:val="0"/>
        <w:adjustRightInd w:val="0"/>
        <w:rPr>
          <w:rFonts w:ascii="宋体" w:hAnsi="宋体"/>
          <w:color w:val="231F20"/>
          <w:kern w:val="0"/>
          <w:szCs w:val="21"/>
        </w:rPr>
      </w:pPr>
    </w:p>
    <w:p>
      <w:pPr>
        <w:autoSpaceDE w:val="0"/>
        <w:autoSpaceDN w:val="0"/>
        <w:adjustRightInd w:val="0"/>
        <w:ind w:right="420"/>
        <w:jc w:val="center"/>
        <w:rPr>
          <w:rFonts w:ascii="宋体" w:hAnsi="宋体"/>
          <w:color w:val="231F20"/>
          <w:kern w:val="0"/>
          <w:szCs w:val="21"/>
          <w:lang w:eastAsia="zh-TW"/>
        </w:rPr>
      </w:pPr>
      <w:r>
        <w:rPr>
          <w:rFonts w:ascii="宋体" w:hAnsi="宋体" w:eastAsia="宋体"/>
          <w:color w:val="231F20"/>
          <w:kern w:val="0"/>
          <w:szCs w:val="21"/>
          <w:lang w:eastAsia="zh-TW"/>
        </w:rPr>
        <w:t xml:space="preserve">           </w:t>
      </w:r>
      <w:bookmarkStart w:id="0" w:name="_GoBack"/>
      <w:bookmarkEnd w:id="0"/>
      <w:r>
        <w:rPr>
          <w:rFonts w:ascii="宋体" w:hAnsi="宋体" w:eastAsia="宋体"/>
          <w:color w:val="231F20"/>
          <w:kern w:val="0"/>
          <w:szCs w:val="21"/>
          <w:lang w:eastAsia="zh-TW"/>
        </w:rPr>
        <w:t xml:space="preserve">                                            </w:t>
      </w:r>
      <w:r>
        <w:rPr>
          <w:rFonts w:hint="eastAsia" w:ascii="宋体" w:hAnsi="宋体" w:eastAsia="宋体"/>
          <w:color w:val="231F20"/>
          <w:kern w:val="0"/>
          <w:szCs w:val="21"/>
          <w:lang w:eastAsia="zh-TW"/>
        </w:rPr>
        <w:t>承董事會命</w:t>
      </w:r>
    </w:p>
    <w:p>
      <w:pPr>
        <w:autoSpaceDE w:val="0"/>
        <w:autoSpaceDN w:val="0"/>
        <w:adjustRightInd w:val="0"/>
        <w:ind w:right="315"/>
        <w:jc w:val="right"/>
        <w:rPr>
          <w:rFonts w:ascii="宋体" w:hAnsi="宋体"/>
          <w:color w:val="231F20"/>
          <w:kern w:val="0"/>
          <w:szCs w:val="21"/>
          <w:lang w:eastAsia="zh-TW"/>
        </w:rPr>
      </w:pPr>
      <w:r>
        <w:rPr>
          <w:rFonts w:hint="eastAsia" w:ascii="宋体" w:hAnsi="宋体" w:eastAsia="宋体"/>
          <w:color w:val="231F20"/>
          <w:kern w:val="0"/>
          <w:szCs w:val="21"/>
          <w:lang w:eastAsia="zh-TW"/>
        </w:rPr>
        <w:t>山東新華製藥股份有限公司</w:t>
      </w:r>
    </w:p>
    <w:p>
      <w:pPr>
        <w:autoSpaceDE w:val="0"/>
        <w:autoSpaceDN w:val="0"/>
        <w:adjustRightInd w:val="0"/>
        <w:ind w:right="420" w:firstLine="6405" w:firstLineChars="3050"/>
        <w:rPr>
          <w:rFonts w:ascii="宋体" w:hAnsi="宋体"/>
          <w:color w:val="231F20"/>
          <w:kern w:val="0"/>
          <w:szCs w:val="21"/>
        </w:rPr>
      </w:pPr>
      <w:r>
        <w:rPr>
          <w:rFonts w:hint="eastAsia" w:ascii="宋体" w:hAnsi="宋体" w:eastAsia="宋体"/>
          <w:color w:val="231F20"/>
          <w:kern w:val="0"/>
          <w:szCs w:val="21"/>
          <w:lang w:eastAsia="zh-TW"/>
        </w:rPr>
        <w:t>張代銘</w:t>
      </w:r>
    </w:p>
    <w:p>
      <w:pPr>
        <w:autoSpaceDE w:val="0"/>
        <w:autoSpaceDN w:val="0"/>
        <w:adjustRightInd w:val="0"/>
        <w:ind w:right="420" w:firstLine="6405" w:firstLineChars="3050"/>
        <w:rPr>
          <w:rFonts w:ascii="宋体" w:hAnsi="宋体"/>
          <w:color w:val="231F20"/>
          <w:kern w:val="0"/>
          <w:szCs w:val="21"/>
          <w:lang w:eastAsia="zh-TW"/>
        </w:rPr>
      </w:pPr>
      <w:r>
        <w:rPr>
          <w:rFonts w:hint="eastAsia" w:ascii="宋体" w:hAnsi="宋体" w:eastAsia="宋体"/>
          <w:color w:val="231F20"/>
          <w:kern w:val="0"/>
          <w:szCs w:val="21"/>
          <w:lang w:eastAsia="zh-TW"/>
        </w:rPr>
        <w:t>董事長</w:t>
      </w:r>
    </w:p>
    <w:p>
      <w:pPr>
        <w:autoSpaceDE w:val="0"/>
        <w:autoSpaceDN w:val="0"/>
        <w:adjustRightInd w:val="0"/>
        <w:rPr>
          <w:rFonts w:ascii="宋体" w:hAnsi="宋体"/>
          <w:color w:val="231F20"/>
          <w:kern w:val="0"/>
          <w:szCs w:val="21"/>
          <w:lang w:eastAsia="zh-TW"/>
        </w:rPr>
      </w:pPr>
    </w:p>
    <w:p>
      <w:pPr>
        <w:autoSpaceDE w:val="0"/>
        <w:autoSpaceDN w:val="0"/>
        <w:adjustRightInd w:val="0"/>
        <w:rPr>
          <w:rFonts w:ascii="宋体" w:hAnsi="宋体"/>
          <w:color w:val="231F20"/>
          <w:kern w:val="0"/>
          <w:szCs w:val="21"/>
          <w:lang w:eastAsia="zh-TW"/>
        </w:rPr>
      </w:pPr>
      <w:r>
        <w:rPr>
          <w:rFonts w:hint="eastAsia" w:ascii="宋体" w:hAnsi="宋体" w:eastAsia="宋体"/>
          <w:color w:val="231F20"/>
          <w:kern w:val="0"/>
          <w:szCs w:val="21"/>
          <w:lang w:eastAsia="zh-TW"/>
        </w:rPr>
        <w:t>中國</w:t>
      </w:r>
      <w:r>
        <w:rPr>
          <w:rFonts w:ascii="宋体" w:hAnsi="宋体" w:eastAsia="宋体"/>
          <w:color w:val="231F20"/>
          <w:kern w:val="0"/>
          <w:szCs w:val="21"/>
          <w:lang w:eastAsia="zh-TW"/>
        </w:rPr>
        <w:t xml:space="preserve"> </w:t>
      </w:r>
      <w:r>
        <w:rPr>
          <w:rFonts w:hint="eastAsia" w:ascii="宋体" w:hAnsi="宋体" w:eastAsia="宋体"/>
          <w:color w:val="231F20"/>
          <w:kern w:val="0"/>
          <w:szCs w:val="21"/>
          <w:lang w:eastAsia="zh-TW"/>
        </w:rPr>
        <w:t>淄博</w:t>
      </w:r>
      <w:r>
        <w:rPr>
          <w:rFonts w:ascii="宋体" w:hAnsi="宋体" w:eastAsia="宋体"/>
          <w:color w:val="231F20"/>
          <w:kern w:val="0"/>
          <w:szCs w:val="21"/>
          <w:lang w:eastAsia="zh-TW"/>
        </w:rPr>
        <w:t xml:space="preserve"> </w:t>
      </w:r>
      <w:r>
        <w:rPr>
          <w:rFonts w:hint="eastAsia" w:ascii="宋体" w:hAnsi="宋体" w:eastAsia="宋体"/>
          <w:color w:val="231F20"/>
          <w:kern w:val="0"/>
          <w:szCs w:val="21"/>
          <w:lang w:eastAsia="zh-TW"/>
        </w:rPr>
        <w:t>二零一</w:t>
      </w:r>
      <w:r>
        <w:rPr>
          <w:rFonts w:hint="eastAsia" w:ascii="宋体" w:hAnsi="宋体" w:eastAsia="宋体"/>
          <w:color w:val="231F20"/>
          <w:kern w:val="0"/>
          <w:szCs w:val="21"/>
          <w:lang w:eastAsia="zh-CN"/>
        </w:rPr>
        <w:t>八</w:t>
      </w:r>
      <w:r>
        <w:rPr>
          <w:rFonts w:hint="eastAsia" w:ascii="宋体" w:hAnsi="宋体" w:eastAsia="宋体"/>
          <w:color w:val="231F20"/>
          <w:kern w:val="0"/>
          <w:szCs w:val="21"/>
          <w:lang w:eastAsia="zh-TW"/>
        </w:rPr>
        <w:t>年</w:t>
      </w:r>
      <w:r>
        <w:rPr>
          <w:rFonts w:hint="eastAsia" w:ascii="宋体" w:hAnsi="宋体"/>
          <w:color w:val="231F20"/>
          <w:kern w:val="0"/>
          <w:szCs w:val="21"/>
          <w:lang w:eastAsia="zh-CN"/>
        </w:rPr>
        <w:t>七</w:t>
      </w:r>
      <w:r>
        <w:rPr>
          <w:rFonts w:hint="eastAsia" w:ascii="宋体" w:hAnsi="宋体" w:eastAsia="宋体"/>
          <w:color w:val="231F20"/>
          <w:kern w:val="0"/>
          <w:szCs w:val="21"/>
          <w:lang w:eastAsia="zh-TW"/>
        </w:rPr>
        <w:t>月</w:t>
      </w:r>
      <w:r>
        <w:rPr>
          <w:rFonts w:hint="eastAsia" w:ascii="宋体" w:hAnsi="宋体" w:eastAsia="宋体"/>
          <w:color w:val="231F20"/>
          <w:kern w:val="0"/>
          <w:szCs w:val="21"/>
          <w:lang w:eastAsia="zh-CN"/>
        </w:rPr>
        <w:t>十九</w:t>
      </w:r>
      <w:r>
        <w:rPr>
          <w:rFonts w:hint="eastAsia" w:ascii="宋体" w:hAnsi="宋体" w:eastAsia="宋体"/>
          <w:color w:val="231F20"/>
          <w:kern w:val="0"/>
          <w:szCs w:val="21"/>
          <w:lang w:eastAsia="zh-TW"/>
        </w:rPr>
        <w:t>日</w:t>
      </w:r>
    </w:p>
    <w:p>
      <w:pPr>
        <w:autoSpaceDE w:val="0"/>
        <w:autoSpaceDN w:val="0"/>
        <w:adjustRightInd w:val="0"/>
        <w:rPr>
          <w:rFonts w:ascii="宋体" w:hAnsi="宋体"/>
          <w:color w:val="231F20"/>
          <w:kern w:val="0"/>
          <w:szCs w:val="21"/>
          <w:lang w:eastAsia="zh-TW"/>
        </w:rPr>
      </w:pPr>
    </w:p>
    <w:p>
      <w:pPr>
        <w:kinsoku w:val="0"/>
        <w:snapToGrid w:val="0"/>
        <w:rPr>
          <w:lang w:eastAsia="zh-TW"/>
        </w:rPr>
      </w:pPr>
      <w:r>
        <w:rPr>
          <w:rFonts w:ascii="Calibri" w:hAnsi="Calibri" w:eastAsia="宋体" w:cs="黑体"/>
          <w:kern w:val="2"/>
          <w:sz w:val="21"/>
          <w:szCs w:val="22"/>
          <w:lang w:val="en-US" w:eastAsia="zh-CN" w:bidi="ar-SA"/>
        </w:rPr>
        <w:pict>
          <v:rect id="文本框 2" o:spid="_x0000_s1028" style="position:absolute;left:0;margin-left:468pt;margin-top:9pt;height:36pt;width:72pt;rotation:0f;z-index:251658240;" o:ole="f" fillcolor="#FFFFFF" filled="f" o:preferrelative="t" stroked="f" coordsize="21600,21600">
            <v:fill on="f" color2="#FFFFFF" focus="0%"/>
            <v:imagedata gain="65536f" blacklevel="0f" gamma="0"/>
            <o:lock v:ext="edit" position="f" selection="f" grouping="f" rotation="f" cropping="f" text="f" aspectratio="f"/>
            <v:textbox>
              <w:txbxContent>
                <w:p>
                  <w:pPr>
                    <w:rPr>
                      <w:sz w:val="16"/>
                      <w:szCs w:val="16"/>
                    </w:rPr>
                  </w:pPr>
                </w:p>
              </w:txbxContent>
            </v:textbox>
          </v:rect>
        </w:pict>
      </w:r>
      <w:r>
        <w:rPr>
          <w:rFonts w:hint="eastAsia" w:eastAsia="宋体"/>
          <w:lang w:eastAsia="zh-TW"/>
        </w:rPr>
        <w:t>於本公告日期，本公司董事會之成員如下：</w:t>
      </w:r>
    </w:p>
    <w:p>
      <w:pPr>
        <w:kinsoku w:val="0"/>
        <w:snapToGrid w:val="0"/>
        <w:rPr>
          <w:lang w:eastAsia="zh-TW"/>
        </w:rPr>
      </w:pPr>
    </w:p>
    <w:p>
      <w:pPr>
        <w:kinsoku w:val="0"/>
        <w:snapToGrid w:val="0"/>
        <w:rPr>
          <w:lang w:eastAsia="zh-TW"/>
        </w:rPr>
      </w:pPr>
    </w:p>
    <w:tbl>
      <w:tblPr>
        <w:tblW w:w="8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40"/>
        <w:gridCol w:w="2841"/>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vAlign w:val="top"/>
          </w:tcPr>
          <w:p>
            <w:pPr>
              <w:kinsoku w:val="0"/>
              <w:snapToGrid w:val="0"/>
            </w:pPr>
            <w:r>
              <w:rPr>
                <w:rFonts w:hint="eastAsia" w:eastAsia="PMingLiU"/>
                <w:lang w:eastAsia="zh-TW"/>
              </w:rPr>
              <w:t>執行董事</w:t>
            </w:r>
          </w:p>
        </w:tc>
        <w:tc>
          <w:tcPr>
            <w:tcW w:w="2841" w:type="dxa"/>
            <w:vAlign w:val="top"/>
          </w:tcPr>
          <w:p>
            <w:pPr>
              <w:kinsoku w:val="0"/>
              <w:snapToGrid w:val="0"/>
            </w:pPr>
            <w:r>
              <w:rPr>
                <w:rFonts w:hint="eastAsia" w:eastAsia="PMingLiU"/>
                <w:lang w:eastAsia="zh-TW"/>
              </w:rPr>
              <w:t>非執行董事</w:t>
            </w:r>
          </w:p>
        </w:tc>
        <w:tc>
          <w:tcPr>
            <w:tcW w:w="2841" w:type="dxa"/>
            <w:vAlign w:val="top"/>
          </w:tcPr>
          <w:p>
            <w:pPr>
              <w:kinsoku w:val="0"/>
              <w:snapToGrid w:val="0"/>
            </w:pPr>
            <w:r>
              <w:rPr>
                <w:rFonts w:hint="eastAsia" w:eastAsia="PMingLiU"/>
                <w:lang w:eastAsia="zh-TW"/>
              </w:rPr>
              <w:t>獨立非執行董事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vAlign w:val="top"/>
          </w:tcPr>
          <w:p>
            <w:pPr>
              <w:kinsoku w:val="0"/>
              <w:snapToGrid w:val="0"/>
            </w:pPr>
            <w:r>
              <w:rPr>
                <w:rFonts w:hint="eastAsia" w:eastAsia="PMingLiU"/>
                <w:lang w:eastAsia="zh-TW"/>
              </w:rPr>
              <w:t>張代銘先生（董事長）</w:t>
            </w:r>
          </w:p>
        </w:tc>
        <w:tc>
          <w:tcPr>
            <w:tcW w:w="2841" w:type="dxa"/>
            <w:vAlign w:val="top"/>
          </w:tcPr>
          <w:p>
            <w:pPr>
              <w:kinsoku w:val="0"/>
              <w:snapToGrid w:val="0"/>
            </w:pPr>
            <w:r>
              <w:rPr>
                <w:rFonts w:hint="eastAsia" w:eastAsia="PMingLiU"/>
                <w:lang w:eastAsia="zh-TW"/>
              </w:rPr>
              <w:t>任福龍先生</w:t>
            </w:r>
          </w:p>
        </w:tc>
        <w:tc>
          <w:tcPr>
            <w:tcW w:w="2841" w:type="dxa"/>
            <w:vAlign w:val="top"/>
          </w:tcPr>
          <w:p>
            <w:pPr>
              <w:kinsoku w:val="0"/>
              <w:snapToGrid w:val="0"/>
              <w:rPr>
                <w:rFonts w:hint="eastAsia" w:eastAsia="PMingLiU"/>
                <w:lang w:eastAsia="zh-TW"/>
              </w:rPr>
            </w:pPr>
            <w:r>
              <w:rPr>
                <w:rFonts w:hint="eastAsia" w:eastAsia="PMingLiU"/>
                <w:lang w:eastAsia="zh-TW"/>
              </w:rPr>
              <w:t>杜冠華先生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vAlign w:val="top"/>
          </w:tcPr>
          <w:p>
            <w:pPr>
              <w:kinsoku w:val="0"/>
              <w:snapToGrid w:val="0"/>
            </w:pPr>
            <w:r>
              <w:rPr>
                <w:rFonts w:hint="eastAsia" w:eastAsia="PMingLiU"/>
                <w:lang w:eastAsia="zh-TW"/>
              </w:rPr>
              <w:t>杜德平先生</w:t>
            </w:r>
          </w:p>
        </w:tc>
        <w:tc>
          <w:tcPr>
            <w:tcW w:w="2841" w:type="dxa"/>
            <w:vAlign w:val="top"/>
          </w:tcPr>
          <w:p>
            <w:pPr>
              <w:kinsoku w:val="0"/>
              <w:snapToGrid w:val="0"/>
            </w:pPr>
            <w:r>
              <w:rPr>
                <w:rFonts w:hint="eastAsia" w:eastAsia="PMingLiU"/>
                <w:lang w:eastAsia="zh-TW"/>
              </w:rPr>
              <w:t>徐</w:t>
            </w:r>
            <w:r>
              <w:rPr>
                <w:rFonts w:eastAsia="PMingLiU"/>
                <w:lang w:eastAsia="zh-TW"/>
              </w:rPr>
              <w:t xml:space="preserve">  </w:t>
            </w:r>
            <w:r>
              <w:rPr>
                <w:rFonts w:hint="eastAsia" w:eastAsia="PMingLiU"/>
                <w:lang w:eastAsia="zh-TW"/>
              </w:rPr>
              <w:t>列先生</w:t>
            </w:r>
          </w:p>
        </w:tc>
        <w:tc>
          <w:tcPr>
            <w:tcW w:w="2841" w:type="dxa"/>
            <w:vAlign w:val="top"/>
          </w:tcPr>
          <w:p>
            <w:pPr>
              <w:kinsoku w:val="0"/>
              <w:snapToGrid w:val="0"/>
              <w:rPr>
                <w:rFonts w:hint="eastAsia" w:eastAsia="PMingLiU"/>
                <w:lang w:eastAsia="zh-TW"/>
              </w:rPr>
            </w:pPr>
            <w:r>
              <w:rPr>
                <w:rFonts w:hint="eastAsia" w:eastAsia="PMingLiU"/>
                <w:lang w:eastAsia="zh-TW"/>
              </w:rPr>
              <w:t>李文明先生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vAlign w:val="top"/>
          </w:tcPr>
          <w:p>
            <w:pPr>
              <w:kinsoku w:val="0"/>
              <w:snapToGrid w:val="0"/>
            </w:pPr>
          </w:p>
        </w:tc>
        <w:tc>
          <w:tcPr>
            <w:tcW w:w="2841" w:type="dxa"/>
            <w:vAlign w:val="top"/>
          </w:tcPr>
          <w:p>
            <w:pPr>
              <w:kinsoku w:val="0"/>
              <w:snapToGrid w:val="0"/>
            </w:pPr>
            <w:r>
              <w:rPr>
                <w:rFonts w:hint="eastAsia" w:eastAsia="PMingLiU"/>
                <w:lang w:eastAsia="zh-TW"/>
              </w:rPr>
              <w:t>趙</w:t>
            </w:r>
            <w:r>
              <w:rPr>
                <w:rFonts w:eastAsia="PMingLiU"/>
                <w:lang w:eastAsia="zh-TW"/>
              </w:rPr>
              <w:t xml:space="preserve">  </w:t>
            </w:r>
            <w:r>
              <w:rPr>
                <w:rFonts w:hint="eastAsia" w:eastAsia="PMingLiU"/>
                <w:lang w:eastAsia="zh-TW"/>
              </w:rPr>
              <w:t>斌先生</w:t>
            </w:r>
          </w:p>
        </w:tc>
        <w:tc>
          <w:tcPr>
            <w:tcW w:w="2841" w:type="dxa"/>
            <w:vAlign w:val="top"/>
          </w:tcPr>
          <w:p>
            <w:pPr>
              <w:kinsoku w:val="0"/>
              <w:snapToGrid w:val="0"/>
              <w:rPr>
                <w:rFonts w:hint="eastAsia" w:eastAsia="PMingLiU"/>
                <w:lang w:eastAsia="zh-TW"/>
              </w:rPr>
            </w:pPr>
            <w:r>
              <w:rPr>
                <w:rFonts w:hint="eastAsia" w:eastAsia="PMingLiU"/>
                <w:lang w:eastAsia="zh-CN"/>
              </w:rPr>
              <w:t>盧華威</w:t>
            </w:r>
            <w:r>
              <w:rPr>
                <w:rFonts w:hint="eastAsia" w:eastAsia="PMingLiU"/>
                <w:lang w:eastAsia="zh-TW"/>
              </w:rPr>
              <w:t>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vAlign w:val="top"/>
          </w:tcPr>
          <w:p>
            <w:pPr>
              <w:kinsoku w:val="0"/>
              <w:snapToGrid w:val="0"/>
            </w:pPr>
          </w:p>
        </w:tc>
        <w:tc>
          <w:tcPr>
            <w:tcW w:w="2841" w:type="dxa"/>
            <w:vAlign w:val="top"/>
          </w:tcPr>
          <w:p>
            <w:pPr>
              <w:kinsoku w:val="0"/>
              <w:snapToGrid w:val="0"/>
            </w:pPr>
          </w:p>
        </w:tc>
        <w:tc>
          <w:tcPr>
            <w:tcW w:w="2841" w:type="dxa"/>
            <w:vAlign w:val="top"/>
          </w:tcPr>
          <w:p>
            <w:pPr>
              <w:kinsoku w:val="0"/>
              <w:snapToGrid w:val="0"/>
            </w:pPr>
          </w:p>
        </w:tc>
      </w:tr>
    </w:tbl>
    <w:p>
      <w:r>
        <w:br w:type="page"/>
      </w:r>
    </w:p>
    <w:p>
      <w:pPr>
        <w:widowControl w:val="0"/>
        <w:wordWrap/>
        <w:adjustRightInd/>
        <w:snapToGrid/>
        <w:spacing w:before="0" w:beforeAutospacing="0" w:after="0" w:afterAutospacing="0" w:line="480" w:lineRule="exact"/>
        <w:ind w:right="0"/>
        <w:jc w:val="center"/>
        <w:textAlignment w:val="auto"/>
        <w:outlineLvl w:val="9"/>
        <w:rPr>
          <w:rFonts w:hint="eastAsia"/>
        </w:rPr>
      </w:pPr>
      <w:r>
        <w:rPr>
          <w:rFonts w:hint="eastAsia"/>
        </w:rPr>
        <w:t xml:space="preserve">证券代码：000756    </w:t>
      </w:r>
      <w:r>
        <w:rPr>
          <w:rFonts w:hint="eastAsia"/>
          <w:lang w:val="en-US" w:eastAsia="zh-CN"/>
        </w:rPr>
        <w:t xml:space="preserve">      </w:t>
      </w:r>
      <w:r>
        <w:rPr>
          <w:rFonts w:hint="eastAsia"/>
        </w:rPr>
        <w:t xml:space="preserve">     证券简称：新华制药      </w:t>
      </w:r>
      <w:r>
        <w:rPr>
          <w:rFonts w:hint="eastAsia"/>
          <w:lang w:val="en-US" w:eastAsia="zh-CN"/>
        </w:rPr>
        <w:t xml:space="preserve">  </w:t>
      </w:r>
      <w:r>
        <w:rPr>
          <w:rFonts w:hint="eastAsia"/>
        </w:rPr>
        <w:t xml:space="preserve">公告编号：2018 - </w:t>
      </w:r>
      <w:r>
        <w:rPr>
          <w:rFonts w:hint="eastAsia"/>
          <w:lang w:val="en-US" w:eastAsia="zh-CN"/>
        </w:rPr>
        <w:t>34</w:t>
      </w:r>
    </w:p>
    <w:p>
      <w:pPr>
        <w:widowControl w:val="0"/>
        <w:wordWrap/>
        <w:adjustRightInd/>
        <w:snapToGrid/>
        <w:spacing w:before="0" w:beforeAutospacing="0" w:after="0" w:afterAutospacing="0" w:line="480" w:lineRule="exact"/>
        <w:ind w:right="0"/>
        <w:jc w:val="center"/>
        <w:textAlignment w:val="auto"/>
        <w:outlineLvl w:val="9"/>
        <w:rPr>
          <w:rFonts w:hint="eastAsia" w:ascii="宋体" w:hAnsi="宋体"/>
          <w:b/>
          <w:sz w:val="24"/>
        </w:rPr>
      </w:pPr>
    </w:p>
    <w:p>
      <w:pPr>
        <w:widowControl w:val="0"/>
        <w:wordWrap/>
        <w:adjustRightInd/>
        <w:snapToGrid/>
        <w:spacing w:before="0" w:beforeAutospacing="0" w:after="0" w:afterAutospacing="0" w:line="480" w:lineRule="exact"/>
        <w:ind w:right="0"/>
        <w:jc w:val="center"/>
        <w:textAlignment w:val="auto"/>
        <w:outlineLvl w:val="9"/>
        <w:rPr>
          <w:rFonts w:hint="eastAsia" w:ascii="宋体" w:hAnsi="宋体"/>
          <w:b/>
          <w:sz w:val="24"/>
        </w:rPr>
      </w:pPr>
      <w:r>
        <w:rPr>
          <w:rFonts w:hint="eastAsia" w:ascii="宋体" w:hAnsi="宋体"/>
          <w:b/>
          <w:sz w:val="24"/>
        </w:rPr>
        <w:t>山东新华制药股份有限公司</w:t>
      </w:r>
    </w:p>
    <w:p>
      <w:pPr>
        <w:widowControl w:val="0"/>
        <w:wordWrap/>
        <w:adjustRightInd/>
        <w:snapToGrid/>
        <w:spacing w:before="0" w:beforeAutospacing="0" w:after="0" w:afterAutospacing="0" w:line="480" w:lineRule="exact"/>
        <w:ind w:right="0"/>
        <w:jc w:val="center"/>
        <w:textAlignment w:val="auto"/>
        <w:outlineLvl w:val="9"/>
        <w:rPr>
          <w:rFonts w:hint="eastAsia" w:ascii="宋体" w:hAnsi="宋体"/>
          <w:b/>
          <w:sz w:val="24"/>
        </w:rPr>
      </w:pPr>
      <w:r>
        <w:rPr>
          <w:rFonts w:hint="eastAsia" w:ascii="宋体" w:hAnsi="宋体"/>
          <w:b/>
          <w:sz w:val="24"/>
        </w:rPr>
        <w:t>2017年</w:t>
      </w:r>
      <w:r>
        <w:rPr>
          <w:rFonts w:hint="eastAsia" w:ascii="宋体" w:hAnsi="宋体"/>
          <w:b/>
          <w:sz w:val="24"/>
          <w:lang w:eastAsia="zh-CN"/>
        </w:rPr>
        <w:t>度</w:t>
      </w:r>
      <w:r>
        <w:rPr>
          <w:rFonts w:hint="eastAsia" w:ascii="宋体" w:hAnsi="宋体"/>
          <w:b/>
          <w:sz w:val="24"/>
        </w:rPr>
        <w:t>A股</w:t>
      </w:r>
      <w:r>
        <w:rPr>
          <w:rFonts w:hint="eastAsia" w:ascii="宋体" w:hAnsi="宋体"/>
          <w:b/>
          <w:sz w:val="24"/>
          <w:lang w:eastAsia="zh-CN"/>
        </w:rPr>
        <w:t>权益分派</w:t>
      </w:r>
      <w:r>
        <w:rPr>
          <w:rFonts w:hint="eastAsia" w:ascii="宋体" w:hAnsi="宋体"/>
          <w:b/>
          <w:sz w:val="24"/>
        </w:rPr>
        <w:t>实施公告</w:t>
      </w:r>
    </w:p>
    <w:p>
      <w:pPr>
        <w:widowControl w:val="0"/>
        <w:wordWrap/>
        <w:adjustRightInd/>
        <w:snapToGrid/>
        <w:spacing w:before="0" w:beforeAutospacing="0" w:after="0" w:afterAutospacing="0" w:line="480" w:lineRule="exact"/>
        <w:ind w:right="0"/>
        <w:jc w:val="center"/>
        <w:textAlignment w:val="auto"/>
        <w:outlineLvl w:val="9"/>
        <w:rPr>
          <w:rFonts w:hint="eastAsia" w:ascii="宋体" w:hAnsi="宋体"/>
          <w:b/>
          <w:sz w:val="24"/>
        </w:rPr>
      </w:pPr>
    </w:p>
    <w:p>
      <w:pPr>
        <w:widowControl w:val="0"/>
        <w:wordWrap/>
        <w:adjustRightInd/>
        <w:snapToGrid/>
        <w:spacing w:before="0" w:beforeAutospacing="0" w:after="0" w:afterAutospacing="0" w:line="480" w:lineRule="exact"/>
        <w:ind w:right="0" w:firstLine="566"/>
        <w:textAlignment w:val="auto"/>
        <w:outlineLvl w:val="9"/>
        <w:rPr>
          <w:rFonts w:hint="eastAsia" w:ascii="华文楷体" w:hAnsi="华文楷体" w:eastAsia="华文楷体"/>
          <w:sz w:val="24"/>
          <w:lang w:eastAsia="zh-CN"/>
        </w:rPr>
      </w:pPr>
      <w:r>
        <w:rPr>
          <w:rFonts w:hint="eastAsia" w:ascii="华文楷体" w:hAnsi="华文楷体" w:eastAsia="华文楷体"/>
          <w:sz w:val="24"/>
        </w:rPr>
        <w:t>本公司及董事会全体成员保证信息披露的内容真实、准确、完整，没有虚假记载</w:t>
      </w:r>
      <w:r>
        <w:rPr>
          <w:rFonts w:hint="eastAsia" w:ascii="华文楷体" w:hAnsi="华文楷体" w:eastAsia="华文楷体"/>
          <w:sz w:val="24"/>
          <w:lang w:eastAsia="zh-CN"/>
        </w:rPr>
        <w:t>、误导性陈述或重大遗漏。</w:t>
      </w:r>
    </w:p>
    <w:p>
      <w:pPr>
        <w:widowControl w:val="0"/>
        <w:wordWrap/>
        <w:adjustRightInd/>
        <w:snapToGrid/>
        <w:spacing w:before="0" w:beforeAutospacing="0" w:after="0" w:afterAutospacing="0" w:line="480" w:lineRule="exact"/>
        <w:ind w:right="0" w:firstLine="566"/>
        <w:textAlignment w:val="auto"/>
        <w:outlineLvl w:val="9"/>
        <w:rPr>
          <w:rFonts w:hint="eastAsia"/>
          <w:sz w:val="24"/>
          <w:lang w:eastAsia="zh-CN"/>
        </w:rPr>
      </w:pPr>
    </w:p>
    <w:p>
      <w:pPr>
        <w:widowControl w:val="0"/>
        <w:wordWrap/>
        <w:adjustRightInd/>
        <w:snapToGrid/>
        <w:spacing w:before="0" w:beforeAutospacing="0" w:after="0" w:afterAutospacing="0" w:line="480" w:lineRule="exact"/>
        <w:ind w:right="0" w:firstLine="566"/>
        <w:textAlignment w:val="auto"/>
        <w:outlineLvl w:val="9"/>
        <w:rPr>
          <w:rFonts w:hint="eastAsia"/>
          <w:b/>
          <w:bCs/>
          <w:sz w:val="24"/>
          <w:lang w:eastAsia="zh-CN"/>
        </w:rPr>
      </w:pPr>
      <w:r>
        <w:rPr>
          <w:rFonts w:hint="eastAsia"/>
          <w:b/>
          <w:bCs/>
          <w:sz w:val="24"/>
          <w:lang w:eastAsia="zh-CN"/>
        </w:rPr>
        <w:t>特别提示：</w:t>
      </w:r>
    </w:p>
    <w:p>
      <w:pPr>
        <w:widowControl w:val="0"/>
        <w:wordWrap/>
        <w:adjustRightInd/>
        <w:snapToGrid/>
        <w:spacing w:before="0" w:beforeAutospacing="0" w:after="0" w:afterAutospacing="0" w:line="480" w:lineRule="exact"/>
        <w:ind w:right="0" w:firstLine="566"/>
        <w:textAlignment w:val="auto"/>
        <w:outlineLvl w:val="9"/>
        <w:rPr>
          <w:rFonts w:hint="eastAsia"/>
          <w:b/>
          <w:bCs/>
          <w:sz w:val="24"/>
          <w:lang w:eastAsia="zh-CN"/>
        </w:rPr>
      </w:pPr>
      <w:r>
        <w:rPr>
          <w:rFonts w:hint="eastAsia"/>
          <w:b/>
          <w:bCs/>
          <w:sz w:val="24"/>
          <w:lang w:eastAsia="zh-CN"/>
        </w:rPr>
        <w:t>● 现金红利金额及转增股本数量：每10股派发现金人民币</w:t>
      </w:r>
      <w:r>
        <w:rPr>
          <w:rFonts w:hint="eastAsia"/>
          <w:b/>
          <w:bCs/>
          <w:sz w:val="24"/>
          <w:lang w:val="en-US" w:eastAsia="zh-CN"/>
        </w:rPr>
        <w:t>0.5</w:t>
      </w:r>
      <w:r>
        <w:rPr>
          <w:rFonts w:hint="eastAsia"/>
          <w:b/>
          <w:bCs/>
          <w:sz w:val="24"/>
          <w:lang w:eastAsia="zh-CN"/>
        </w:rPr>
        <w:t>0元（含税），每10股转增3股。</w:t>
      </w:r>
    </w:p>
    <w:p>
      <w:pPr>
        <w:widowControl w:val="0"/>
        <w:wordWrap/>
        <w:adjustRightInd/>
        <w:snapToGrid/>
        <w:spacing w:before="0" w:beforeAutospacing="0" w:after="0" w:afterAutospacing="0" w:line="480" w:lineRule="exact"/>
        <w:ind w:right="0" w:firstLine="566"/>
        <w:textAlignment w:val="auto"/>
        <w:outlineLvl w:val="9"/>
        <w:rPr>
          <w:rFonts w:hint="eastAsia"/>
          <w:b/>
          <w:bCs/>
          <w:sz w:val="24"/>
          <w:lang w:eastAsia="zh-CN"/>
        </w:rPr>
      </w:pPr>
      <w:r>
        <w:rPr>
          <w:rFonts w:hint="eastAsia"/>
          <w:b/>
          <w:bCs/>
          <w:sz w:val="24"/>
          <w:lang w:eastAsia="zh-CN"/>
        </w:rPr>
        <w:t>● 股权登记日：2018年</w:t>
      </w:r>
      <w:r>
        <w:rPr>
          <w:rFonts w:hint="eastAsia"/>
          <w:b/>
          <w:bCs/>
          <w:sz w:val="24"/>
          <w:lang w:val="en-US" w:eastAsia="zh-CN"/>
        </w:rPr>
        <w:t>7</w:t>
      </w:r>
      <w:r>
        <w:rPr>
          <w:rFonts w:hint="eastAsia"/>
          <w:b/>
          <w:bCs/>
          <w:sz w:val="24"/>
          <w:lang w:eastAsia="zh-CN"/>
        </w:rPr>
        <w:t>月</w:t>
      </w:r>
      <w:r>
        <w:rPr>
          <w:rFonts w:hint="eastAsia"/>
          <w:b/>
          <w:bCs/>
          <w:sz w:val="24"/>
          <w:lang w:val="en-US" w:eastAsia="zh-CN"/>
        </w:rPr>
        <w:t>26</w:t>
      </w:r>
      <w:r>
        <w:rPr>
          <w:rFonts w:hint="eastAsia"/>
          <w:b/>
          <w:bCs/>
          <w:sz w:val="24"/>
          <w:lang w:eastAsia="zh-CN"/>
        </w:rPr>
        <w:t>日</w:t>
      </w:r>
    </w:p>
    <w:p>
      <w:pPr>
        <w:widowControl w:val="0"/>
        <w:wordWrap/>
        <w:adjustRightInd/>
        <w:snapToGrid/>
        <w:spacing w:before="0" w:beforeAutospacing="0" w:after="0" w:afterAutospacing="0" w:line="480" w:lineRule="exact"/>
        <w:ind w:right="0" w:firstLine="566"/>
        <w:textAlignment w:val="auto"/>
        <w:outlineLvl w:val="9"/>
        <w:rPr>
          <w:rFonts w:hint="eastAsia"/>
          <w:b/>
          <w:bCs/>
          <w:sz w:val="24"/>
          <w:lang w:eastAsia="zh-CN"/>
        </w:rPr>
      </w:pPr>
      <w:r>
        <w:rPr>
          <w:rFonts w:hint="eastAsia"/>
          <w:b/>
          <w:bCs/>
          <w:sz w:val="24"/>
          <w:lang w:eastAsia="zh-CN"/>
        </w:rPr>
        <w:t>● 除权除息日：2018年</w:t>
      </w:r>
      <w:r>
        <w:rPr>
          <w:rFonts w:hint="eastAsia"/>
          <w:b/>
          <w:bCs/>
          <w:sz w:val="24"/>
          <w:lang w:val="en-US" w:eastAsia="zh-CN"/>
        </w:rPr>
        <w:t>7</w:t>
      </w:r>
      <w:r>
        <w:rPr>
          <w:rFonts w:hint="eastAsia"/>
          <w:b/>
          <w:bCs/>
          <w:sz w:val="24"/>
          <w:lang w:eastAsia="zh-CN"/>
        </w:rPr>
        <w:t>月</w:t>
      </w:r>
      <w:r>
        <w:rPr>
          <w:rFonts w:hint="eastAsia"/>
          <w:b/>
          <w:bCs/>
          <w:sz w:val="24"/>
          <w:lang w:val="en-US" w:eastAsia="zh-CN"/>
        </w:rPr>
        <w:t>27</w:t>
      </w:r>
      <w:r>
        <w:rPr>
          <w:rFonts w:hint="eastAsia"/>
          <w:b/>
          <w:bCs/>
          <w:sz w:val="24"/>
          <w:lang w:eastAsia="zh-CN"/>
        </w:rPr>
        <w:t>日</w:t>
      </w:r>
    </w:p>
    <w:p>
      <w:pPr>
        <w:widowControl w:val="0"/>
        <w:wordWrap/>
        <w:adjustRightInd/>
        <w:snapToGrid/>
        <w:spacing w:before="0" w:beforeAutospacing="0" w:after="0" w:afterAutospacing="0" w:line="480" w:lineRule="exact"/>
        <w:ind w:right="0" w:firstLine="566"/>
        <w:textAlignment w:val="auto"/>
        <w:outlineLvl w:val="9"/>
        <w:rPr>
          <w:rFonts w:hint="eastAsia"/>
          <w:b/>
          <w:bCs/>
          <w:sz w:val="24"/>
          <w:lang w:eastAsia="zh-CN"/>
        </w:rPr>
      </w:pPr>
      <w:r>
        <w:rPr>
          <w:rFonts w:hint="eastAsia"/>
          <w:b/>
          <w:bCs/>
          <w:sz w:val="24"/>
          <w:lang w:eastAsia="zh-CN"/>
        </w:rPr>
        <w:t>●H股股东的权益分派不适用本公告，H 股股东的权益分派安排请参见公司于香港联合交易所有限公司及本公司网站发布的相关公告。</w:t>
      </w:r>
    </w:p>
    <w:p>
      <w:pPr>
        <w:widowControl w:val="0"/>
        <w:wordWrap/>
        <w:adjustRightInd/>
        <w:snapToGrid/>
        <w:spacing w:before="0" w:beforeAutospacing="0" w:after="0" w:afterAutospacing="0" w:line="480" w:lineRule="exact"/>
        <w:ind w:right="0" w:firstLine="566"/>
        <w:textAlignment w:val="auto"/>
        <w:outlineLvl w:val="9"/>
        <w:rPr>
          <w:rFonts w:hint="eastAsia"/>
          <w:b/>
          <w:bCs/>
          <w:sz w:val="24"/>
          <w:lang w:eastAsia="zh-CN"/>
        </w:rPr>
      </w:pPr>
    </w:p>
    <w:p>
      <w:pPr>
        <w:widowControl w:val="0"/>
        <w:wordWrap/>
        <w:adjustRightInd/>
        <w:snapToGrid/>
        <w:spacing w:before="0" w:beforeAutospacing="0" w:after="0" w:afterAutospacing="0" w:line="480" w:lineRule="exact"/>
        <w:ind w:right="0" w:firstLine="482" w:firstLineChars="200"/>
        <w:textAlignment w:val="auto"/>
        <w:outlineLvl w:val="9"/>
        <w:rPr>
          <w:rFonts w:hint="eastAsia"/>
          <w:b/>
          <w:sz w:val="24"/>
          <w:lang w:eastAsia="zh-CN"/>
        </w:rPr>
      </w:pPr>
      <w:r>
        <w:rPr>
          <w:rFonts w:hint="eastAsia"/>
          <w:b/>
          <w:sz w:val="24"/>
          <w:lang w:eastAsia="zh-CN"/>
        </w:rPr>
        <w:t>一、股东大会审议通过利润分配及资本公积金转增股本方案等情况</w:t>
      </w:r>
    </w:p>
    <w:p>
      <w:pPr>
        <w:widowControl w:val="0"/>
        <w:wordWrap/>
        <w:adjustRightInd/>
        <w:snapToGrid/>
        <w:spacing w:before="0" w:beforeAutospacing="0" w:after="0" w:afterAutospacing="0" w:line="480" w:lineRule="exact"/>
        <w:ind w:right="0" w:firstLine="480" w:firstLineChars="200"/>
        <w:textAlignment w:val="auto"/>
        <w:outlineLvl w:val="9"/>
        <w:rPr>
          <w:rFonts w:hint="eastAsia"/>
          <w:sz w:val="24"/>
          <w:lang w:eastAsia="zh-CN"/>
        </w:rPr>
      </w:pPr>
      <w:r>
        <w:rPr>
          <w:rFonts w:hint="eastAsia"/>
          <w:sz w:val="24"/>
          <w:lang w:val="en-US" w:eastAsia="zh-CN"/>
        </w:rPr>
        <w:t>1、</w:t>
      </w:r>
      <w:r>
        <w:rPr>
          <w:rFonts w:hint="eastAsia"/>
          <w:sz w:val="24"/>
        </w:rPr>
        <w:t>山东新华制药股份有限公司（“本公司”）2017年</w:t>
      </w:r>
      <w:r>
        <w:rPr>
          <w:rFonts w:hint="eastAsia"/>
          <w:sz w:val="24"/>
          <w:lang w:eastAsia="zh-CN"/>
        </w:rPr>
        <w:t>度权益分派</w:t>
      </w:r>
      <w:r>
        <w:rPr>
          <w:rFonts w:hint="eastAsia"/>
          <w:sz w:val="24"/>
        </w:rPr>
        <w:t>方案已</w:t>
      </w:r>
      <w:r>
        <w:rPr>
          <w:rFonts w:hint="eastAsia"/>
          <w:sz w:val="24"/>
          <w:lang w:eastAsia="zh-CN"/>
        </w:rPr>
        <w:t>分别</w:t>
      </w:r>
      <w:r>
        <w:rPr>
          <w:rFonts w:hint="eastAsia"/>
          <w:sz w:val="24"/>
        </w:rPr>
        <w:t>获</w:t>
      </w:r>
      <w:r>
        <w:rPr>
          <w:rFonts w:hint="eastAsia"/>
          <w:sz w:val="24"/>
          <w:lang w:eastAsia="zh-CN"/>
        </w:rPr>
        <w:t>得</w:t>
      </w:r>
      <w:r>
        <w:rPr>
          <w:rFonts w:hint="eastAsia"/>
          <w:sz w:val="24"/>
        </w:rPr>
        <w:t>201</w:t>
      </w:r>
      <w:r>
        <w:rPr>
          <w:rFonts w:hint="eastAsia"/>
          <w:sz w:val="24"/>
          <w:lang w:val="en-US" w:eastAsia="zh-CN"/>
        </w:rPr>
        <w:t>8</w:t>
      </w:r>
      <w:r>
        <w:rPr>
          <w:rFonts w:hint="eastAsia"/>
          <w:sz w:val="24"/>
        </w:rPr>
        <w:t>年</w:t>
      </w:r>
      <w:r>
        <w:rPr>
          <w:rFonts w:hint="eastAsia"/>
          <w:sz w:val="24"/>
          <w:lang w:val="en-US" w:eastAsia="zh-CN"/>
        </w:rPr>
        <w:t>6</w:t>
      </w:r>
      <w:r>
        <w:rPr>
          <w:rFonts w:hint="eastAsia"/>
          <w:sz w:val="24"/>
        </w:rPr>
        <w:t>月</w:t>
      </w:r>
      <w:r>
        <w:rPr>
          <w:rFonts w:hint="eastAsia"/>
          <w:sz w:val="24"/>
          <w:lang w:val="en-US" w:eastAsia="zh-CN"/>
        </w:rPr>
        <w:t>29</w:t>
      </w:r>
      <w:r>
        <w:rPr>
          <w:rFonts w:hint="eastAsia"/>
          <w:sz w:val="24"/>
        </w:rPr>
        <w:t>日召开的2017年</w:t>
      </w:r>
      <w:r>
        <w:rPr>
          <w:rFonts w:hint="eastAsia"/>
          <w:sz w:val="24"/>
          <w:lang w:eastAsia="zh-CN"/>
        </w:rPr>
        <w:t>度周年股东大会、</w:t>
      </w:r>
      <w:r>
        <w:rPr>
          <w:rFonts w:hint="eastAsia"/>
          <w:sz w:val="24"/>
          <w:lang w:val="en-US" w:eastAsia="zh-CN"/>
        </w:rPr>
        <w:t>2018年</w:t>
      </w:r>
      <w:r>
        <w:rPr>
          <w:rFonts w:hint="eastAsia"/>
          <w:sz w:val="24"/>
        </w:rPr>
        <w:t>第一次</w:t>
      </w:r>
      <w:r>
        <w:rPr>
          <w:rFonts w:hint="eastAsia"/>
          <w:sz w:val="24"/>
          <w:lang w:val="en-US" w:eastAsia="zh-CN"/>
        </w:rPr>
        <w:t>A股类别</w:t>
      </w:r>
      <w:r>
        <w:rPr>
          <w:rFonts w:hint="eastAsia"/>
          <w:sz w:val="24"/>
        </w:rPr>
        <w:t>股东大会</w:t>
      </w:r>
      <w:r>
        <w:rPr>
          <w:rFonts w:hint="eastAsia"/>
          <w:sz w:val="24"/>
          <w:lang w:eastAsia="zh-CN"/>
        </w:rPr>
        <w:t>及</w:t>
      </w:r>
      <w:r>
        <w:rPr>
          <w:rFonts w:hint="eastAsia"/>
          <w:sz w:val="24"/>
          <w:lang w:val="en-US" w:eastAsia="zh-CN"/>
        </w:rPr>
        <w:t>2018年</w:t>
      </w:r>
      <w:r>
        <w:rPr>
          <w:rFonts w:hint="eastAsia"/>
          <w:sz w:val="24"/>
        </w:rPr>
        <w:t>第一次</w:t>
      </w:r>
      <w:r>
        <w:rPr>
          <w:rFonts w:hint="eastAsia"/>
          <w:sz w:val="24"/>
          <w:lang w:val="en-US" w:eastAsia="zh-CN"/>
        </w:rPr>
        <w:t>H股类别</w:t>
      </w:r>
      <w:r>
        <w:rPr>
          <w:rFonts w:hint="eastAsia"/>
          <w:sz w:val="24"/>
        </w:rPr>
        <w:t>股东大会审议通过</w:t>
      </w:r>
      <w:r>
        <w:rPr>
          <w:rFonts w:hint="eastAsia"/>
          <w:sz w:val="24"/>
          <w:lang w:eastAsia="zh-CN"/>
        </w:rPr>
        <w:t>。公司2017年度利润分配方案的具体内容为：以公司现有股本</w:t>
      </w:r>
      <w:r>
        <w:rPr>
          <w:rFonts w:hint="eastAsia"/>
          <w:sz w:val="24"/>
          <w:lang w:val="en-US" w:eastAsia="zh-CN"/>
        </w:rPr>
        <w:t>478,353,421股（其中A股328,353,421股，H股150,000,000股）</w:t>
      </w:r>
      <w:r>
        <w:rPr>
          <w:rFonts w:hint="eastAsia"/>
          <w:sz w:val="24"/>
          <w:lang w:eastAsia="zh-CN"/>
        </w:rPr>
        <w:t>为基数，向全体股东每10股派发现金红利</w:t>
      </w:r>
      <w:r>
        <w:rPr>
          <w:rFonts w:hint="eastAsia"/>
          <w:sz w:val="24"/>
          <w:lang w:val="en-US" w:eastAsia="zh-CN"/>
        </w:rPr>
        <w:t>0.50</w:t>
      </w:r>
      <w:r>
        <w:rPr>
          <w:rFonts w:hint="eastAsia"/>
          <w:sz w:val="24"/>
          <w:lang w:eastAsia="zh-CN"/>
        </w:rPr>
        <w:t>元（含税），以资本公积金向全体股东每10股转增3股。</w:t>
      </w:r>
    </w:p>
    <w:p>
      <w:pPr>
        <w:widowControl w:val="0"/>
        <w:wordWrap/>
        <w:adjustRightInd/>
        <w:snapToGrid/>
        <w:spacing w:before="0" w:beforeAutospacing="0" w:after="0" w:afterAutospacing="0" w:line="480" w:lineRule="exact"/>
        <w:ind w:right="0" w:firstLine="480" w:firstLineChars="200"/>
        <w:textAlignment w:val="auto"/>
        <w:outlineLvl w:val="9"/>
        <w:rPr>
          <w:rFonts w:hint="eastAsia"/>
          <w:sz w:val="24"/>
          <w:lang w:eastAsia="zh-CN"/>
        </w:rPr>
      </w:pPr>
      <w:r>
        <w:rPr>
          <w:rFonts w:hint="eastAsia"/>
          <w:sz w:val="24"/>
          <w:lang w:val="en-US" w:eastAsia="zh-CN"/>
        </w:rPr>
        <w:t>2、</w:t>
      </w:r>
      <w:r>
        <w:rPr>
          <w:rFonts w:hint="eastAsia"/>
          <w:sz w:val="24"/>
        </w:rPr>
        <w:t>自</w:t>
      </w:r>
      <w:r>
        <w:rPr>
          <w:rFonts w:hint="eastAsia"/>
          <w:sz w:val="24"/>
          <w:lang w:eastAsia="zh-CN"/>
        </w:rPr>
        <w:t>上述</w:t>
      </w:r>
      <w:r>
        <w:rPr>
          <w:rFonts w:hint="eastAsia"/>
          <w:sz w:val="24"/>
        </w:rPr>
        <w:t>分配方案披露至实施期间公司股本总额未发生变化</w:t>
      </w:r>
      <w:r>
        <w:rPr>
          <w:rFonts w:hint="eastAsia"/>
          <w:sz w:val="24"/>
          <w:lang w:eastAsia="zh-CN"/>
        </w:rPr>
        <w:t>。</w:t>
      </w:r>
    </w:p>
    <w:p>
      <w:pPr>
        <w:widowControl w:val="0"/>
        <w:wordWrap/>
        <w:adjustRightInd/>
        <w:snapToGrid/>
        <w:spacing w:before="0" w:beforeAutospacing="0" w:after="0" w:afterAutospacing="0" w:line="480" w:lineRule="exact"/>
        <w:ind w:right="0" w:firstLine="480" w:firstLineChars="200"/>
        <w:textAlignment w:val="auto"/>
        <w:outlineLvl w:val="9"/>
        <w:rPr>
          <w:rFonts w:hint="eastAsia"/>
          <w:sz w:val="24"/>
          <w:lang w:eastAsia="zh-CN"/>
        </w:rPr>
      </w:pPr>
      <w:r>
        <w:rPr>
          <w:rFonts w:hint="eastAsia"/>
          <w:sz w:val="24"/>
          <w:lang w:val="en-US" w:eastAsia="zh-CN"/>
        </w:rPr>
        <w:t>3、</w:t>
      </w:r>
      <w:r>
        <w:rPr>
          <w:rFonts w:hint="eastAsia"/>
          <w:sz w:val="24"/>
        </w:rPr>
        <w:t>本次实施的</w:t>
      </w:r>
      <w:r>
        <w:rPr>
          <w:rFonts w:hint="eastAsia"/>
          <w:sz w:val="24"/>
          <w:lang w:eastAsia="zh-CN"/>
        </w:rPr>
        <w:t>权益派发</w:t>
      </w:r>
      <w:r>
        <w:rPr>
          <w:rFonts w:hint="eastAsia"/>
          <w:sz w:val="24"/>
        </w:rPr>
        <w:t>方案与2017年</w:t>
      </w:r>
      <w:r>
        <w:rPr>
          <w:rFonts w:hint="eastAsia"/>
          <w:sz w:val="24"/>
          <w:lang w:eastAsia="zh-CN"/>
        </w:rPr>
        <w:t>度周年股东大会、</w:t>
      </w:r>
      <w:r>
        <w:rPr>
          <w:rFonts w:hint="eastAsia"/>
          <w:sz w:val="24"/>
          <w:lang w:val="en-US" w:eastAsia="zh-CN"/>
        </w:rPr>
        <w:t>2018年</w:t>
      </w:r>
      <w:r>
        <w:rPr>
          <w:rFonts w:hint="eastAsia"/>
          <w:sz w:val="24"/>
        </w:rPr>
        <w:t>第一次</w:t>
      </w:r>
      <w:r>
        <w:rPr>
          <w:rFonts w:hint="eastAsia"/>
          <w:sz w:val="24"/>
          <w:lang w:val="en-US" w:eastAsia="zh-CN"/>
        </w:rPr>
        <w:t>A股类别</w:t>
      </w:r>
      <w:r>
        <w:rPr>
          <w:rFonts w:hint="eastAsia"/>
          <w:sz w:val="24"/>
        </w:rPr>
        <w:t>股东大会</w:t>
      </w:r>
      <w:r>
        <w:rPr>
          <w:rFonts w:hint="eastAsia"/>
          <w:sz w:val="24"/>
          <w:lang w:eastAsia="zh-CN"/>
        </w:rPr>
        <w:t>及</w:t>
      </w:r>
      <w:r>
        <w:rPr>
          <w:rFonts w:hint="eastAsia"/>
          <w:sz w:val="24"/>
          <w:lang w:val="en-US" w:eastAsia="zh-CN"/>
        </w:rPr>
        <w:t>2018年</w:t>
      </w:r>
      <w:r>
        <w:rPr>
          <w:rFonts w:hint="eastAsia"/>
          <w:sz w:val="24"/>
        </w:rPr>
        <w:t>第一次</w:t>
      </w:r>
      <w:r>
        <w:rPr>
          <w:rFonts w:hint="eastAsia"/>
          <w:sz w:val="24"/>
          <w:lang w:val="en-US" w:eastAsia="zh-CN"/>
        </w:rPr>
        <w:t>H股类别</w:t>
      </w:r>
      <w:r>
        <w:rPr>
          <w:rFonts w:hint="eastAsia"/>
          <w:sz w:val="24"/>
        </w:rPr>
        <w:t>股东大会审议通过的</w:t>
      </w:r>
      <w:r>
        <w:rPr>
          <w:rFonts w:hint="eastAsia"/>
          <w:sz w:val="24"/>
          <w:lang w:eastAsia="zh-CN"/>
        </w:rPr>
        <w:t>利润</w:t>
      </w:r>
      <w:r>
        <w:rPr>
          <w:rFonts w:hint="eastAsia"/>
          <w:sz w:val="24"/>
        </w:rPr>
        <w:t>分配方案一致</w:t>
      </w:r>
      <w:r>
        <w:rPr>
          <w:rFonts w:hint="eastAsia"/>
          <w:sz w:val="24"/>
          <w:lang w:eastAsia="zh-CN"/>
        </w:rPr>
        <w:t>。</w:t>
      </w:r>
    </w:p>
    <w:p>
      <w:pPr>
        <w:widowControl w:val="0"/>
        <w:wordWrap/>
        <w:adjustRightInd/>
        <w:snapToGrid/>
        <w:spacing w:before="0" w:beforeAutospacing="0" w:after="0" w:afterAutospacing="0" w:line="480" w:lineRule="exact"/>
        <w:ind w:right="0" w:firstLine="480" w:firstLineChars="200"/>
        <w:textAlignment w:val="auto"/>
        <w:outlineLvl w:val="9"/>
        <w:rPr>
          <w:sz w:val="24"/>
        </w:rPr>
      </w:pPr>
      <w:r>
        <w:rPr>
          <w:rFonts w:hint="eastAsia"/>
          <w:sz w:val="24"/>
          <w:lang w:val="en-US" w:eastAsia="zh-CN"/>
        </w:rPr>
        <w:t>4、</w:t>
      </w:r>
      <w:r>
        <w:rPr>
          <w:sz w:val="24"/>
        </w:rPr>
        <w:t>本次权益分派的实施距离公司</w:t>
      </w:r>
      <w:r>
        <w:rPr>
          <w:rFonts w:hint="eastAsia"/>
          <w:sz w:val="24"/>
        </w:rPr>
        <w:t>2017年</w:t>
      </w:r>
      <w:r>
        <w:rPr>
          <w:rFonts w:hint="eastAsia"/>
          <w:sz w:val="24"/>
          <w:lang w:eastAsia="zh-CN"/>
        </w:rPr>
        <w:t>度周年股东大会、</w:t>
      </w:r>
      <w:r>
        <w:rPr>
          <w:rFonts w:hint="eastAsia"/>
          <w:sz w:val="24"/>
          <w:lang w:val="en-US" w:eastAsia="zh-CN"/>
        </w:rPr>
        <w:t>2018年</w:t>
      </w:r>
      <w:r>
        <w:rPr>
          <w:rFonts w:hint="eastAsia"/>
          <w:sz w:val="24"/>
        </w:rPr>
        <w:t>第一次</w:t>
      </w:r>
      <w:r>
        <w:rPr>
          <w:rFonts w:hint="eastAsia"/>
          <w:sz w:val="24"/>
          <w:lang w:val="en-US" w:eastAsia="zh-CN"/>
        </w:rPr>
        <w:t>A股类别</w:t>
      </w:r>
      <w:r>
        <w:rPr>
          <w:rFonts w:hint="eastAsia"/>
          <w:sz w:val="24"/>
        </w:rPr>
        <w:t>股东大会</w:t>
      </w:r>
      <w:r>
        <w:rPr>
          <w:rFonts w:hint="eastAsia"/>
          <w:sz w:val="24"/>
          <w:lang w:eastAsia="zh-CN"/>
        </w:rPr>
        <w:t>及</w:t>
      </w:r>
      <w:r>
        <w:rPr>
          <w:rFonts w:hint="eastAsia"/>
          <w:sz w:val="24"/>
          <w:lang w:val="en-US" w:eastAsia="zh-CN"/>
        </w:rPr>
        <w:t>2018年</w:t>
      </w:r>
      <w:r>
        <w:rPr>
          <w:rFonts w:hint="eastAsia"/>
          <w:sz w:val="24"/>
        </w:rPr>
        <w:t>第一次</w:t>
      </w:r>
      <w:r>
        <w:rPr>
          <w:rFonts w:hint="eastAsia"/>
          <w:sz w:val="24"/>
          <w:lang w:val="en-US" w:eastAsia="zh-CN"/>
        </w:rPr>
        <w:t>H股类别</w:t>
      </w:r>
      <w:r>
        <w:rPr>
          <w:rFonts w:hint="eastAsia"/>
          <w:sz w:val="24"/>
        </w:rPr>
        <w:t>股东大会</w:t>
      </w:r>
      <w:r>
        <w:rPr>
          <w:sz w:val="24"/>
        </w:rPr>
        <w:t>通过的利润分配方案的时间未超过两个月。</w:t>
      </w:r>
    </w:p>
    <w:p>
      <w:pPr>
        <w:widowControl w:val="0"/>
        <w:wordWrap/>
        <w:adjustRightInd/>
        <w:snapToGrid/>
        <w:spacing w:before="0" w:beforeAutospacing="0" w:after="0" w:afterAutospacing="0" w:line="480" w:lineRule="exact"/>
        <w:ind w:right="0" w:firstLine="480" w:firstLineChars="200"/>
        <w:textAlignment w:val="auto"/>
        <w:outlineLvl w:val="9"/>
        <w:rPr>
          <w:sz w:val="24"/>
        </w:rPr>
      </w:pPr>
    </w:p>
    <w:p>
      <w:pPr>
        <w:widowControl w:val="0"/>
        <w:wordWrap/>
        <w:adjustRightInd/>
        <w:snapToGrid/>
        <w:spacing w:before="0" w:beforeAutospacing="0" w:after="0" w:afterAutospacing="0" w:line="480" w:lineRule="exact"/>
        <w:ind w:right="0" w:firstLine="482" w:firstLineChars="200"/>
        <w:textAlignment w:val="auto"/>
        <w:outlineLvl w:val="9"/>
        <w:rPr>
          <w:b/>
          <w:sz w:val="24"/>
        </w:rPr>
      </w:pPr>
      <w:r>
        <w:rPr>
          <w:rFonts w:hint="eastAsia"/>
          <w:b/>
          <w:sz w:val="24"/>
          <w:lang w:eastAsia="zh-CN"/>
        </w:rPr>
        <w:t>二</w:t>
      </w:r>
      <w:r>
        <w:rPr>
          <w:rFonts w:hint="eastAsia"/>
          <w:b/>
          <w:sz w:val="24"/>
        </w:rPr>
        <w:t>、</w:t>
      </w:r>
      <w:r>
        <w:rPr>
          <w:rFonts w:hint="eastAsia"/>
          <w:b/>
          <w:sz w:val="24"/>
          <w:lang w:eastAsia="zh-CN"/>
        </w:rPr>
        <w:t>本次实施的</w:t>
      </w:r>
      <w:r>
        <w:rPr>
          <w:rFonts w:hint="eastAsia"/>
          <w:b/>
          <w:sz w:val="24"/>
          <w:lang w:val="en-US" w:eastAsia="zh-CN"/>
        </w:rPr>
        <w:t>A股</w:t>
      </w:r>
      <w:r>
        <w:rPr>
          <w:rFonts w:hint="eastAsia"/>
          <w:b/>
          <w:sz w:val="24"/>
          <w:lang w:eastAsia="zh-CN"/>
        </w:rPr>
        <w:t>权益分派</w:t>
      </w:r>
      <w:r>
        <w:rPr>
          <w:rFonts w:hint="eastAsia"/>
          <w:b/>
          <w:sz w:val="24"/>
        </w:rPr>
        <w:t>方案</w:t>
      </w:r>
    </w:p>
    <w:p>
      <w:pPr>
        <w:widowControl w:val="0"/>
        <w:wordWrap/>
        <w:adjustRightInd/>
        <w:snapToGrid/>
        <w:spacing w:before="0" w:beforeAutospacing="0" w:after="0" w:afterAutospacing="0" w:line="480" w:lineRule="exact"/>
        <w:ind w:right="0" w:firstLine="566"/>
        <w:textAlignment w:val="auto"/>
        <w:outlineLvl w:val="9"/>
        <w:rPr>
          <w:rFonts w:hint="eastAsia"/>
          <w:sz w:val="24"/>
        </w:rPr>
      </w:pPr>
      <w:r>
        <w:rPr>
          <w:rFonts w:hint="eastAsia"/>
          <w:sz w:val="24"/>
        </w:rPr>
        <w:t>本公司2017年</w:t>
      </w:r>
      <w:r>
        <w:rPr>
          <w:rFonts w:hint="eastAsia"/>
          <w:sz w:val="24"/>
          <w:lang w:eastAsia="zh-CN"/>
        </w:rPr>
        <w:t>度</w:t>
      </w:r>
      <w:r>
        <w:rPr>
          <w:rFonts w:hint="eastAsia"/>
          <w:sz w:val="24"/>
          <w:lang w:val="en-US" w:eastAsia="zh-CN"/>
        </w:rPr>
        <w:t>A股</w:t>
      </w:r>
      <w:r>
        <w:rPr>
          <w:rFonts w:hint="eastAsia"/>
          <w:sz w:val="24"/>
          <w:lang w:eastAsia="zh-CN"/>
        </w:rPr>
        <w:t>权益分派</w:t>
      </w:r>
      <w:r>
        <w:rPr>
          <w:rFonts w:hint="eastAsia"/>
          <w:sz w:val="24"/>
        </w:rPr>
        <w:t>方案为：以本公司现有A股328,353,421股为基数，向全体</w:t>
      </w:r>
      <w:r>
        <w:rPr>
          <w:rFonts w:hint="eastAsia"/>
          <w:sz w:val="24"/>
          <w:lang w:val="en-US" w:eastAsia="zh-CN"/>
        </w:rPr>
        <w:t>A股</w:t>
      </w:r>
      <w:r>
        <w:rPr>
          <w:rFonts w:hint="eastAsia"/>
          <w:sz w:val="24"/>
        </w:rPr>
        <w:t>股东每</w:t>
      </w:r>
      <w:r>
        <w:rPr>
          <w:sz w:val="24"/>
        </w:rPr>
        <w:t>10</w:t>
      </w:r>
      <w:r>
        <w:rPr>
          <w:rFonts w:hint="eastAsia"/>
          <w:sz w:val="24"/>
        </w:rPr>
        <w:t>股派0.</w:t>
      </w:r>
      <w:r>
        <w:rPr>
          <w:rFonts w:hint="eastAsia"/>
          <w:sz w:val="24"/>
          <w:lang w:val="en-US" w:eastAsia="zh-CN"/>
        </w:rPr>
        <w:t>5</w:t>
      </w:r>
      <w:r>
        <w:rPr>
          <w:rFonts w:hint="eastAsia"/>
          <w:sz w:val="24"/>
        </w:rPr>
        <w:t>0元人民币现金（含税；扣税后，通过深股通持有本公司A股股份的香港市场投资者、QFII、RQFII以及持有首发前限售股的个人和证券投资基金每10股派0.</w:t>
      </w:r>
      <w:r>
        <w:rPr>
          <w:rFonts w:hint="eastAsia"/>
          <w:sz w:val="24"/>
          <w:lang w:val="en-US" w:eastAsia="zh-CN"/>
        </w:rPr>
        <w:t>45</w:t>
      </w:r>
      <w:r>
        <w:rPr>
          <w:rFonts w:hint="eastAsia"/>
          <w:sz w:val="24"/>
        </w:rPr>
        <w:t>0000元；持有首发后限售股、股权激励限售股及无限售流通股的个人股息红利税实行差别化税率征收，本公司暂不扣缴个人所得税，待个人转让股票时，根据其持股期限计算应纳税额【注】；持有首发后限售股、股权激励限售股及无限售流通股的证券投资基金所涉红利税，对香港投资者持有基金份额部分按10%征收，对内地投资者持有基金份额部分实行差别化税率征收）</w:t>
      </w:r>
      <w:r>
        <w:rPr>
          <w:rFonts w:hint="eastAsia"/>
          <w:sz w:val="24"/>
          <w:lang w:eastAsia="zh-CN"/>
        </w:rPr>
        <w:t>；同时，以资本公积金向全体 A 股股东每10股转增3股</w:t>
      </w:r>
      <w:r>
        <w:rPr>
          <w:rFonts w:hint="eastAsia"/>
          <w:sz w:val="24"/>
        </w:rPr>
        <w:t>。</w:t>
      </w:r>
    </w:p>
    <w:p>
      <w:pPr>
        <w:widowControl w:val="0"/>
        <w:wordWrap/>
        <w:adjustRightInd/>
        <w:snapToGrid/>
        <w:spacing w:before="0" w:beforeAutospacing="0" w:after="0" w:afterAutospacing="0" w:line="480" w:lineRule="exact"/>
        <w:ind w:right="0" w:firstLine="566"/>
        <w:textAlignment w:val="auto"/>
        <w:outlineLvl w:val="9"/>
        <w:rPr>
          <w:rFonts w:hint="eastAsia"/>
          <w:sz w:val="24"/>
        </w:rPr>
      </w:pPr>
      <w:r>
        <w:rPr>
          <w:rFonts w:hint="eastAsia"/>
          <w:sz w:val="24"/>
        </w:rPr>
        <w:t>【注：根据先进先出的原则，以投资者证券账户为单位计算持股期限，持股1个月（含1个月）以内，每10股补缴税款0.</w:t>
      </w:r>
      <w:r>
        <w:rPr>
          <w:rFonts w:hint="eastAsia"/>
          <w:sz w:val="24"/>
          <w:lang w:val="en-US" w:eastAsia="zh-CN"/>
        </w:rPr>
        <w:t>10</w:t>
      </w:r>
      <w:r>
        <w:rPr>
          <w:rFonts w:hint="eastAsia"/>
          <w:sz w:val="24"/>
        </w:rPr>
        <w:t>0000元；持股1个月以上至1年（含1年）的，每10股补缴税款0.0</w:t>
      </w:r>
      <w:r>
        <w:rPr>
          <w:rFonts w:hint="eastAsia"/>
          <w:sz w:val="24"/>
          <w:lang w:val="en-US" w:eastAsia="zh-CN"/>
        </w:rPr>
        <w:t>5</w:t>
      </w:r>
      <w:r>
        <w:rPr>
          <w:rFonts w:hint="eastAsia"/>
          <w:sz w:val="24"/>
        </w:rPr>
        <w:t>0000元；持股超过1年的，不需补缴税款。】</w:t>
      </w:r>
    </w:p>
    <w:p>
      <w:pPr>
        <w:widowControl w:val="0"/>
        <w:wordWrap/>
        <w:adjustRightInd/>
        <w:snapToGrid/>
        <w:spacing w:before="0" w:beforeAutospacing="0" w:after="0" w:afterAutospacing="0" w:line="480" w:lineRule="exact"/>
        <w:ind w:right="0" w:firstLine="566"/>
        <w:textAlignment w:val="auto"/>
        <w:outlineLvl w:val="9"/>
        <w:rPr>
          <w:rFonts w:hint="eastAsia"/>
          <w:sz w:val="24"/>
        </w:rPr>
      </w:pPr>
      <w:r>
        <w:rPr>
          <w:rFonts w:hint="eastAsia"/>
          <w:sz w:val="24"/>
        </w:rPr>
        <w:t xml:space="preserve">本次权益分派前本公司总股本 </w:t>
      </w:r>
      <w:r>
        <w:rPr>
          <w:rFonts w:hint="eastAsia"/>
          <w:sz w:val="24"/>
          <w:lang w:val="en-US" w:eastAsia="zh-CN"/>
        </w:rPr>
        <w:t>478</w:t>
      </w:r>
      <w:r>
        <w:rPr>
          <w:rFonts w:hint="eastAsia"/>
          <w:sz w:val="24"/>
        </w:rPr>
        <w:t>,</w:t>
      </w:r>
      <w:r>
        <w:rPr>
          <w:rFonts w:hint="eastAsia"/>
          <w:sz w:val="24"/>
          <w:lang w:val="en-US" w:eastAsia="zh-CN"/>
        </w:rPr>
        <w:t>353</w:t>
      </w:r>
      <w:r>
        <w:rPr>
          <w:rFonts w:hint="eastAsia"/>
          <w:sz w:val="24"/>
        </w:rPr>
        <w:t>,</w:t>
      </w:r>
      <w:r>
        <w:rPr>
          <w:rFonts w:hint="eastAsia"/>
          <w:sz w:val="24"/>
          <w:lang w:val="en-US" w:eastAsia="zh-CN"/>
        </w:rPr>
        <w:t>421</w:t>
      </w:r>
      <w:r>
        <w:rPr>
          <w:rFonts w:hint="eastAsia"/>
          <w:sz w:val="24"/>
        </w:rPr>
        <w:t>股（A股</w:t>
      </w:r>
      <w:r>
        <w:rPr>
          <w:rFonts w:hint="eastAsia"/>
          <w:sz w:val="24"/>
          <w:lang w:val="en-US" w:eastAsia="zh-CN"/>
        </w:rPr>
        <w:t>328,353</w:t>
      </w:r>
      <w:r>
        <w:rPr>
          <w:rFonts w:hint="eastAsia"/>
          <w:sz w:val="24"/>
        </w:rPr>
        <w:t>,</w:t>
      </w:r>
      <w:r>
        <w:rPr>
          <w:rFonts w:hint="eastAsia"/>
          <w:sz w:val="24"/>
          <w:lang w:val="en-US" w:eastAsia="zh-CN"/>
        </w:rPr>
        <w:t>421</w:t>
      </w:r>
      <w:r>
        <w:rPr>
          <w:rFonts w:hint="eastAsia"/>
          <w:sz w:val="24"/>
        </w:rPr>
        <w:t>股，H股</w:t>
      </w:r>
      <w:r>
        <w:rPr>
          <w:rFonts w:hint="eastAsia"/>
          <w:sz w:val="24"/>
          <w:lang w:val="en-US" w:eastAsia="zh-CN"/>
        </w:rPr>
        <w:t>150,000,000</w:t>
      </w:r>
      <w:r>
        <w:rPr>
          <w:rFonts w:hint="eastAsia"/>
          <w:sz w:val="24"/>
        </w:rPr>
        <w:t xml:space="preserve">股），权益分派后总股本增至 </w:t>
      </w:r>
      <w:r>
        <w:rPr>
          <w:rFonts w:hint="eastAsia"/>
          <w:sz w:val="24"/>
          <w:lang w:val="en-US" w:eastAsia="zh-CN"/>
        </w:rPr>
        <w:t>621,859,447</w:t>
      </w:r>
      <w:r>
        <w:rPr>
          <w:rFonts w:hint="eastAsia"/>
          <w:sz w:val="24"/>
        </w:rPr>
        <w:t xml:space="preserve">股（A 股 </w:t>
      </w:r>
      <w:r>
        <w:rPr>
          <w:rFonts w:hint="eastAsia"/>
          <w:sz w:val="24"/>
          <w:lang w:val="en-US" w:eastAsia="zh-CN"/>
        </w:rPr>
        <w:t>426,859,447</w:t>
      </w:r>
      <w:r>
        <w:rPr>
          <w:rFonts w:hint="eastAsia"/>
          <w:sz w:val="24"/>
        </w:rPr>
        <w:t xml:space="preserve"> 股，H 股</w:t>
      </w:r>
      <w:r>
        <w:rPr>
          <w:rFonts w:hint="eastAsia"/>
          <w:sz w:val="24"/>
          <w:lang w:val="en-US" w:eastAsia="zh-CN"/>
        </w:rPr>
        <w:t>195,000,000</w:t>
      </w:r>
      <w:r>
        <w:rPr>
          <w:rFonts w:hint="eastAsia"/>
          <w:sz w:val="24"/>
        </w:rPr>
        <w:t xml:space="preserve"> 股）。</w:t>
      </w:r>
    </w:p>
    <w:p>
      <w:pPr>
        <w:widowControl w:val="0"/>
        <w:wordWrap/>
        <w:adjustRightInd/>
        <w:snapToGrid/>
        <w:spacing w:before="0" w:beforeAutospacing="0" w:after="0" w:afterAutospacing="0" w:line="480" w:lineRule="exact"/>
        <w:ind w:right="0" w:firstLine="566"/>
        <w:textAlignment w:val="auto"/>
        <w:outlineLvl w:val="9"/>
        <w:rPr>
          <w:rFonts w:hint="eastAsia"/>
          <w:sz w:val="24"/>
        </w:rPr>
      </w:pPr>
    </w:p>
    <w:p>
      <w:pPr>
        <w:widowControl w:val="0"/>
        <w:wordWrap/>
        <w:adjustRightInd/>
        <w:snapToGrid/>
        <w:spacing w:before="0" w:beforeAutospacing="0" w:after="0" w:afterAutospacing="0" w:line="480" w:lineRule="exact"/>
        <w:ind w:right="0" w:firstLine="482" w:firstLineChars="200"/>
        <w:textAlignment w:val="auto"/>
        <w:outlineLvl w:val="9"/>
        <w:rPr>
          <w:b/>
          <w:sz w:val="24"/>
        </w:rPr>
      </w:pPr>
      <w:r>
        <w:rPr>
          <w:rFonts w:hint="eastAsia"/>
          <w:b/>
          <w:sz w:val="24"/>
          <w:lang w:eastAsia="zh-CN"/>
        </w:rPr>
        <w:t>三</w:t>
      </w:r>
      <w:r>
        <w:rPr>
          <w:rFonts w:hint="eastAsia"/>
          <w:b/>
          <w:sz w:val="24"/>
        </w:rPr>
        <w:t>、A股股权登记日与除权除息日</w:t>
      </w:r>
    </w:p>
    <w:p>
      <w:pPr>
        <w:widowControl w:val="0"/>
        <w:wordWrap/>
        <w:adjustRightInd/>
        <w:snapToGrid/>
        <w:spacing w:before="0" w:beforeAutospacing="0" w:after="0" w:afterAutospacing="0" w:line="480" w:lineRule="exact"/>
        <w:ind w:left="1" w:right="0" w:firstLine="475" w:firstLineChars="198"/>
        <w:textAlignment w:val="auto"/>
        <w:outlineLvl w:val="9"/>
        <w:rPr>
          <w:rFonts w:hint="eastAsia"/>
          <w:sz w:val="24"/>
        </w:rPr>
      </w:pPr>
      <w:r>
        <w:rPr>
          <w:rFonts w:hint="eastAsia"/>
          <w:sz w:val="24"/>
        </w:rPr>
        <w:t>本次A股</w:t>
      </w:r>
      <w:r>
        <w:rPr>
          <w:rFonts w:hint="eastAsia"/>
          <w:sz w:val="24"/>
          <w:lang w:eastAsia="zh-CN"/>
        </w:rPr>
        <w:t>权益分派</w:t>
      </w:r>
      <w:r>
        <w:rPr>
          <w:rFonts w:hint="eastAsia"/>
          <w:sz w:val="24"/>
        </w:rPr>
        <w:t>股权登记日为：2018年</w:t>
      </w:r>
      <w:r>
        <w:rPr>
          <w:rFonts w:hint="eastAsia"/>
          <w:sz w:val="24"/>
          <w:lang w:val="en-US" w:eastAsia="zh-CN"/>
        </w:rPr>
        <w:t>7</w:t>
      </w:r>
      <w:r>
        <w:rPr>
          <w:rFonts w:hint="eastAsia"/>
          <w:sz w:val="24"/>
        </w:rPr>
        <w:t>月</w:t>
      </w:r>
      <w:r>
        <w:rPr>
          <w:rFonts w:hint="eastAsia"/>
          <w:sz w:val="24"/>
          <w:lang w:val="en-US" w:eastAsia="zh-CN"/>
        </w:rPr>
        <w:t>26</w:t>
      </w:r>
      <w:r>
        <w:rPr>
          <w:rFonts w:hint="eastAsia"/>
          <w:sz w:val="24"/>
        </w:rPr>
        <w:t>日，A股除权除息日为：2018年</w:t>
      </w:r>
      <w:r>
        <w:rPr>
          <w:rFonts w:hint="eastAsia"/>
          <w:sz w:val="24"/>
          <w:lang w:val="en-US" w:eastAsia="zh-CN"/>
        </w:rPr>
        <w:t>7</w:t>
      </w:r>
      <w:r>
        <w:rPr>
          <w:rFonts w:hint="eastAsia"/>
          <w:sz w:val="24"/>
        </w:rPr>
        <w:t>月2</w:t>
      </w:r>
      <w:r>
        <w:rPr>
          <w:rFonts w:hint="eastAsia"/>
          <w:sz w:val="24"/>
          <w:lang w:val="en-US" w:eastAsia="zh-CN"/>
        </w:rPr>
        <w:t>7</w:t>
      </w:r>
      <w:r>
        <w:rPr>
          <w:rFonts w:hint="eastAsia"/>
          <w:sz w:val="24"/>
        </w:rPr>
        <w:t>日。</w:t>
      </w:r>
    </w:p>
    <w:p>
      <w:pPr>
        <w:widowControl w:val="0"/>
        <w:wordWrap/>
        <w:adjustRightInd/>
        <w:snapToGrid/>
        <w:spacing w:before="0" w:beforeAutospacing="0" w:after="0" w:afterAutospacing="0" w:line="480" w:lineRule="exact"/>
        <w:ind w:left="1" w:right="0" w:firstLine="475" w:firstLineChars="198"/>
        <w:textAlignment w:val="auto"/>
        <w:outlineLvl w:val="9"/>
        <w:rPr>
          <w:rFonts w:hint="eastAsia"/>
          <w:sz w:val="24"/>
        </w:rPr>
      </w:pPr>
    </w:p>
    <w:p>
      <w:pPr>
        <w:widowControl w:val="0"/>
        <w:wordWrap/>
        <w:adjustRightInd/>
        <w:snapToGrid/>
        <w:spacing w:before="0" w:beforeAutospacing="0" w:after="0" w:afterAutospacing="0" w:line="480" w:lineRule="exact"/>
        <w:ind w:right="0" w:firstLine="482" w:firstLineChars="200"/>
        <w:textAlignment w:val="auto"/>
        <w:outlineLvl w:val="9"/>
        <w:rPr>
          <w:b/>
          <w:sz w:val="24"/>
        </w:rPr>
      </w:pPr>
      <w:r>
        <w:rPr>
          <w:rFonts w:hint="eastAsia"/>
          <w:b/>
          <w:sz w:val="24"/>
          <w:lang w:eastAsia="zh-CN"/>
        </w:rPr>
        <w:t>四</w:t>
      </w:r>
      <w:r>
        <w:rPr>
          <w:rFonts w:hint="eastAsia"/>
          <w:b/>
          <w:sz w:val="24"/>
        </w:rPr>
        <w:t>、A股分红派息对象</w:t>
      </w:r>
    </w:p>
    <w:p>
      <w:pPr>
        <w:widowControl w:val="0"/>
        <w:wordWrap/>
        <w:adjustRightInd/>
        <w:snapToGrid/>
        <w:spacing w:before="0" w:beforeAutospacing="0" w:after="0" w:afterAutospacing="0" w:line="480" w:lineRule="exact"/>
        <w:ind w:right="0" w:firstLine="476"/>
        <w:textAlignment w:val="auto"/>
        <w:outlineLvl w:val="9"/>
        <w:rPr>
          <w:rFonts w:hint="eastAsia"/>
          <w:sz w:val="24"/>
        </w:rPr>
      </w:pPr>
      <w:r>
        <w:rPr>
          <w:rFonts w:hint="eastAsia"/>
          <w:sz w:val="24"/>
        </w:rPr>
        <w:t>本次A股</w:t>
      </w:r>
      <w:r>
        <w:rPr>
          <w:rFonts w:hint="eastAsia"/>
          <w:sz w:val="24"/>
          <w:lang w:eastAsia="zh-CN"/>
        </w:rPr>
        <w:t>权益</w:t>
      </w:r>
      <w:r>
        <w:rPr>
          <w:rFonts w:hint="eastAsia"/>
          <w:sz w:val="24"/>
        </w:rPr>
        <w:t>分派对象为：截止2018年</w:t>
      </w:r>
      <w:r>
        <w:rPr>
          <w:rFonts w:hint="eastAsia"/>
          <w:sz w:val="24"/>
          <w:lang w:val="en-US" w:eastAsia="zh-CN"/>
        </w:rPr>
        <w:t>7</w:t>
      </w:r>
      <w:r>
        <w:rPr>
          <w:rFonts w:hint="eastAsia"/>
          <w:sz w:val="24"/>
        </w:rPr>
        <w:t>月</w:t>
      </w:r>
      <w:r>
        <w:rPr>
          <w:rFonts w:hint="eastAsia"/>
          <w:sz w:val="24"/>
          <w:lang w:val="en-US" w:eastAsia="zh-CN"/>
        </w:rPr>
        <w:t>26</w:t>
      </w:r>
      <w:r>
        <w:rPr>
          <w:rFonts w:hint="eastAsia"/>
          <w:sz w:val="24"/>
        </w:rPr>
        <w:t>日下午深圳证券交易所收市后，在中国结算登记结算有限责任公司深圳分公司（“中国结算深圳分公司”）登记在册的本公司全体A股股东。</w:t>
      </w:r>
    </w:p>
    <w:p>
      <w:pPr>
        <w:widowControl w:val="0"/>
        <w:wordWrap/>
        <w:adjustRightInd/>
        <w:snapToGrid/>
        <w:spacing w:before="0" w:beforeAutospacing="0" w:after="0" w:afterAutospacing="0" w:line="480" w:lineRule="exact"/>
        <w:ind w:right="0" w:firstLine="476"/>
        <w:textAlignment w:val="auto"/>
        <w:outlineLvl w:val="9"/>
        <w:rPr>
          <w:rFonts w:hint="eastAsia"/>
          <w:sz w:val="24"/>
        </w:rPr>
      </w:pPr>
    </w:p>
    <w:p>
      <w:pPr>
        <w:widowControl w:val="0"/>
        <w:wordWrap/>
        <w:adjustRightInd/>
        <w:snapToGrid/>
        <w:spacing w:before="0" w:beforeAutospacing="0" w:after="0" w:afterAutospacing="0" w:line="480" w:lineRule="exact"/>
        <w:ind w:right="0" w:firstLine="482" w:firstLineChars="200"/>
        <w:textAlignment w:val="auto"/>
        <w:outlineLvl w:val="9"/>
        <w:rPr>
          <w:rFonts w:hint="eastAsia"/>
          <w:b/>
          <w:sz w:val="24"/>
        </w:rPr>
      </w:pPr>
      <w:r>
        <w:rPr>
          <w:rFonts w:hint="eastAsia"/>
          <w:b/>
          <w:sz w:val="24"/>
          <w:lang w:eastAsia="zh-CN"/>
        </w:rPr>
        <w:t>五</w:t>
      </w:r>
      <w:r>
        <w:rPr>
          <w:rFonts w:hint="eastAsia"/>
          <w:b/>
          <w:sz w:val="24"/>
        </w:rPr>
        <w:t>、</w:t>
      </w:r>
      <w:r>
        <w:rPr>
          <w:rFonts w:hint="eastAsia"/>
          <w:b/>
          <w:sz w:val="24"/>
          <w:lang w:eastAsia="zh-CN"/>
        </w:rPr>
        <w:t>权益分派</w:t>
      </w:r>
      <w:r>
        <w:rPr>
          <w:rFonts w:hint="eastAsia"/>
          <w:b/>
          <w:sz w:val="24"/>
        </w:rPr>
        <w:t>方法</w:t>
      </w:r>
    </w:p>
    <w:p>
      <w:pPr>
        <w:widowControl w:val="0"/>
        <w:wordWrap/>
        <w:adjustRightInd/>
        <w:snapToGrid/>
        <w:spacing w:before="0" w:beforeAutospacing="0" w:after="0" w:afterAutospacing="0" w:line="480" w:lineRule="exact"/>
        <w:ind w:right="0" w:firstLine="476"/>
        <w:textAlignment w:val="auto"/>
        <w:outlineLvl w:val="9"/>
        <w:rPr>
          <w:rFonts w:hint="eastAsia"/>
          <w:sz w:val="24"/>
          <w:lang w:val="en-US" w:eastAsia="zh-CN"/>
        </w:rPr>
      </w:pPr>
      <w:r>
        <w:rPr>
          <w:rFonts w:hint="eastAsia"/>
          <w:sz w:val="24"/>
          <w:lang w:val="en-US" w:eastAsia="zh-CN"/>
        </w:rPr>
        <w:t>1、本次公司 A 股权益分派所转增股份将于 2018 年7 月27日直接记入 A 股股东证券账户。在转增股份过程中产生的不足 1 股的部分，按小数点后尾数由大到小排序依次向股东派发 1 股（若尾数相同时则在尾数相同者中由系统随机排序派发），直至实际转增股份总数与本次转增股份总数一致。</w:t>
      </w:r>
    </w:p>
    <w:p>
      <w:pPr>
        <w:widowControl w:val="0"/>
        <w:wordWrap/>
        <w:adjustRightInd/>
        <w:snapToGrid/>
        <w:spacing w:before="0" w:beforeAutospacing="0" w:after="0" w:afterAutospacing="0" w:line="480" w:lineRule="exact"/>
        <w:ind w:right="0" w:firstLine="476"/>
        <w:textAlignment w:val="auto"/>
        <w:outlineLvl w:val="9"/>
        <w:rPr>
          <w:rFonts w:hint="eastAsia"/>
          <w:sz w:val="24"/>
        </w:rPr>
      </w:pPr>
      <w:r>
        <w:rPr>
          <w:rFonts w:hint="eastAsia"/>
          <w:sz w:val="24"/>
          <w:lang w:val="en-US" w:eastAsia="zh-CN"/>
        </w:rPr>
        <w:t>2、</w:t>
      </w:r>
      <w:r>
        <w:rPr>
          <w:rFonts w:hint="eastAsia"/>
          <w:sz w:val="24"/>
        </w:rPr>
        <w:t>本公司此次委托中国结算深圳分公司代派的A股现金红利将于</w:t>
      </w:r>
      <w:r>
        <w:rPr>
          <w:sz w:val="24"/>
        </w:rPr>
        <w:t>201</w:t>
      </w:r>
      <w:r>
        <w:rPr>
          <w:rFonts w:hint="eastAsia"/>
          <w:sz w:val="24"/>
        </w:rPr>
        <w:t>8年</w:t>
      </w:r>
      <w:r>
        <w:rPr>
          <w:rFonts w:hint="eastAsia"/>
          <w:sz w:val="24"/>
          <w:lang w:val="en-US" w:eastAsia="zh-CN"/>
        </w:rPr>
        <w:t>7</w:t>
      </w:r>
      <w:r>
        <w:rPr>
          <w:rFonts w:hint="eastAsia"/>
          <w:sz w:val="24"/>
        </w:rPr>
        <w:t>月</w:t>
      </w:r>
      <w:r>
        <w:rPr>
          <w:rFonts w:hint="eastAsia"/>
          <w:sz w:val="24"/>
          <w:lang w:val="en-US" w:eastAsia="zh-CN"/>
        </w:rPr>
        <w:t>27</w:t>
      </w:r>
      <w:r>
        <w:rPr>
          <w:rFonts w:hint="eastAsia"/>
          <w:sz w:val="24"/>
        </w:rPr>
        <w:t>日通过股东托管证券公司（或其他托管机构）直接划入其资金账户。</w:t>
      </w:r>
    </w:p>
    <w:p>
      <w:pPr>
        <w:widowControl w:val="0"/>
        <w:wordWrap/>
        <w:adjustRightInd/>
        <w:snapToGrid/>
        <w:spacing w:before="0" w:beforeAutospacing="0" w:after="0" w:afterAutospacing="0" w:line="480" w:lineRule="exact"/>
        <w:ind w:right="0" w:firstLine="476"/>
        <w:textAlignment w:val="auto"/>
        <w:outlineLvl w:val="9"/>
        <w:rPr>
          <w:rFonts w:hint="eastAsia"/>
          <w:sz w:val="24"/>
        </w:rPr>
      </w:pPr>
      <w:r>
        <w:rPr>
          <w:rFonts w:hint="eastAsia"/>
          <w:sz w:val="24"/>
        </w:rPr>
        <w:t>本次所转增的无限售流通 A 股的起始交易日为 2018 年</w:t>
      </w:r>
      <w:r>
        <w:rPr>
          <w:rFonts w:hint="eastAsia"/>
          <w:sz w:val="24"/>
          <w:lang w:val="en-US" w:eastAsia="zh-CN"/>
        </w:rPr>
        <w:t>7</w:t>
      </w:r>
      <w:r>
        <w:rPr>
          <w:rFonts w:hint="eastAsia"/>
          <w:sz w:val="24"/>
        </w:rPr>
        <w:t xml:space="preserve"> 月 </w:t>
      </w:r>
      <w:r>
        <w:rPr>
          <w:rFonts w:hint="eastAsia"/>
          <w:sz w:val="24"/>
          <w:lang w:val="en-US" w:eastAsia="zh-CN"/>
        </w:rPr>
        <w:t>27</w:t>
      </w:r>
      <w:r>
        <w:rPr>
          <w:rFonts w:hint="eastAsia"/>
          <w:sz w:val="24"/>
        </w:rPr>
        <w:t>日。</w:t>
      </w:r>
    </w:p>
    <w:p>
      <w:pPr>
        <w:widowControl w:val="0"/>
        <w:wordWrap/>
        <w:adjustRightInd/>
        <w:snapToGrid/>
        <w:spacing w:before="0" w:beforeAutospacing="0" w:after="0" w:afterAutospacing="0" w:line="480" w:lineRule="exact"/>
        <w:ind w:right="0" w:firstLine="476"/>
        <w:textAlignment w:val="auto"/>
        <w:outlineLvl w:val="9"/>
        <w:rPr>
          <w:rFonts w:hint="eastAsia"/>
          <w:sz w:val="24"/>
        </w:rPr>
      </w:pPr>
    </w:p>
    <w:p>
      <w:pPr>
        <w:widowControl w:val="0"/>
        <w:wordWrap/>
        <w:adjustRightInd/>
        <w:snapToGrid/>
        <w:spacing w:before="0" w:beforeAutospacing="0" w:after="0" w:afterAutospacing="0" w:line="480" w:lineRule="exact"/>
        <w:ind w:right="0" w:firstLine="482" w:firstLineChars="200"/>
        <w:textAlignment w:val="auto"/>
        <w:outlineLvl w:val="9"/>
        <w:rPr>
          <w:rFonts w:hint="eastAsia"/>
          <w:b/>
          <w:sz w:val="24"/>
          <w:lang w:eastAsia="zh-CN"/>
        </w:rPr>
      </w:pPr>
      <w:r>
        <w:rPr>
          <w:rFonts w:hint="eastAsia"/>
          <w:b/>
          <w:sz w:val="24"/>
          <w:lang w:eastAsia="zh-CN"/>
        </w:rPr>
        <w:t>六</w:t>
      </w:r>
      <w:r>
        <w:rPr>
          <w:rFonts w:hint="eastAsia"/>
          <w:b/>
          <w:sz w:val="24"/>
        </w:rPr>
        <w:t>、</w:t>
      </w:r>
      <w:r>
        <w:rPr>
          <w:rFonts w:hint="eastAsia"/>
          <w:b/>
          <w:sz w:val="24"/>
          <w:lang w:eastAsia="zh-CN"/>
        </w:rPr>
        <w:t>股份变动情况</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20"/>
        <w:gridCol w:w="1769"/>
        <w:gridCol w:w="1071"/>
        <w:gridCol w:w="1420"/>
        <w:gridCol w:w="1754"/>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0" w:type="dxa"/>
            <w:vMerge w:val="restart"/>
            <w:vAlign w:val="center"/>
          </w:tcPr>
          <w:p>
            <w:pPr>
              <w:widowControl w:val="0"/>
              <w:wordWrap/>
              <w:adjustRightInd/>
              <w:snapToGrid/>
              <w:spacing w:before="0" w:beforeAutospacing="0" w:after="0" w:afterAutospacing="0" w:line="480" w:lineRule="exact"/>
              <w:ind w:right="0" w:firstLine="476"/>
              <w:jc w:val="center"/>
              <w:textAlignment w:val="auto"/>
              <w:outlineLvl w:val="9"/>
              <w:rPr>
                <w:rFonts w:hint="eastAsia"/>
                <w:sz w:val="24"/>
                <w:lang w:eastAsia="zh-CN"/>
              </w:rPr>
            </w:pPr>
            <w:r>
              <w:rPr>
                <w:rFonts w:hint="eastAsia"/>
                <w:sz w:val="24"/>
                <w:lang w:eastAsia="zh-CN"/>
              </w:rPr>
              <w:t>项目</w:t>
            </w:r>
          </w:p>
        </w:tc>
        <w:tc>
          <w:tcPr>
            <w:tcW w:w="2840" w:type="dxa"/>
            <w:gridSpan w:val="2"/>
            <w:vAlign w:val="top"/>
          </w:tcPr>
          <w:p>
            <w:pPr>
              <w:widowControl w:val="0"/>
              <w:wordWrap/>
              <w:adjustRightInd/>
              <w:snapToGrid/>
              <w:spacing w:before="0" w:beforeAutospacing="0" w:after="0" w:afterAutospacing="0" w:line="480" w:lineRule="exact"/>
              <w:ind w:right="0" w:firstLine="476"/>
              <w:jc w:val="center"/>
              <w:textAlignment w:val="auto"/>
              <w:outlineLvl w:val="9"/>
              <w:rPr>
                <w:rFonts w:hint="eastAsia"/>
                <w:sz w:val="21"/>
                <w:szCs w:val="21"/>
                <w:lang w:eastAsia="zh-CN"/>
              </w:rPr>
            </w:pPr>
            <w:r>
              <w:rPr>
                <w:rFonts w:hint="eastAsia"/>
                <w:sz w:val="21"/>
                <w:szCs w:val="21"/>
                <w:lang w:eastAsia="zh-CN"/>
              </w:rPr>
              <w:t>转增前</w:t>
            </w:r>
          </w:p>
        </w:tc>
        <w:tc>
          <w:tcPr>
            <w:tcW w:w="1420" w:type="dxa"/>
            <w:vMerge w:val="restart"/>
            <w:vAlign w:val="top"/>
          </w:tcPr>
          <w:p>
            <w:pPr>
              <w:widowControl w:val="0"/>
              <w:wordWrap/>
              <w:adjustRightInd/>
              <w:snapToGrid/>
              <w:spacing w:before="0" w:beforeAutospacing="0" w:after="0" w:afterAutospacing="0" w:line="480" w:lineRule="exact"/>
              <w:ind w:right="0" w:firstLine="476"/>
              <w:textAlignment w:val="auto"/>
              <w:outlineLvl w:val="9"/>
              <w:rPr>
                <w:rFonts w:hint="eastAsia"/>
                <w:sz w:val="21"/>
                <w:szCs w:val="21"/>
                <w:lang w:eastAsia="zh-CN"/>
              </w:rPr>
            </w:pPr>
            <w:r>
              <w:rPr>
                <w:rFonts w:hint="eastAsia"/>
                <w:sz w:val="21"/>
                <w:szCs w:val="21"/>
                <w:lang w:eastAsia="zh-CN"/>
              </w:rPr>
              <w:t>本次转增数量（股）</w:t>
            </w:r>
          </w:p>
        </w:tc>
        <w:tc>
          <w:tcPr>
            <w:tcW w:w="2842" w:type="dxa"/>
            <w:gridSpan w:val="2"/>
            <w:vAlign w:val="top"/>
          </w:tcPr>
          <w:p>
            <w:pPr>
              <w:widowControl w:val="0"/>
              <w:wordWrap/>
              <w:adjustRightInd/>
              <w:snapToGrid/>
              <w:spacing w:before="0" w:beforeAutospacing="0" w:after="0" w:afterAutospacing="0" w:line="480" w:lineRule="exact"/>
              <w:ind w:right="0" w:firstLine="476"/>
              <w:jc w:val="center"/>
              <w:textAlignment w:val="auto"/>
              <w:outlineLvl w:val="9"/>
              <w:rPr>
                <w:rFonts w:hint="eastAsia"/>
                <w:sz w:val="21"/>
                <w:szCs w:val="21"/>
                <w:lang w:eastAsia="zh-CN"/>
              </w:rPr>
            </w:pPr>
            <w:r>
              <w:rPr>
                <w:rFonts w:hint="eastAsia"/>
                <w:sz w:val="21"/>
                <w:szCs w:val="21"/>
                <w:lang w:eastAsia="zh-CN"/>
              </w:rPr>
              <w:t>转增后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0" w:type="dxa"/>
            <w:vMerge w:val="continue"/>
            <w:vAlign w:val="top"/>
          </w:tcPr>
          <w:p>
            <w:pPr>
              <w:widowControl w:val="0"/>
              <w:wordWrap/>
              <w:adjustRightInd/>
              <w:snapToGrid/>
              <w:spacing w:before="0" w:beforeAutospacing="0" w:after="0" w:afterAutospacing="0" w:line="480" w:lineRule="exact"/>
              <w:ind w:right="0" w:firstLine="476"/>
              <w:textAlignment w:val="auto"/>
              <w:outlineLvl w:val="9"/>
              <w:rPr>
                <w:rFonts w:hint="eastAsia"/>
                <w:sz w:val="24"/>
                <w:lang w:eastAsia="zh-CN"/>
              </w:rPr>
            </w:pPr>
          </w:p>
        </w:tc>
        <w:tc>
          <w:tcPr>
            <w:tcW w:w="1769" w:type="dxa"/>
            <w:vAlign w:val="top"/>
          </w:tcPr>
          <w:p>
            <w:pPr>
              <w:widowControl w:val="0"/>
              <w:wordWrap/>
              <w:adjustRightInd/>
              <w:snapToGrid/>
              <w:spacing w:before="0" w:beforeAutospacing="0" w:after="0" w:afterAutospacing="0" w:line="480" w:lineRule="exact"/>
              <w:ind w:right="0"/>
              <w:jc w:val="left"/>
              <w:textAlignment w:val="auto"/>
              <w:outlineLvl w:val="9"/>
              <w:rPr>
                <w:rFonts w:hint="eastAsia"/>
                <w:sz w:val="21"/>
                <w:szCs w:val="21"/>
                <w:lang w:eastAsia="zh-CN"/>
              </w:rPr>
            </w:pPr>
            <w:r>
              <w:rPr>
                <w:rFonts w:hint="eastAsia"/>
                <w:sz w:val="21"/>
                <w:szCs w:val="21"/>
                <w:lang w:eastAsia="zh-CN"/>
              </w:rPr>
              <w:t>股份数量（股）</w:t>
            </w:r>
          </w:p>
        </w:tc>
        <w:tc>
          <w:tcPr>
            <w:tcW w:w="1071" w:type="dxa"/>
            <w:vAlign w:val="top"/>
          </w:tcPr>
          <w:p>
            <w:pPr>
              <w:widowControl w:val="0"/>
              <w:wordWrap/>
              <w:adjustRightInd/>
              <w:snapToGrid/>
              <w:spacing w:before="0" w:beforeAutospacing="0" w:after="0" w:afterAutospacing="0" w:line="480" w:lineRule="exact"/>
              <w:ind w:right="0"/>
              <w:textAlignment w:val="auto"/>
              <w:outlineLvl w:val="9"/>
              <w:rPr>
                <w:rFonts w:hint="eastAsia"/>
                <w:sz w:val="21"/>
                <w:szCs w:val="21"/>
                <w:lang w:eastAsia="zh-CN"/>
              </w:rPr>
            </w:pPr>
            <w:r>
              <w:rPr>
                <w:rFonts w:hint="eastAsia"/>
                <w:sz w:val="21"/>
                <w:szCs w:val="21"/>
                <w:lang w:eastAsia="zh-CN"/>
              </w:rPr>
              <w:t>比例（</w:t>
            </w:r>
            <w:r>
              <w:rPr>
                <w:rFonts w:hint="eastAsia"/>
                <w:sz w:val="21"/>
                <w:szCs w:val="21"/>
                <w:lang w:val="en-US" w:eastAsia="zh-CN"/>
              </w:rPr>
              <w:t>%</w:t>
            </w:r>
            <w:r>
              <w:rPr>
                <w:rFonts w:hint="eastAsia"/>
                <w:sz w:val="21"/>
                <w:szCs w:val="21"/>
                <w:lang w:eastAsia="zh-CN"/>
              </w:rPr>
              <w:t>）</w:t>
            </w:r>
          </w:p>
        </w:tc>
        <w:tc>
          <w:tcPr>
            <w:tcW w:w="1420" w:type="dxa"/>
            <w:vMerge w:val="continue"/>
            <w:vAlign w:val="top"/>
          </w:tcPr>
          <w:p>
            <w:pPr>
              <w:widowControl w:val="0"/>
              <w:wordWrap/>
              <w:adjustRightInd/>
              <w:snapToGrid/>
              <w:spacing w:before="0" w:beforeAutospacing="0" w:after="0" w:afterAutospacing="0" w:line="480" w:lineRule="exact"/>
              <w:ind w:right="0" w:firstLine="476"/>
              <w:textAlignment w:val="auto"/>
              <w:outlineLvl w:val="9"/>
              <w:rPr>
                <w:rFonts w:hint="eastAsia"/>
                <w:sz w:val="21"/>
                <w:szCs w:val="21"/>
                <w:lang w:eastAsia="zh-CN"/>
              </w:rPr>
            </w:pPr>
          </w:p>
        </w:tc>
        <w:tc>
          <w:tcPr>
            <w:tcW w:w="1754" w:type="dxa"/>
            <w:vAlign w:val="top"/>
          </w:tcPr>
          <w:p>
            <w:pPr>
              <w:widowControl w:val="0"/>
              <w:wordWrap/>
              <w:adjustRightInd/>
              <w:snapToGrid/>
              <w:spacing w:before="0" w:beforeAutospacing="0" w:after="0" w:afterAutospacing="0" w:line="480" w:lineRule="exact"/>
              <w:ind w:right="0"/>
              <w:textAlignment w:val="auto"/>
              <w:outlineLvl w:val="9"/>
              <w:rPr>
                <w:rFonts w:hint="eastAsia"/>
                <w:sz w:val="21"/>
                <w:szCs w:val="21"/>
                <w:lang w:eastAsia="zh-CN"/>
              </w:rPr>
            </w:pPr>
            <w:r>
              <w:rPr>
                <w:rFonts w:hint="eastAsia"/>
                <w:sz w:val="21"/>
                <w:szCs w:val="21"/>
                <w:lang w:eastAsia="zh-CN"/>
              </w:rPr>
              <w:t>股份数量（股）</w:t>
            </w:r>
          </w:p>
        </w:tc>
        <w:tc>
          <w:tcPr>
            <w:tcW w:w="1088" w:type="dxa"/>
            <w:vAlign w:val="top"/>
          </w:tcPr>
          <w:p>
            <w:pPr>
              <w:widowControl w:val="0"/>
              <w:wordWrap/>
              <w:adjustRightInd/>
              <w:snapToGrid/>
              <w:spacing w:before="0" w:beforeAutospacing="0" w:after="0" w:afterAutospacing="0" w:line="480" w:lineRule="exact"/>
              <w:ind w:right="0"/>
              <w:textAlignment w:val="auto"/>
              <w:outlineLvl w:val="9"/>
              <w:rPr>
                <w:rFonts w:hint="eastAsia"/>
                <w:sz w:val="21"/>
                <w:szCs w:val="21"/>
                <w:lang w:eastAsia="zh-CN"/>
              </w:rPr>
            </w:pPr>
            <w:r>
              <w:rPr>
                <w:rFonts w:hint="eastAsia"/>
                <w:sz w:val="21"/>
                <w:szCs w:val="21"/>
                <w:lang w:eastAsia="zh-CN"/>
              </w:rPr>
              <w:t>比例（</w:t>
            </w:r>
            <w:r>
              <w:rPr>
                <w:rFonts w:hint="eastAsia"/>
                <w:sz w:val="21"/>
                <w:szCs w:val="21"/>
                <w:lang w:val="en-US" w:eastAsia="zh-CN"/>
              </w:rPr>
              <w:t>%</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0" w:type="dxa"/>
            <w:vAlign w:val="top"/>
          </w:tcPr>
          <w:p>
            <w:pPr>
              <w:widowControl w:val="0"/>
              <w:wordWrap/>
              <w:adjustRightInd/>
              <w:snapToGrid/>
              <w:spacing w:before="0" w:beforeAutospacing="0" w:after="0" w:afterAutospacing="0" w:line="480" w:lineRule="exact"/>
              <w:ind w:right="0"/>
              <w:textAlignment w:val="auto"/>
              <w:outlineLvl w:val="9"/>
              <w:rPr>
                <w:rFonts w:hint="eastAsia"/>
                <w:b/>
                <w:sz w:val="24"/>
                <w:lang w:val="en-US" w:eastAsia="zh-CN"/>
              </w:rPr>
            </w:pPr>
            <w:r>
              <w:rPr>
                <w:rFonts w:hint="eastAsia"/>
                <w:b/>
                <w:sz w:val="24"/>
                <w:lang w:val="en-US" w:eastAsia="zh-CN"/>
              </w:rPr>
              <w:t>A股</w:t>
            </w:r>
          </w:p>
        </w:tc>
        <w:tc>
          <w:tcPr>
            <w:tcW w:w="1769" w:type="dxa"/>
            <w:vAlign w:val="top"/>
          </w:tcPr>
          <w:p>
            <w:pPr>
              <w:widowControl w:val="0"/>
              <w:wordWrap/>
              <w:adjustRightInd/>
              <w:snapToGrid/>
              <w:spacing w:before="0" w:beforeAutospacing="0" w:after="0" w:afterAutospacing="0" w:line="480" w:lineRule="exact"/>
              <w:ind w:right="0"/>
              <w:jc w:val="right"/>
              <w:textAlignment w:val="auto"/>
              <w:outlineLvl w:val="9"/>
              <w:rPr>
                <w:rFonts w:hint="eastAsia"/>
                <w:b/>
                <w:sz w:val="21"/>
                <w:szCs w:val="21"/>
                <w:lang w:val="en-US" w:eastAsia="zh-CN"/>
              </w:rPr>
            </w:pPr>
            <w:r>
              <w:rPr>
                <w:rFonts w:hint="eastAsia"/>
                <w:b/>
                <w:sz w:val="21"/>
                <w:szCs w:val="21"/>
                <w:lang w:val="en-US" w:eastAsia="zh-CN"/>
              </w:rPr>
              <w:t>328,353,421</w:t>
            </w:r>
          </w:p>
        </w:tc>
        <w:tc>
          <w:tcPr>
            <w:tcW w:w="1071" w:type="dxa"/>
            <w:vAlign w:val="top"/>
          </w:tcPr>
          <w:p>
            <w:pPr>
              <w:widowControl w:val="0"/>
              <w:wordWrap/>
              <w:adjustRightInd/>
              <w:snapToGrid/>
              <w:spacing w:before="0" w:beforeAutospacing="0" w:after="0" w:afterAutospacing="0" w:line="480" w:lineRule="exact"/>
              <w:ind w:right="0"/>
              <w:jc w:val="right"/>
              <w:textAlignment w:val="auto"/>
              <w:outlineLvl w:val="9"/>
              <w:rPr>
                <w:rFonts w:hint="eastAsia"/>
                <w:b/>
                <w:sz w:val="21"/>
                <w:szCs w:val="21"/>
                <w:lang w:val="en-US" w:eastAsia="zh-CN"/>
              </w:rPr>
            </w:pPr>
            <w:r>
              <w:rPr>
                <w:rFonts w:hint="eastAsia"/>
                <w:b/>
                <w:sz w:val="21"/>
                <w:szCs w:val="21"/>
                <w:lang w:val="en-US" w:eastAsia="zh-CN"/>
              </w:rPr>
              <w:t>68.64</w:t>
            </w:r>
          </w:p>
        </w:tc>
        <w:tc>
          <w:tcPr>
            <w:tcW w:w="1420" w:type="dxa"/>
            <w:vAlign w:val="top"/>
          </w:tcPr>
          <w:p>
            <w:pPr>
              <w:widowControl w:val="0"/>
              <w:wordWrap/>
              <w:adjustRightInd/>
              <w:snapToGrid/>
              <w:spacing w:before="0" w:beforeAutospacing="0" w:after="0" w:afterAutospacing="0" w:line="480" w:lineRule="exact"/>
              <w:ind w:right="0"/>
              <w:jc w:val="right"/>
              <w:textAlignment w:val="auto"/>
              <w:outlineLvl w:val="9"/>
              <w:rPr>
                <w:rFonts w:hint="eastAsia"/>
                <w:b/>
                <w:sz w:val="21"/>
                <w:szCs w:val="21"/>
                <w:lang w:val="en-US" w:eastAsia="zh-CN"/>
              </w:rPr>
            </w:pPr>
            <w:r>
              <w:rPr>
                <w:rFonts w:hint="eastAsia"/>
                <w:b/>
                <w:sz w:val="21"/>
                <w:szCs w:val="21"/>
                <w:lang w:val="en-US" w:eastAsia="zh-CN"/>
              </w:rPr>
              <w:t>98,506,026</w:t>
            </w:r>
          </w:p>
        </w:tc>
        <w:tc>
          <w:tcPr>
            <w:tcW w:w="1754" w:type="dxa"/>
            <w:vAlign w:val="top"/>
          </w:tcPr>
          <w:p>
            <w:pPr>
              <w:widowControl w:val="0"/>
              <w:wordWrap/>
              <w:adjustRightInd/>
              <w:snapToGrid/>
              <w:spacing w:before="0" w:beforeAutospacing="0" w:after="0" w:afterAutospacing="0" w:line="480" w:lineRule="exact"/>
              <w:ind w:right="0"/>
              <w:jc w:val="right"/>
              <w:textAlignment w:val="auto"/>
              <w:outlineLvl w:val="9"/>
              <w:rPr>
                <w:rFonts w:hint="eastAsia"/>
                <w:b/>
                <w:sz w:val="21"/>
                <w:szCs w:val="21"/>
                <w:lang w:val="en-US" w:eastAsia="zh-CN"/>
              </w:rPr>
            </w:pPr>
            <w:r>
              <w:rPr>
                <w:rFonts w:hint="eastAsia"/>
                <w:b/>
                <w:sz w:val="21"/>
                <w:szCs w:val="21"/>
                <w:lang w:val="en-US" w:eastAsia="zh-CN"/>
              </w:rPr>
              <w:t>426,859,447</w:t>
            </w:r>
          </w:p>
        </w:tc>
        <w:tc>
          <w:tcPr>
            <w:tcW w:w="1088" w:type="dxa"/>
            <w:vAlign w:val="top"/>
          </w:tcPr>
          <w:p>
            <w:pPr>
              <w:widowControl w:val="0"/>
              <w:wordWrap/>
              <w:adjustRightInd/>
              <w:snapToGrid/>
              <w:spacing w:before="0" w:beforeAutospacing="0" w:after="0" w:afterAutospacing="0" w:line="480" w:lineRule="exact"/>
              <w:ind w:right="0"/>
              <w:jc w:val="right"/>
              <w:textAlignment w:val="auto"/>
              <w:outlineLvl w:val="9"/>
              <w:rPr>
                <w:rFonts w:hint="eastAsia"/>
                <w:b/>
                <w:sz w:val="21"/>
                <w:szCs w:val="21"/>
                <w:lang w:val="en-US" w:eastAsia="zh-CN"/>
              </w:rPr>
            </w:pPr>
            <w:r>
              <w:rPr>
                <w:rFonts w:hint="eastAsia"/>
                <w:b/>
                <w:sz w:val="21"/>
                <w:szCs w:val="21"/>
                <w:lang w:val="en-US" w:eastAsia="zh-CN"/>
              </w:rPr>
              <w:t>68.64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0" w:type="dxa"/>
            <w:vAlign w:val="top"/>
          </w:tcPr>
          <w:p>
            <w:pPr>
              <w:widowControl w:val="0"/>
              <w:wordWrap/>
              <w:adjustRightInd/>
              <w:snapToGrid/>
              <w:spacing w:before="0" w:beforeAutospacing="0" w:after="0" w:afterAutospacing="0" w:line="480" w:lineRule="exact"/>
              <w:ind w:right="0"/>
              <w:textAlignment w:val="auto"/>
              <w:outlineLvl w:val="9"/>
              <w:rPr>
                <w:rFonts w:hint="eastAsia"/>
                <w:b/>
                <w:sz w:val="24"/>
                <w:lang w:val="en-US" w:eastAsia="zh-CN"/>
              </w:rPr>
            </w:pPr>
            <w:r>
              <w:rPr>
                <w:rFonts w:hint="eastAsia"/>
                <w:b/>
                <w:sz w:val="24"/>
                <w:lang w:val="en-US" w:eastAsia="zh-CN"/>
              </w:rPr>
              <w:t>H股</w:t>
            </w:r>
          </w:p>
        </w:tc>
        <w:tc>
          <w:tcPr>
            <w:tcW w:w="1769" w:type="dxa"/>
            <w:vAlign w:val="top"/>
          </w:tcPr>
          <w:p>
            <w:pPr>
              <w:widowControl w:val="0"/>
              <w:wordWrap/>
              <w:adjustRightInd/>
              <w:snapToGrid/>
              <w:spacing w:before="0" w:beforeAutospacing="0" w:after="0" w:afterAutospacing="0" w:line="480" w:lineRule="exact"/>
              <w:ind w:right="0"/>
              <w:jc w:val="right"/>
              <w:textAlignment w:val="auto"/>
              <w:outlineLvl w:val="9"/>
              <w:rPr>
                <w:rFonts w:hint="eastAsia"/>
                <w:b/>
                <w:sz w:val="21"/>
                <w:szCs w:val="21"/>
                <w:lang w:val="en-US" w:eastAsia="zh-CN"/>
              </w:rPr>
            </w:pPr>
            <w:r>
              <w:rPr>
                <w:rFonts w:hint="eastAsia"/>
                <w:b/>
                <w:sz w:val="21"/>
                <w:szCs w:val="21"/>
                <w:lang w:val="en-US" w:eastAsia="zh-CN"/>
              </w:rPr>
              <w:t>150,000,000</w:t>
            </w:r>
          </w:p>
        </w:tc>
        <w:tc>
          <w:tcPr>
            <w:tcW w:w="1071" w:type="dxa"/>
            <w:vAlign w:val="top"/>
          </w:tcPr>
          <w:p>
            <w:pPr>
              <w:widowControl w:val="0"/>
              <w:wordWrap/>
              <w:adjustRightInd/>
              <w:snapToGrid/>
              <w:spacing w:before="0" w:beforeAutospacing="0" w:after="0" w:afterAutospacing="0" w:line="480" w:lineRule="exact"/>
              <w:ind w:right="0"/>
              <w:jc w:val="right"/>
              <w:textAlignment w:val="auto"/>
              <w:outlineLvl w:val="9"/>
              <w:rPr>
                <w:rFonts w:hint="eastAsia"/>
                <w:b/>
                <w:sz w:val="21"/>
                <w:szCs w:val="21"/>
                <w:lang w:val="en-US" w:eastAsia="zh-CN"/>
              </w:rPr>
            </w:pPr>
            <w:r>
              <w:rPr>
                <w:rFonts w:hint="eastAsia"/>
                <w:b/>
                <w:sz w:val="21"/>
                <w:szCs w:val="21"/>
                <w:lang w:val="en-US" w:eastAsia="zh-CN"/>
              </w:rPr>
              <w:t>31.36</w:t>
            </w:r>
          </w:p>
        </w:tc>
        <w:tc>
          <w:tcPr>
            <w:tcW w:w="1420" w:type="dxa"/>
            <w:vAlign w:val="top"/>
          </w:tcPr>
          <w:p>
            <w:pPr>
              <w:widowControl w:val="0"/>
              <w:wordWrap/>
              <w:adjustRightInd/>
              <w:snapToGrid/>
              <w:spacing w:before="0" w:beforeAutospacing="0" w:after="0" w:afterAutospacing="0" w:line="480" w:lineRule="exact"/>
              <w:ind w:right="0"/>
              <w:jc w:val="right"/>
              <w:textAlignment w:val="auto"/>
              <w:outlineLvl w:val="9"/>
              <w:rPr>
                <w:rFonts w:hint="eastAsia"/>
                <w:b/>
                <w:sz w:val="21"/>
                <w:szCs w:val="21"/>
                <w:lang w:val="en-US" w:eastAsia="zh-CN"/>
              </w:rPr>
            </w:pPr>
            <w:r>
              <w:rPr>
                <w:rFonts w:hint="eastAsia"/>
                <w:b/>
                <w:sz w:val="21"/>
                <w:szCs w:val="21"/>
                <w:lang w:val="en-US" w:eastAsia="zh-CN"/>
              </w:rPr>
              <w:t>45,000,000</w:t>
            </w:r>
          </w:p>
        </w:tc>
        <w:tc>
          <w:tcPr>
            <w:tcW w:w="1754" w:type="dxa"/>
            <w:vAlign w:val="top"/>
          </w:tcPr>
          <w:p>
            <w:pPr>
              <w:widowControl w:val="0"/>
              <w:wordWrap/>
              <w:adjustRightInd/>
              <w:snapToGrid/>
              <w:spacing w:before="0" w:beforeAutospacing="0" w:after="0" w:afterAutospacing="0" w:line="480" w:lineRule="exact"/>
              <w:ind w:right="0"/>
              <w:jc w:val="right"/>
              <w:textAlignment w:val="auto"/>
              <w:outlineLvl w:val="9"/>
              <w:rPr>
                <w:rFonts w:hint="eastAsia"/>
                <w:b/>
                <w:sz w:val="21"/>
                <w:szCs w:val="21"/>
                <w:lang w:val="en-US" w:eastAsia="zh-CN"/>
              </w:rPr>
            </w:pPr>
            <w:r>
              <w:rPr>
                <w:rFonts w:hint="eastAsia"/>
                <w:b/>
                <w:sz w:val="21"/>
                <w:szCs w:val="21"/>
                <w:lang w:val="en-US" w:eastAsia="zh-CN"/>
              </w:rPr>
              <w:t>195,000,000</w:t>
            </w:r>
          </w:p>
        </w:tc>
        <w:tc>
          <w:tcPr>
            <w:tcW w:w="1088" w:type="dxa"/>
            <w:vAlign w:val="top"/>
          </w:tcPr>
          <w:p>
            <w:pPr>
              <w:widowControl w:val="0"/>
              <w:wordWrap/>
              <w:adjustRightInd/>
              <w:snapToGrid/>
              <w:spacing w:before="0" w:beforeAutospacing="0" w:after="0" w:afterAutospacing="0" w:line="480" w:lineRule="exact"/>
              <w:ind w:right="0"/>
              <w:jc w:val="right"/>
              <w:textAlignment w:val="auto"/>
              <w:outlineLvl w:val="9"/>
              <w:rPr>
                <w:rFonts w:hint="eastAsia"/>
                <w:b/>
                <w:sz w:val="21"/>
                <w:szCs w:val="21"/>
                <w:lang w:val="en-US" w:eastAsia="zh-CN"/>
              </w:rPr>
            </w:pPr>
            <w:r>
              <w:rPr>
                <w:rFonts w:hint="eastAsia"/>
                <w:b/>
                <w:sz w:val="21"/>
                <w:szCs w:val="21"/>
                <w:lang w:val="en-US" w:eastAsia="zh-CN"/>
              </w:rPr>
              <w:t>31.36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0" w:type="dxa"/>
            <w:vAlign w:val="top"/>
          </w:tcPr>
          <w:p>
            <w:pPr>
              <w:widowControl w:val="0"/>
              <w:wordWrap/>
              <w:adjustRightInd/>
              <w:snapToGrid/>
              <w:spacing w:before="0" w:beforeAutospacing="0" w:after="0" w:afterAutospacing="0" w:line="480" w:lineRule="exact"/>
              <w:ind w:right="0"/>
              <w:textAlignment w:val="auto"/>
              <w:outlineLvl w:val="9"/>
              <w:rPr>
                <w:rFonts w:hint="eastAsia"/>
                <w:b/>
                <w:sz w:val="24"/>
                <w:lang w:eastAsia="zh-CN"/>
              </w:rPr>
            </w:pPr>
            <w:r>
              <w:rPr>
                <w:rFonts w:hint="eastAsia"/>
                <w:b/>
                <w:sz w:val="24"/>
                <w:lang w:eastAsia="zh-CN"/>
              </w:rPr>
              <w:t>总股本</w:t>
            </w:r>
          </w:p>
        </w:tc>
        <w:tc>
          <w:tcPr>
            <w:tcW w:w="1769" w:type="dxa"/>
            <w:vAlign w:val="top"/>
          </w:tcPr>
          <w:p>
            <w:pPr>
              <w:widowControl w:val="0"/>
              <w:wordWrap/>
              <w:adjustRightInd/>
              <w:snapToGrid/>
              <w:spacing w:before="0" w:beforeAutospacing="0" w:after="0" w:afterAutospacing="0" w:line="480" w:lineRule="exact"/>
              <w:ind w:right="0"/>
              <w:jc w:val="right"/>
              <w:textAlignment w:val="auto"/>
              <w:outlineLvl w:val="9"/>
              <w:rPr>
                <w:rFonts w:hint="eastAsia"/>
                <w:b/>
                <w:sz w:val="21"/>
                <w:szCs w:val="21"/>
                <w:lang w:val="en-US" w:eastAsia="zh-CN"/>
              </w:rPr>
            </w:pPr>
            <w:r>
              <w:rPr>
                <w:rFonts w:hint="eastAsia"/>
                <w:b/>
                <w:sz w:val="21"/>
                <w:szCs w:val="21"/>
                <w:lang w:val="en-US" w:eastAsia="zh-CN"/>
              </w:rPr>
              <w:t>478,353,421</w:t>
            </w:r>
          </w:p>
        </w:tc>
        <w:tc>
          <w:tcPr>
            <w:tcW w:w="1071" w:type="dxa"/>
            <w:vAlign w:val="top"/>
          </w:tcPr>
          <w:p>
            <w:pPr>
              <w:widowControl w:val="0"/>
              <w:wordWrap/>
              <w:adjustRightInd/>
              <w:snapToGrid/>
              <w:spacing w:before="0" w:beforeAutospacing="0" w:after="0" w:afterAutospacing="0" w:line="480" w:lineRule="exact"/>
              <w:ind w:right="0"/>
              <w:jc w:val="right"/>
              <w:textAlignment w:val="auto"/>
              <w:outlineLvl w:val="9"/>
              <w:rPr>
                <w:rFonts w:hint="eastAsia"/>
                <w:b/>
                <w:sz w:val="21"/>
                <w:szCs w:val="21"/>
                <w:lang w:val="en-US" w:eastAsia="zh-CN"/>
              </w:rPr>
            </w:pPr>
            <w:r>
              <w:rPr>
                <w:rFonts w:hint="eastAsia"/>
                <w:b/>
                <w:sz w:val="21"/>
                <w:szCs w:val="21"/>
                <w:lang w:val="en-US" w:eastAsia="zh-CN"/>
              </w:rPr>
              <w:t>100.00</w:t>
            </w:r>
          </w:p>
        </w:tc>
        <w:tc>
          <w:tcPr>
            <w:tcW w:w="1420" w:type="dxa"/>
            <w:vAlign w:val="top"/>
          </w:tcPr>
          <w:p>
            <w:pPr>
              <w:widowControl w:val="0"/>
              <w:wordWrap/>
              <w:adjustRightInd/>
              <w:snapToGrid/>
              <w:spacing w:before="0" w:beforeAutospacing="0" w:after="0" w:afterAutospacing="0" w:line="480" w:lineRule="exact"/>
              <w:ind w:right="0"/>
              <w:jc w:val="right"/>
              <w:textAlignment w:val="auto"/>
              <w:outlineLvl w:val="9"/>
              <w:rPr>
                <w:rFonts w:hint="eastAsia"/>
                <w:b/>
                <w:sz w:val="21"/>
                <w:szCs w:val="21"/>
                <w:lang w:val="en-US" w:eastAsia="zh-CN"/>
              </w:rPr>
            </w:pPr>
            <w:r>
              <w:rPr>
                <w:rFonts w:hint="eastAsia"/>
                <w:b/>
                <w:sz w:val="21"/>
                <w:szCs w:val="21"/>
                <w:lang w:val="en-US" w:eastAsia="zh-CN"/>
              </w:rPr>
              <w:t>143,506,026</w:t>
            </w:r>
          </w:p>
        </w:tc>
        <w:tc>
          <w:tcPr>
            <w:tcW w:w="1754" w:type="dxa"/>
            <w:vAlign w:val="top"/>
          </w:tcPr>
          <w:p>
            <w:pPr>
              <w:widowControl w:val="0"/>
              <w:wordWrap/>
              <w:adjustRightInd/>
              <w:snapToGrid/>
              <w:spacing w:before="0" w:beforeAutospacing="0" w:after="0" w:afterAutospacing="0" w:line="480" w:lineRule="exact"/>
              <w:ind w:right="0"/>
              <w:jc w:val="right"/>
              <w:textAlignment w:val="auto"/>
              <w:outlineLvl w:val="9"/>
              <w:rPr>
                <w:rFonts w:hint="eastAsia"/>
                <w:b/>
                <w:sz w:val="21"/>
                <w:szCs w:val="21"/>
                <w:lang w:val="en-US" w:eastAsia="zh-CN"/>
              </w:rPr>
            </w:pPr>
            <w:r>
              <w:rPr>
                <w:rFonts w:hint="eastAsia"/>
                <w:b/>
                <w:sz w:val="21"/>
                <w:szCs w:val="21"/>
                <w:lang w:val="en-US" w:eastAsia="zh-CN"/>
              </w:rPr>
              <w:t>621,859,447</w:t>
            </w:r>
          </w:p>
        </w:tc>
        <w:tc>
          <w:tcPr>
            <w:tcW w:w="1088" w:type="dxa"/>
            <w:vAlign w:val="top"/>
          </w:tcPr>
          <w:p>
            <w:pPr>
              <w:widowControl w:val="0"/>
              <w:wordWrap/>
              <w:adjustRightInd/>
              <w:snapToGrid/>
              <w:spacing w:before="0" w:beforeAutospacing="0" w:after="0" w:afterAutospacing="0" w:line="480" w:lineRule="exact"/>
              <w:ind w:right="0"/>
              <w:jc w:val="right"/>
              <w:textAlignment w:val="auto"/>
              <w:outlineLvl w:val="9"/>
              <w:rPr>
                <w:rFonts w:hint="eastAsia"/>
                <w:b/>
                <w:sz w:val="21"/>
                <w:szCs w:val="21"/>
                <w:lang w:val="en-US" w:eastAsia="zh-CN"/>
              </w:rPr>
            </w:pPr>
            <w:r>
              <w:rPr>
                <w:rFonts w:hint="eastAsia"/>
                <w:b/>
                <w:sz w:val="21"/>
                <w:szCs w:val="21"/>
                <w:lang w:val="en-US" w:eastAsia="zh-CN"/>
              </w:rPr>
              <w:t>100.00</w:t>
            </w:r>
          </w:p>
        </w:tc>
      </w:tr>
    </w:tbl>
    <w:p>
      <w:pPr>
        <w:widowControl w:val="0"/>
        <w:wordWrap/>
        <w:adjustRightInd/>
        <w:snapToGrid/>
        <w:spacing w:before="0" w:beforeAutospacing="0" w:after="0" w:afterAutospacing="0" w:line="480" w:lineRule="exact"/>
        <w:ind w:right="0" w:firstLine="476"/>
        <w:textAlignment w:val="auto"/>
        <w:outlineLvl w:val="9"/>
        <w:rPr>
          <w:rFonts w:hint="eastAsia"/>
          <w:b/>
          <w:bCs/>
          <w:sz w:val="24"/>
          <w:lang w:val="en-US" w:eastAsia="zh-CN"/>
        </w:rPr>
      </w:pPr>
    </w:p>
    <w:p>
      <w:pPr>
        <w:widowControl w:val="0"/>
        <w:wordWrap/>
        <w:adjustRightInd/>
        <w:snapToGrid/>
        <w:spacing w:before="0" w:beforeAutospacing="0" w:after="0" w:afterAutospacing="0" w:line="480" w:lineRule="exact"/>
        <w:ind w:right="0" w:firstLine="476"/>
        <w:textAlignment w:val="auto"/>
        <w:outlineLvl w:val="9"/>
        <w:rPr>
          <w:rFonts w:hint="eastAsia"/>
          <w:b/>
          <w:bCs/>
          <w:sz w:val="24"/>
          <w:lang w:val="en-US" w:eastAsia="zh-CN"/>
        </w:rPr>
      </w:pPr>
      <w:r>
        <w:rPr>
          <w:rFonts w:hint="eastAsia"/>
          <w:b/>
          <w:bCs/>
          <w:sz w:val="24"/>
          <w:lang w:val="en-US" w:eastAsia="zh-CN"/>
        </w:rPr>
        <w:t>七、相关参数调整</w:t>
      </w:r>
    </w:p>
    <w:p>
      <w:pPr>
        <w:widowControl w:val="0"/>
        <w:wordWrap/>
        <w:adjustRightInd/>
        <w:snapToGrid/>
        <w:spacing w:before="0" w:beforeAutospacing="0" w:after="0" w:afterAutospacing="0" w:line="480" w:lineRule="exact"/>
        <w:ind w:right="0" w:firstLine="476"/>
        <w:textAlignment w:val="auto"/>
        <w:outlineLvl w:val="9"/>
        <w:rPr>
          <w:rFonts w:hint="eastAsia"/>
          <w:color w:val="auto"/>
          <w:sz w:val="24"/>
          <w:lang w:val="en-US" w:eastAsia="zh-CN"/>
        </w:rPr>
      </w:pPr>
      <w:r>
        <w:rPr>
          <w:rFonts w:hint="eastAsia"/>
          <w:color w:val="auto"/>
          <w:sz w:val="24"/>
          <w:lang w:val="en-US" w:eastAsia="zh-CN"/>
        </w:rPr>
        <w:t>本次实施转增股份后，按新股本621,859,447股全面摊薄计算，本公司2017年度每股收益人民币0.3370元。</w:t>
      </w:r>
    </w:p>
    <w:p>
      <w:pPr>
        <w:widowControl w:val="0"/>
        <w:wordWrap/>
        <w:adjustRightInd/>
        <w:snapToGrid/>
        <w:spacing w:before="0" w:beforeAutospacing="0" w:after="0" w:afterAutospacing="0" w:line="480" w:lineRule="exact"/>
        <w:ind w:right="0" w:firstLine="476"/>
        <w:textAlignment w:val="auto"/>
        <w:outlineLvl w:val="9"/>
        <w:rPr>
          <w:rFonts w:hint="eastAsia"/>
          <w:sz w:val="24"/>
          <w:lang w:val="en-US" w:eastAsia="zh-CN"/>
        </w:rPr>
      </w:pPr>
    </w:p>
    <w:p>
      <w:pPr>
        <w:widowControl w:val="0"/>
        <w:wordWrap/>
        <w:adjustRightInd/>
        <w:snapToGrid/>
        <w:spacing w:before="0" w:beforeAutospacing="0" w:after="0" w:afterAutospacing="0" w:line="480" w:lineRule="exact"/>
        <w:ind w:right="0" w:firstLine="482" w:firstLineChars="200"/>
        <w:textAlignment w:val="auto"/>
        <w:outlineLvl w:val="9"/>
        <w:rPr>
          <w:rFonts w:hint="eastAsia"/>
          <w:b/>
          <w:sz w:val="24"/>
          <w:lang w:eastAsia="zh-CN"/>
        </w:rPr>
      </w:pPr>
      <w:r>
        <w:rPr>
          <w:rFonts w:hint="eastAsia"/>
          <w:b/>
          <w:sz w:val="24"/>
          <w:lang w:eastAsia="zh-CN"/>
        </w:rPr>
        <w:t>八、其他事项说明</w:t>
      </w:r>
    </w:p>
    <w:p>
      <w:pPr>
        <w:widowControl w:val="0"/>
        <w:wordWrap/>
        <w:adjustRightInd/>
        <w:snapToGrid/>
        <w:spacing w:before="0" w:beforeAutospacing="0" w:after="0" w:afterAutospacing="0" w:line="480" w:lineRule="exact"/>
        <w:ind w:right="0" w:firstLine="476"/>
        <w:textAlignment w:val="auto"/>
        <w:outlineLvl w:val="9"/>
        <w:rPr>
          <w:rFonts w:hint="eastAsia"/>
          <w:sz w:val="24"/>
          <w:lang w:val="en-US" w:eastAsia="zh-CN"/>
        </w:rPr>
      </w:pPr>
      <w:r>
        <w:rPr>
          <w:rFonts w:hint="eastAsia"/>
          <w:sz w:val="24"/>
          <w:lang w:val="en-US" w:eastAsia="zh-CN"/>
        </w:rPr>
        <w:t>本公司H股股东的权益分派不适用于本公告。有关H股权益分派的具体安排，请参见公司于香港联合交易所有限公司网站（http://www.hkexnews.hk）及本公司网站（http://www.xhzy.com）发布的相关公告。</w:t>
      </w:r>
    </w:p>
    <w:p>
      <w:pPr>
        <w:widowControl w:val="0"/>
        <w:wordWrap/>
        <w:adjustRightInd/>
        <w:snapToGrid/>
        <w:spacing w:before="0" w:beforeAutospacing="0" w:after="0" w:afterAutospacing="0" w:line="480" w:lineRule="exact"/>
        <w:ind w:right="0" w:firstLine="482" w:firstLineChars="200"/>
        <w:textAlignment w:val="auto"/>
        <w:outlineLvl w:val="9"/>
        <w:rPr>
          <w:rFonts w:hint="eastAsia"/>
          <w:b/>
          <w:sz w:val="24"/>
          <w:lang w:eastAsia="zh-CN"/>
        </w:rPr>
      </w:pPr>
    </w:p>
    <w:p>
      <w:pPr>
        <w:widowControl w:val="0"/>
        <w:wordWrap/>
        <w:adjustRightInd/>
        <w:snapToGrid/>
        <w:spacing w:before="0" w:beforeAutospacing="0" w:after="0" w:afterAutospacing="0" w:line="480" w:lineRule="exact"/>
        <w:ind w:right="0" w:firstLine="482" w:firstLineChars="200"/>
        <w:textAlignment w:val="auto"/>
        <w:outlineLvl w:val="9"/>
        <w:rPr>
          <w:rFonts w:hint="eastAsia"/>
          <w:b/>
          <w:sz w:val="24"/>
        </w:rPr>
      </w:pPr>
      <w:r>
        <w:rPr>
          <w:rFonts w:hint="eastAsia"/>
          <w:b/>
          <w:sz w:val="24"/>
          <w:lang w:eastAsia="zh-CN"/>
        </w:rPr>
        <w:t>九、</w:t>
      </w:r>
      <w:r>
        <w:rPr>
          <w:rFonts w:hint="eastAsia"/>
          <w:b/>
          <w:sz w:val="24"/>
        </w:rPr>
        <w:t>咨询事项</w:t>
      </w:r>
    </w:p>
    <w:p>
      <w:pPr>
        <w:widowControl w:val="0"/>
        <w:wordWrap/>
        <w:adjustRightInd/>
        <w:snapToGrid/>
        <w:spacing w:before="0" w:beforeAutospacing="0" w:after="0" w:afterAutospacing="0" w:line="480" w:lineRule="exact"/>
        <w:ind w:right="0" w:firstLine="480" w:firstLineChars="200"/>
        <w:textAlignment w:val="auto"/>
        <w:outlineLvl w:val="9"/>
        <w:rPr>
          <w:sz w:val="24"/>
        </w:rPr>
      </w:pPr>
      <w:r>
        <w:rPr>
          <w:rFonts w:hint="eastAsia"/>
          <w:sz w:val="24"/>
        </w:rPr>
        <w:t>咨询机构：山东新华制药股份有限公司董事会秘书办公室</w:t>
      </w:r>
    </w:p>
    <w:p>
      <w:pPr>
        <w:widowControl w:val="0"/>
        <w:wordWrap/>
        <w:adjustRightInd/>
        <w:snapToGrid/>
        <w:spacing w:before="0" w:beforeAutospacing="0" w:after="0" w:afterAutospacing="0" w:line="480" w:lineRule="exact"/>
        <w:ind w:right="0" w:firstLine="480" w:firstLineChars="200"/>
        <w:textAlignment w:val="auto"/>
        <w:outlineLvl w:val="9"/>
        <w:rPr>
          <w:rFonts w:hint="eastAsia"/>
          <w:sz w:val="24"/>
        </w:rPr>
      </w:pPr>
      <w:r>
        <w:rPr>
          <w:sz w:val="24"/>
        </w:rPr>
        <w:t>咨询地址：</w:t>
      </w:r>
      <w:r>
        <w:rPr>
          <w:rFonts w:hint="eastAsia"/>
          <w:sz w:val="24"/>
        </w:rPr>
        <w:t xml:space="preserve">山东省淄博市高新区鲁泰大道1号                        </w:t>
      </w:r>
    </w:p>
    <w:p>
      <w:pPr>
        <w:widowControl w:val="0"/>
        <w:wordWrap/>
        <w:adjustRightInd/>
        <w:snapToGrid/>
        <w:spacing w:before="0" w:beforeAutospacing="0" w:after="0" w:afterAutospacing="0" w:line="480" w:lineRule="exact"/>
        <w:ind w:right="0" w:firstLine="480" w:firstLineChars="200"/>
        <w:textAlignment w:val="auto"/>
        <w:outlineLvl w:val="9"/>
        <w:rPr>
          <w:rFonts w:hint="eastAsia"/>
          <w:sz w:val="24"/>
        </w:rPr>
      </w:pPr>
      <w:r>
        <w:rPr>
          <w:rFonts w:hint="eastAsia"/>
          <w:sz w:val="24"/>
        </w:rPr>
        <w:t>咨询联系人：曹长求</w:t>
      </w:r>
    </w:p>
    <w:p>
      <w:pPr>
        <w:widowControl w:val="0"/>
        <w:wordWrap/>
        <w:adjustRightInd/>
        <w:snapToGrid/>
        <w:spacing w:before="0" w:beforeAutospacing="0" w:after="0" w:afterAutospacing="0" w:line="480" w:lineRule="exact"/>
        <w:ind w:right="0" w:firstLine="480" w:firstLineChars="200"/>
        <w:textAlignment w:val="auto"/>
        <w:outlineLvl w:val="9"/>
        <w:rPr>
          <w:rFonts w:hint="eastAsia"/>
          <w:sz w:val="24"/>
        </w:rPr>
      </w:pPr>
      <w:r>
        <w:rPr>
          <w:rFonts w:hint="eastAsia"/>
          <w:sz w:val="24"/>
        </w:rPr>
        <w:t>咨询电话：0533-2196024</w:t>
      </w:r>
    </w:p>
    <w:p>
      <w:pPr>
        <w:widowControl w:val="0"/>
        <w:wordWrap/>
        <w:adjustRightInd/>
        <w:snapToGrid/>
        <w:spacing w:before="0" w:beforeAutospacing="0" w:after="0" w:afterAutospacing="0" w:line="480" w:lineRule="exact"/>
        <w:ind w:right="0" w:firstLine="480" w:firstLineChars="200"/>
        <w:textAlignment w:val="auto"/>
        <w:outlineLvl w:val="9"/>
        <w:rPr>
          <w:rFonts w:hint="eastAsia"/>
          <w:sz w:val="24"/>
        </w:rPr>
      </w:pPr>
      <w:r>
        <w:rPr>
          <w:rFonts w:hint="eastAsia"/>
          <w:sz w:val="24"/>
        </w:rPr>
        <w:t>传真电话：0533-2287508</w:t>
      </w:r>
    </w:p>
    <w:p>
      <w:pPr>
        <w:widowControl w:val="0"/>
        <w:wordWrap/>
        <w:adjustRightInd/>
        <w:snapToGrid/>
        <w:spacing w:before="0" w:beforeAutospacing="0" w:after="0" w:afterAutospacing="0" w:line="480" w:lineRule="exact"/>
        <w:ind w:right="0" w:firstLine="480" w:firstLineChars="200"/>
        <w:textAlignment w:val="auto"/>
        <w:outlineLvl w:val="9"/>
        <w:rPr>
          <w:rFonts w:hint="eastAsia"/>
          <w:sz w:val="24"/>
        </w:rPr>
      </w:pPr>
    </w:p>
    <w:p>
      <w:pPr>
        <w:widowControl w:val="0"/>
        <w:wordWrap/>
        <w:adjustRightInd/>
        <w:snapToGrid/>
        <w:spacing w:before="0" w:beforeAutospacing="0" w:after="0" w:afterAutospacing="0" w:line="480" w:lineRule="exact"/>
        <w:ind w:right="0" w:firstLine="482" w:firstLineChars="200"/>
        <w:textAlignment w:val="auto"/>
        <w:outlineLvl w:val="9"/>
        <w:rPr>
          <w:rFonts w:hint="eastAsia"/>
          <w:b/>
          <w:sz w:val="24"/>
        </w:rPr>
      </w:pPr>
      <w:r>
        <w:rPr>
          <w:rFonts w:hint="eastAsia"/>
          <w:b/>
          <w:sz w:val="24"/>
          <w:lang w:eastAsia="zh-CN"/>
        </w:rPr>
        <w:t>十</w:t>
      </w:r>
      <w:r>
        <w:rPr>
          <w:rFonts w:hint="eastAsia"/>
          <w:b/>
          <w:sz w:val="24"/>
        </w:rPr>
        <w:t>、备查文件</w:t>
      </w:r>
    </w:p>
    <w:p>
      <w:pPr>
        <w:widowControl w:val="0"/>
        <w:wordWrap/>
        <w:adjustRightInd/>
        <w:snapToGrid/>
        <w:spacing w:before="0" w:beforeAutospacing="0" w:after="0" w:afterAutospacing="0" w:line="480" w:lineRule="exact"/>
        <w:ind w:right="0" w:firstLine="480" w:firstLineChars="200"/>
        <w:textAlignment w:val="auto"/>
        <w:outlineLvl w:val="9"/>
        <w:rPr>
          <w:rFonts w:hint="eastAsia"/>
          <w:sz w:val="24"/>
        </w:rPr>
      </w:pPr>
      <w:r>
        <w:rPr>
          <w:rFonts w:hint="eastAsia"/>
          <w:sz w:val="24"/>
        </w:rPr>
        <w:t>1．中国结算深圳分公司确认有关分红派息</w:t>
      </w:r>
      <w:r>
        <w:rPr>
          <w:rFonts w:hint="eastAsia"/>
          <w:sz w:val="24"/>
          <w:lang w:eastAsia="zh-CN"/>
        </w:rPr>
        <w:t>、转增股本</w:t>
      </w:r>
      <w:r>
        <w:rPr>
          <w:rFonts w:hint="eastAsia"/>
          <w:sz w:val="24"/>
        </w:rPr>
        <w:t>具体时间安排的文件；</w:t>
      </w:r>
    </w:p>
    <w:p>
      <w:pPr>
        <w:widowControl w:val="0"/>
        <w:wordWrap/>
        <w:adjustRightInd/>
        <w:snapToGrid/>
        <w:spacing w:before="0" w:beforeAutospacing="0" w:after="0" w:afterAutospacing="0" w:line="480" w:lineRule="exact"/>
        <w:ind w:right="0" w:firstLine="480" w:firstLineChars="200"/>
        <w:textAlignment w:val="auto"/>
        <w:outlineLvl w:val="9"/>
        <w:rPr>
          <w:rFonts w:hint="eastAsia"/>
          <w:sz w:val="24"/>
        </w:rPr>
      </w:pPr>
      <w:r>
        <w:rPr>
          <w:rFonts w:hint="eastAsia"/>
          <w:sz w:val="24"/>
        </w:rPr>
        <w:t xml:space="preserve">2. </w:t>
      </w:r>
      <w:r>
        <w:rPr>
          <w:rFonts w:hint="eastAsia"/>
          <w:sz w:val="24"/>
          <w:lang w:eastAsia="zh-CN"/>
        </w:rPr>
        <w:t>公司第九届</w:t>
      </w:r>
      <w:r>
        <w:rPr>
          <w:rFonts w:hint="eastAsia"/>
          <w:sz w:val="24"/>
        </w:rPr>
        <w:t>董事会</w:t>
      </w:r>
      <w:r>
        <w:rPr>
          <w:rFonts w:hint="eastAsia"/>
          <w:sz w:val="24"/>
          <w:lang w:eastAsia="zh-CN"/>
        </w:rPr>
        <w:t>第二次会议记录</w:t>
      </w:r>
      <w:r>
        <w:rPr>
          <w:rFonts w:hint="eastAsia"/>
          <w:sz w:val="24"/>
        </w:rPr>
        <w:t>；</w:t>
      </w:r>
    </w:p>
    <w:p>
      <w:pPr>
        <w:widowControl w:val="0"/>
        <w:wordWrap/>
        <w:adjustRightInd/>
        <w:snapToGrid/>
        <w:spacing w:before="0" w:beforeAutospacing="0" w:after="0" w:afterAutospacing="0" w:line="480" w:lineRule="exact"/>
        <w:ind w:right="0" w:firstLine="480" w:firstLineChars="200"/>
        <w:textAlignment w:val="auto"/>
        <w:outlineLvl w:val="9"/>
        <w:rPr>
          <w:rFonts w:hint="eastAsia"/>
          <w:sz w:val="24"/>
        </w:rPr>
      </w:pPr>
      <w:r>
        <w:rPr>
          <w:rFonts w:hint="eastAsia"/>
          <w:sz w:val="24"/>
        </w:rPr>
        <w:t>3．公司2017年</w:t>
      </w:r>
      <w:r>
        <w:rPr>
          <w:rFonts w:hint="eastAsia"/>
          <w:sz w:val="24"/>
          <w:lang w:eastAsia="zh-CN"/>
        </w:rPr>
        <w:t>周年股东大会、</w:t>
      </w:r>
      <w:r>
        <w:rPr>
          <w:rFonts w:hint="eastAsia"/>
          <w:sz w:val="24"/>
          <w:lang w:val="en-US" w:eastAsia="zh-CN"/>
        </w:rPr>
        <w:t>2018年</w:t>
      </w:r>
      <w:r>
        <w:rPr>
          <w:rFonts w:hint="eastAsia"/>
          <w:sz w:val="24"/>
        </w:rPr>
        <w:t>第一次</w:t>
      </w:r>
      <w:r>
        <w:rPr>
          <w:rFonts w:hint="eastAsia"/>
          <w:sz w:val="24"/>
          <w:lang w:val="en-US" w:eastAsia="zh-CN"/>
        </w:rPr>
        <w:t>A股类别股东大会及2018年</w:t>
      </w:r>
      <w:r>
        <w:rPr>
          <w:rFonts w:hint="eastAsia"/>
          <w:sz w:val="24"/>
        </w:rPr>
        <w:t>第一次</w:t>
      </w:r>
      <w:r>
        <w:rPr>
          <w:rFonts w:hint="eastAsia"/>
          <w:sz w:val="24"/>
          <w:lang w:val="en-US" w:eastAsia="zh-CN"/>
        </w:rPr>
        <w:t>H股类别股东大会</w:t>
      </w:r>
      <w:r>
        <w:rPr>
          <w:rFonts w:hint="eastAsia"/>
          <w:sz w:val="24"/>
          <w:lang w:eastAsia="zh-CN"/>
        </w:rPr>
        <w:t>记录</w:t>
      </w:r>
      <w:r>
        <w:rPr>
          <w:rFonts w:hint="eastAsia"/>
          <w:sz w:val="24"/>
        </w:rPr>
        <w:t>。</w:t>
      </w:r>
    </w:p>
    <w:p>
      <w:pPr>
        <w:widowControl w:val="0"/>
        <w:wordWrap/>
        <w:adjustRightInd/>
        <w:snapToGrid/>
        <w:spacing w:before="0" w:beforeAutospacing="0" w:after="0" w:afterAutospacing="0" w:line="480" w:lineRule="exact"/>
        <w:ind w:right="0" w:firstLine="480" w:firstLineChars="200"/>
        <w:textAlignment w:val="auto"/>
        <w:outlineLvl w:val="9"/>
        <w:rPr>
          <w:rFonts w:hint="eastAsia"/>
          <w:sz w:val="24"/>
        </w:rPr>
      </w:pPr>
      <w:r>
        <w:rPr>
          <w:rFonts w:hint="eastAsia"/>
          <w:sz w:val="24"/>
        </w:rPr>
        <w:t>特此公告。</w:t>
      </w:r>
    </w:p>
    <w:p>
      <w:pPr>
        <w:widowControl w:val="0"/>
        <w:wordWrap/>
        <w:adjustRightInd/>
        <w:snapToGrid/>
        <w:spacing w:before="0" w:beforeAutospacing="0" w:after="0" w:afterAutospacing="0" w:line="480" w:lineRule="exact"/>
        <w:ind w:right="0" w:firstLine="480" w:firstLineChars="200"/>
        <w:textAlignment w:val="auto"/>
        <w:outlineLvl w:val="9"/>
        <w:rPr>
          <w:rFonts w:hint="eastAsia"/>
          <w:sz w:val="24"/>
        </w:rPr>
      </w:pPr>
    </w:p>
    <w:p>
      <w:pPr>
        <w:widowControl w:val="0"/>
        <w:wordWrap/>
        <w:adjustRightInd/>
        <w:snapToGrid/>
        <w:spacing w:before="0" w:beforeAutospacing="0" w:after="0" w:afterAutospacing="0" w:line="480" w:lineRule="exact"/>
        <w:ind w:right="0" w:firstLine="4680" w:firstLineChars="1950"/>
        <w:textAlignment w:val="auto"/>
        <w:outlineLvl w:val="9"/>
        <w:rPr>
          <w:rFonts w:hint="eastAsia"/>
          <w:sz w:val="24"/>
        </w:rPr>
      </w:pPr>
      <w:r>
        <w:rPr>
          <w:rFonts w:hint="eastAsia"/>
          <w:sz w:val="24"/>
        </w:rPr>
        <w:t>山东新华制药股份有限公司董事会</w:t>
      </w:r>
    </w:p>
    <w:p>
      <w:pPr>
        <w:widowControl w:val="0"/>
        <w:wordWrap/>
        <w:adjustRightInd/>
        <w:snapToGrid/>
        <w:spacing w:before="0" w:beforeAutospacing="0" w:after="0" w:afterAutospacing="0" w:line="480" w:lineRule="exact"/>
        <w:ind w:right="0" w:firstLine="5400" w:firstLineChars="2250"/>
        <w:textAlignment w:val="auto"/>
        <w:outlineLvl w:val="9"/>
        <w:rPr>
          <w:rFonts w:hint="eastAsia"/>
          <w:sz w:val="24"/>
        </w:rPr>
      </w:pPr>
      <w:r>
        <w:rPr>
          <w:rFonts w:hint="eastAsia"/>
          <w:sz w:val="24"/>
        </w:rPr>
        <w:t>2018年</w:t>
      </w:r>
      <w:r>
        <w:rPr>
          <w:rFonts w:hint="eastAsia"/>
          <w:sz w:val="24"/>
          <w:lang w:val="en-US" w:eastAsia="zh-CN"/>
        </w:rPr>
        <w:t>7</w:t>
      </w:r>
      <w:r>
        <w:rPr>
          <w:rFonts w:hint="eastAsia"/>
          <w:sz w:val="24"/>
        </w:rPr>
        <w:t>月</w:t>
      </w:r>
      <w:r>
        <w:rPr>
          <w:rFonts w:hint="eastAsia"/>
          <w:sz w:val="24"/>
          <w:lang w:val="en-US" w:eastAsia="zh-CN"/>
        </w:rPr>
        <w:t>19</w:t>
      </w:r>
      <w:r>
        <w:rPr>
          <w:rFonts w:hint="eastAsia"/>
          <w:sz w:val="24"/>
        </w:rPr>
        <w:t>日</w:t>
      </w:r>
    </w:p>
    <w:p>
      <w:pPr>
        <w:spacing w:before="100" w:beforeAutospacing="1" w:after="100" w:afterAutospacing="1" w:line="360" w:lineRule="exact"/>
        <w:ind w:firstLine="420"/>
        <w:jc w:val="both"/>
        <w:rPr>
          <w:rFonts w:hint="eastAsia" w:hAnsi="宋体"/>
          <w:sz w:val="24"/>
          <w:szCs w:val="24"/>
        </w:rPr>
      </w:pP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 w:name="华文楷体">
    <w:altName w:val="宋体"/>
    <w:panose1 w:val="02010600040101010101"/>
    <w:charset w:val="86"/>
    <w:family w:val="auto"/>
    <w:pitch w:val="default"/>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18"/>
        <w:lang w:val="en-US" w:eastAsia="zh-CN" w:bidi="ar-SA"/>
      </w:rPr>
      <w:pict>
        <v:rect id="文本框 3"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0"/>
  </w:style>
  <w:style w:type="paragraph" w:styleId="2">
    <w:name w:val="Date"/>
    <w:basedOn w:val="1"/>
    <w:next w:val="1"/>
    <w:uiPriority w:val="0"/>
    <w:pPr>
      <w:ind w:left="100" w:leftChars="2500"/>
    </w:pPr>
    <w:rPr>
      <w:rFonts w:ascii="宋体"/>
      <w:sz w:val="24"/>
    </w:rPr>
  </w:style>
  <w:style w:type="paragraph" w:styleId="3">
    <w:name w:val="footer"/>
    <w:basedOn w:val="1"/>
    <w:qFormat/>
    <w:uiPriority w:val="0"/>
    <w:pPr>
      <w:tabs>
        <w:tab w:val="center" w:pos="4153"/>
        <w:tab w:val="right" w:pos="8306"/>
      </w:tabs>
      <w:snapToGrid w:val="0"/>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style>
  <w:style w:type="character" w:styleId="7">
    <w:name w:val="Hyperlink"/>
    <w:qFormat/>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0</Words>
  <Characters>2708</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2017-12-19T07:48:00Z</dcterms:created>
  <dc:creator>曹长求</dc:creator>
  <cp:lastModifiedBy>曹长求</cp:lastModifiedBy>
  <dcterms:modified xsi:type="dcterms:W3CDTF">2018-07-19T08:28:28Z</dcterms:modified>
  <dc:title>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