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snapToGrid w:val="0"/>
        <w:jc w:val="both"/>
        <w:rPr>
          <w:rFonts w:ascii="Times New Roman" w:hAnsi="Times New Roman"/>
          <w:i/>
          <w:sz w:val="20"/>
          <w:szCs w:val="20"/>
        </w:rPr>
      </w:pPr>
      <w:r>
        <w:rPr>
          <w:rFonts w:hint="eastAsia" w:ascii="Times New Roman" w:hAnsi="Times New Roman"/>
          <w:i/>
          <w:sz w:val="20"/>
          <w:szCs w:val="20"/>
        </w:rPr>
        <w:t>香港交易及結算所有限公司及香港聯合交易所有限公司對本公告之內容概不負責，對其準確性或完整</w:t>
      </w:r>
    </w:p>
    <w:p>
      <w:pPr>
        <w:pStyle w:val="8"/>
        <w:snapToGrid w:val="0"/>
        <w:jc w:val="both"/>
        <w:rPr>
          <w:rFonts w:ascii="Times New Roman" w:hAnsi="Times New Roman"/>
          <w:i/>
          <w:sz w:val="20"/>
          <w:szCs w:val="20"/>
        </w:rPr>
      </w:pPr>
      <w:r>
        <w:rPr>
          <w:rFonts w:hint="eastAsia" w:ascii="Times New Roman" w:hAnsi="Times New Roman"/>
          <w:i/>
          <w:sz w:val="20"/>
          <w:szCs w:val="20"/>
        </w:rPr>
        <w:t>性亦不發表任何聲明，並明確表示概不就因本公告全部或任何部分內容而產生或因倚賴該等內容而引</w:t>
      </w:r>
    </w:p>
    <w:p>
      <w:pPr>
        <w:pStyle w:val="8"/>
        <w:snapToGrid w:val="0"/>
        <w:jc w:val="both"/>
        <w:rPr>
          <w:rFonts w:ascii="Times New Roman" w:hAnsi="Times New Roman"/>
          <w:i/>
          <w:sz w:val="20"/>
          <w:szCs w:val="20"/>
        </w:rPr>
      </w:pPr>
      <w:r>
        <w:rPr>
          <w:rFonts w:hint="eastAsia" w:ascii="Times New Roman" w:hAnsi="Times New Roman"/>
          <w:i/>
          <w:sz w:val="20"/>
          <w:szCs w:val="20"/>
        </w:rPr>
        <w:t>致之任何損失承擔任何責任。</w:t>
      </w:r>
    </w:p>
    <w:p>
      <w:pPr>
        <w:pStyle w:val="8"/>
        <w:snapToGrid w:val="0"/>
        <w:jc w:val="both"/>
        <w:rPr>
          <w:rFonts w:ascii="Times New Roman" w:hAnsi="Times New Roman"/>
          <w:sz w:val="20"/>
          <w:szCs w:val="20"/>
        </w:rPr>
      </w:pPr>
    </w:p>
    <w:p>
      <w:pPr>
        <w:pStyle w:val="8"/>
        <w:snapToGrid w:val="0"/>
        <w:jc w:val="both"/>
        <w:rPr>
          <w:rFonts w:ascii="Times New Roman" w:hAnsi="Times New Roman"/>
          <w:sz w:val="20"/>
          <w:szCs w:val="20"/>
        </w:rPr>
      </w:pPr>
      <w:r>
        <w:rPr>
          <w:rFonts w:ascii="Times New Roman" w:hAnsi="Times New Roman" w:eastAsia="MingLiU" w:cs="Times New Roman"/>
          <w:i/>
          <w:iCs/>
          <w:kern w:val="2"/>
          <w:sz w:val="20"/>
          <w:szCs w:val="22"/>
          <w:lang w:val="en-US" w:eastAsia="zh-TW" w:bidi="ar-SA"/>
        </w:rPr>
        <w:pict>
          <v:shape id="图片 2" o:spid="_x0000_s1026" type="#_x0000_t75" style="position:absolute;left:0;margin-left:200.45pt;margin-top:2.55pt;height:45.45pt;width:42pt;rotation:0f;z-index:251658240;" o:ole="f" fillcolor="#FFFFFF" filled="f" o:preferrelative="t" stroked="f" coordorigin="0,0" coordsize="21600,21600">
            <v:fill on="f" color2="#FFFFFF" focus="0%"/>
            <v:imagedata gain="65536f" blacklevel="0f" gamma="0" chromakey="#FFFFFF" o:title="" r:id="rId6"/>
            <o:lock v:ext="edit" position="f" selection="f" grouping="f" rotation="f" cropping="f" text="f" aspectratio="t"/>
          </v:shape>
        </w:pict>
      </w:r>
    </w:p>
    <w:p>
      <w:pPr>
        <w:pStyle w:val="8"/>
        <w:snapToGrid w:val="0"/>
        <w:spacing w:line="240" w:lineRule="atLeast"/>
        <w:jc w:val="center"/>
        <w:rPr>
          <w:rFonts w:ascii="Times New Roman" w:hAnsi="Times New Roman"/>
          <w:sz w:val="16"/>
        </w:rPr>
      </w:pPr>
      <w:r>
        <w:rPr>
          <w:rFonts w:hint="eastAsia" w:ascii="Times New Roman" w:hAnsi="Times New Roman"/>
          <w:sz w:val="16"/>
        </w:rPr>
        <w:tab/>
      </w:r>
    </w:p>
    <w:p>
      <w:pPr>
        <w:pStyle w:val="8"/>
        <w:snapToGrid w:val="0"/>
        <w:spacing w:line="240" w:lineRule="atLeast"/>
        <w:jc w:val="center"/>
        <w:rPr>
          <w:rFonts w:ascii="Times New Roman" w:hAnsi="Times New Roman"/>
          <w:sz w:val="16"/>
        </w:rPr>
      </w:pPr>
    </w:p>
    <w:p>
      <w:pPr>
        <w:pStyle w:val="8"/>
        <w:snapToGrid w:val="0"/>
        <w:spacing w:line="240" w:lineRule="atLeast"/>
        <w:jc w:val="center"/>
        <w:rPr>
          <w:rFonts w:ascii="Times New Roman" w:hAnsi="Times New Roman"/>
          <w:i/>
          <w:iCs/>
          <w:sz w:val="20"/>
        </w:rPr>
      </w:pPr>
    </w:p>
    <w:p>
      <w:pPr>
        <w:pStyle w:val="15"/>
        <w:widowControl w:val="0"/>
        <w:tabs>
          <w:tab w:val="left" w:pos="709"/>
          <w:tab w:val="left" w:pos="1418"/>
          <w:tab w:val="left" w:pos="2126"/>
          <w:tab w:val="left" w:pos="2835"/>
          <w:tab w:val="left" w:pos="3544"/>
          <w:tab w:val="left" w:pos="4253"/>
        </w:tabs>
        <w:kinsoku w:val="0"/>
        <w:adjustRightInd w:val="0"/>
        <w:snapToGrid w:val="0"/>
        <w:spacing w:line="240" w:lineRule="atLeast"/>
        <w:rPr>
          <w:kern w:val="2"/>
          <w:sz w:val="22"/>
          <w:szCs w:val="22"/>
        </w:rPr>
      </w:pPr>
    </w:p>
    <w:p>
      <w:pPr>
        <w:pStyle w:val="8"/>
        <w:snapToGrid w:val="0"/>
        <w:spacing w:line="240" w:lineRule="atLeast"/>
        <w:jc w:val="center"/>
        <w:rPr>
          <w:rFonts w:ascii="Times New Roman" w:hAnsi="Times New Roman"/>
          <w:b/>
          <w:sz w:val="22"/>
        </w:rPr>
      </w:pPr>
      <w:r>
        <w:rPr>
          <w:rFonts w:hint="eastAsia"/>
          <w:b/>
          <w:bCs/>
          <w:sz w:val="22"/>
        </w:rPr>
        <w:t>山東新華製藥股份有限公司</w:t>
      </w:r>
    </w:p>
    <w:p>
      <w:pPr>
        <w:pStyle w:val="15"/>
        <w:widowControl w:val="0"/>
        <w:tabs>
          <w:tab w:val="left" w:pos="709"/>
          <w:tab w:val="left" w:pos="1418"/>
          <w:tab w:val="left" w:pos="2126"/>
          <w:tab w:val="left" w:pos="2835"/>
          <w:tab w:val="left" w:pos="3544"/>
          <w:tab w:val="left" w:pos="4253"/>
        </w:tabs>
        <w:kinsoku w:val="0"/>
        <w:adjustRightInd w:val="0"/>
        <w:snapToGrid w:val="0"/>
        <w:spacing w:line="240" w:lineRule="atLeast"/>
        <w:rPr>
          <w:kern w:val="2"/>
          <w:sz w:val="22"/>
          <w:szCs w:val="22"/>
        </w:rPr>
      </w:pPr>
      <w:r>
        <w:rPr>
          <w:kern w:val="2"/>
          <w:sz w:val="22"/>
          <w:szCs w:val="22"/>
        </w:rPr>
        <w:t>Shandong Xinhua Pharmaceutical Company Limited</w:t>
      </w:r>
    </w:p>
    <w:p>
      <w:pPr>
        <w:pStyle w:val="8"/>
        <w:snapToGrid w:val="0"/>
        <w:spacing w:before="80"/>
        <w:jc w:val="center"/>
        <w:rPr>
          <w:rFonts w:ascii="Times New Roman" w:hAnsi="Times New Roman"/>
          <w:i/>
          <w:sz w:val="22"/>
        </w:rPr>
      </w:pPr>
      <w:r>
        <w:rPr>
          <w:rFonts w:hint="eastAsia" w:ascii="Times New Roman" w:hAnsi="Times New Roman"/>
          <w:i/>
          <w:sz w:val="22"/>
        </w:rPr>
        <w:t>（於中華人民共和國註冊成立的股份有限公司）</w:t>
      </w:r>
    </w:p>
    <w:p>
      <w:pPr>
        <w:jc w:val="center"/>
        <w:rPr>
          <w:b/>
          <w:bCs/>
          <w:sz w:val="22"/>
          <w:szCs w:val="22"/>
        </w:rPr>
      </w:pPr>
      <w:r>
        <w:rPr>
          <w:rFonts w:hint="eastAsia"/>
          <w:b/>
          <w:bCs/>
          <w:sz w:val="22"/>
          <w:szCs w:val="22"/>
        </w:rPr>
        <w:t>（股份代號：0719）</w:t>
      </w:r>
    </w:p>
    <w:p>
      <w:pPr>
        <w:rPr>
          <w:sz w:val="22"/>
          <w:szCs w:val="22"/>
        </w:rPr>
      </w:pPr>
      <w:r>
        <w:rPr>
          <w:sz w:val="22"/>
          <w:szCs w:val="22"/>
        </w:rPr>
        <w:t xml:space="preserve"> </w:t>
      </w:r>
    </w:p>
    <w:p>
      <w:pPr>
        <w:autoSpaceDE w:val="0"/>
        <w:autoSpaceDN w:val="0"/>
        <w:adjustRightInd w:val="0"/>
        <w:ind w:left="110" w:right="49"/>
        <w:jc w:val="center"/>
        <w:rPr>
          <w:b/>
          <w:bCs/>
          <w:color w:val="231F20"/>
          <w:spacing w:val="4"/>
          <w:sz w:val="22"/>
          <w:szCs w:val="22"/>
        </w:rPr>
      </w:pPr>
      <w:r>
        <w:rPr>
          <w:rFonts w:hint="eastAsia"/>
          <w:b/>
          <w:bCs/>
          <w:color w:val="231F20"/>
          <w:spacing w:val="4"/>
          <w:sz w:val="22"/>
          <w:szCs w:val="22"/>
        </w:rPr>
        <w:t>控股股東股權結構變更</w:t>
      </w:r>
    </w:p>
    <w:p>
      <w:pPr>
        <w:tabs>
          <w:tab w:val="left" w:pos="6900"/>
        </w:tabs>
        <w:autoSpaceDE w:val="0"/>
        <w:autoSpaceDN w:val="0"/>
        <w:adjustRightInd w:val="0"/>
        <w:ind w:left="110" w:right="49"/>
        <w:rPr>
          <w:color w:val="000000"/>
        </w:rPr>
      </w:pPr>
      <w:r>
        <w:rPr>
          <w:color w:val="000000"/>
        </w:rPr>
        <w:tab/>
      </w:r>
    </w:p>
    <w:p>
      <w:pPr>
        <w:pStyle w:val="8"/>
        <w:snapToGrid w:val="0"/>
        <w:jc w:val="both"/>
        <w:rPr>
          <w:rFonts w:ascii="Times New Roman" w:hAnsi="Times New Roman"/>
          <w:bCs/>
          <w:color w:val="231F20"/>
          <w:spacing w:val="4"/>
          <w:sz w:val="22"/>
        </w:rPr>
      </w:pPr>
      <w:r>
        <w:rPr>
          <w:rFonts w:hint="eastAsia" w:ascii="Times New Roman" w:hAnsi="Times New Roman"/>
          <w:bCs/>
          <w:color w:val="231F20"/>
          <w:spacing w:val="4"/>
          <w:sz w:val="22"/>
        </w:rPr>
        <w:t>本公告乃由山東新華製藥股份有限公司（「</w:t>
      </w:r>
      <w:r>
        <w:rPr>
          <w:rFonts w:hint="eastAsia" w:ascii="Times New Roman" w:hAnsi="Times New Roman"/>
          <w:b/>
          <w:bCs/>
          <w:color w:val="231F20"/>
          <w:spacing w:val="4"/>
          <w:sz w:val="22"/>
        </w:rPr>
        <w:t>本公司</w:t>
      </w:r>
      <w:r>
        <w:rPr>
          <w:rFonts w:hint="eastAsia" w:ascii="Times New Roman" w:hAnsi="Times New Roman"/>
          <w:bCs/>
          <w:color w:val="231F20"/>
          <w:spacing w:val="4"/>
          <w:sz w:val="22"/>
        </w:rPr>
        <w:t>」）根據香港聯合交易所有限公司證券上市規則（「</w:t>
      </w:r>
      <w:r>
        <w:rPr>
          <w:rFonts w:hint="eastAsia" w:ascii="Times New Roman" w:hAnsi="Times New Roman"/>
          <w:b/>
          <w:bCs/>
          <w:color w:val="231F20"/>
          <w:spacing w:val="4"/>
          <w:sz w:val="22"/>
        </w:rPr>
        <w:t>上市規則</w:t>
      </w:r>
      <w:r>
        <w:rPr>
          <w:rFonts w:hint="eastAsia" w:ascii="Times New Roman" w:hAnsi="Times New Roman"/>
          <w:bCs/>
          <w:color w:val="231F20"/>
          <w:spacing w:val="4"/>
          <w:sz w:val="22"/>
        </w:rPr>
        <w:t>」）第13.09條及證券及期貨條例（香港法例第571章）第XIVA部項下的內幕消息條文（定義見上市規則）而作出。</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本公司獲華魯控股集團有限公司（「</w:t>
      </w:r>
      <w:r>
        <w:rPr>
          <w:rFonts w:hint="eastAsia" w:ascii="Times New Roman" w:hAnsi="Times New Roman"/>
          <w:b/>
          <w:sz w:val="22"/>
        </w:rPr>
        <w:t>華魯控股</w:t>
      </w:r>
      <w:r>
        <w:rPr>
          <w:rFonts w:hint="eastAsia" w:ascii="Times New Roman" w:hAnsi="Times New Roman"/>
          <w:sz w:val="22"/>
        </w:rPr>
        <w:t>」）告知， 山東省人民政府國有資產監督管理委員會（「</w:t>
      </w:r>
      <w:r>
        <w:rPr>
          <w:rFonts w:hint="eastAsia" w:ascii="Times New Roman" w:hAnsi="Times New Roman"/>
          <w:b/>
          <w:sz w:val="22"/>
        </w:rPr>
        <w:t>山東國資委</w:t>
      </w:r>
      <w:r>
        <w:rPr>
          <w:rFonts w:hint="eastAsia" w:ascii="Times New Roman" w:hAnsi="Times New Roman"/>
          <w:sz w:val="22"/>
        </w:rPr>
        <w:t>」）已經由魯國資收益字</w:t>
      </w:r>
      <w:r>
        <w:rPr>
          <w:rFonts w:ascii="Times New Roman" w:hAnsi="Times New Roman"/>
          <w:sz w:val="22"/>
        </w:rPr>
        <w:t>[2018]47</w:t>
      </w:r>
      <w:r>
        <w:rPr>
          <w:rFonts w:hint="eastAsia" w:ascii="Times New Roman" w:hAnsi="Times New Roman"/>
          <w:sz w:val="22"/>
        </w:rPr>
        <w:t>號《山東省國資委關於華魯控股集團有限公司吸收合併山東新華醫藥集團有限責任公司有關問題的批復》（「</w:t>
      </w:r>
      <w:r>
        <w:rPr>
          <w:rFonts w:hint="eastAsia" w:ascii="Times New Roman" w:hAnsi="Times New Roman"/>
          <w:b/>
          <w:sz w:val="22"/>
        </w:rPr>
        <w:t>該文件</w:t>
      </w:r>
      <w:r>
        <w:rPr>
          <w:rFonts w:hint="eastAsia" w:ascii="Times New Roman" w:hAnsi="Times New Roman"/>
          <w:sz w:val="22"/>
        </w:rPr>
        <w:t>」）原則同意華魯控股的集團內部重組方案（「</w:t>
      </w:r>
      <w:r>
        <w:rPr>
          <w:rFonts w:hint="eastAsia" w:ascii="Times New Roman" w:hAnsi="Times New Roman"/>
          <w:b/>
          <w:sz w:val="22"/>
        </w:rPr>
        <w:t>內部重組</w:t>
      </w:r>
      <w:r>
        <w:rPr>
          <w:rFonts w:hint="eastAsia" w:ascii="Times New Roman" w:hAnsi="Times New Roman"/>
          <w:sz w:val="22"/>
        </w:rPr>
        <w:t>」）。作為內部重組的部分，山東新華醫藥集團有限責任公司（「</w:t>
      </w:r>
      <w:r>
        <w:rPr>
          <w:rFonts w:hint="eastAsia" w:ascii="Times New Roman" w:hAnsi="Times New Roman"/>
          <w:b/>
          <w:sz w:val="22"/>
        </w:rPr>
        <w:t>新華集團</w:t>
      </w:r>
      <w:r>
        <w:rPr>
          <w:rFonts w:hint="eastAsia" w:ascii="Times New Roman" w:hAnsi="Times New Roman"/>
          <w:sz w:val="22"/>
        </w:rPr>
        <w:t>」）預期以零代價向華魯控股轉讓其對本公司的所有及任何權益及負債（「</w:t>
      </w:r>
      <w:r>
        <w:rPr>
          <w:rFonts w:hint="eastAsia" w:ascii="Times New Roman" w:hAnsi="Times New Roman"/>
          <w:b/>
          <w:sz w:val="22"/>
        </w:rPr>
        <w:t>建議轉讓</w:t>
      </w:r>
      <w:r>
        <w:rPr>
          <w:rFonts w:hint="eastAsia" w:ascii="Times New Roman" w:hAnsi="Times New Roman"/>
          <w:sz w:val="22"/>
        </w:rPr>
        <w:t>」）。</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截至本公告日期：</w:t>
      </w:r>
    </w:p>
    <w:p>
      <w:pPr>
        <w:pStyle w:val="8"/>
        <w:snapToGrid w:val="0"/>
        <w:jc w:val="both"/>
        <w:rPr>
          <w:rFonts w:ascii="Times New Roman" w:hAnsi="Times New Roman"/>
          <w:sz w:val="22"/>
        </w:rPr>
      </w:pPr>
    </w:p>
    <w:p>
      <w:pPr>
        <w:pStyle w:val="8"/>
        <w:numPr>
          <w:ilvl w:val="0"/>
          <w:numId w:val="1"/>
        </w:numPr>
        <w:snapToGrid w:val="0"/>
        <w:jc w:val="both"/>
        <w:rPr>
          <w:rFonts w:ascii="Times New Roman" w:hAnsi="Times New Roman"/>
          <w:sz w:val="22"/>
        </w:rPr>
      </w:pPr>
      <w:r>
        <w:rPr>
          <w:rFonts w:hint="eastAsia" w:ascii="Times New Roman" w:hAnsi="Times New Roman"/>
          <w:sz w:val="22"/>
        </w:rPr>
        <w:t>新華集團持有本公司已發行股份（「</w:t>
      </w:r>
      <w:r>
        <w:rPr>
          <w:rFonts w:hint="eastAsia" w:ascii="Times New Roman" w:hAnsi="Times New Roman"/>
          <w:b/>
          <w:sz w:val="22"/>
        </w:rPr>
        <w:t>股份</w:t>
      </w:r>
      <w:r>
        <w:rPr>
          <w:rFonts w:hint="eastAsia" w:ascii="Times New Roman" w:hAnsi="Times New Roman"/>
          <w:sz w:val="22"/>
        </w:rPr>
        <w:t>」）總數的</w:t>
      </w:r>
      <w:r>
        <w:rPr>
          <w:rFonts w:ascii="Times New Roman" w:hAnsi="Times New Roman"/>
          <w:sz w:val="22"/>
        </w:rPr>
        <w:t>32.94%</w:t>
      </w:r>
      <w:r>
        <w:rPr>
          <w:rFonts w:hint="eastAsia" w:ascii="Times New Roman" w:hAnsi="Times New Roman"/>
          <w:sz w:val="22"/>
        </w:rPr>
        <w:t>（均為</w:t>
      </w:r>
      <w:r>
        <w:rPr>
          <w:rFonts w:ascii="Times New Roman" w:hAnsi="Times New Roman"/>
          <w:sz w:val="22"/>
        </w:rPr>
        <w:t>A</w:t>
      </w:r>
      <w:r>
        <w:rPr>
          <w:rFonts w:hint="eastAsia" w:ascii="Times New Roman" w:hAnsi="Times New Roman"/>
          <w:sz w:val="22"/>
        </w:rPr>
        <w:t>股股份），並為本公司的直接控股股東；</w:t>
      </w:r>
    </w:p>
    <w:p>
      <w:pPr>
        <w:pStyle w:val="8"/>
        <w:snapToGrid w:val="0"/>
        <w:ind w:left="360"/>
        <w:jc w:val="both"/>
        <w:rPr>
          <w:rFonts w:ascii="Times New Roman" w:hAnsi="Times New Roman"/>
          <w:sz w:val="22"/>
        </w:rPr>
      </w:pPr>
    </w:p>
    <w:p>
      <w:pPr>
        <w:pStyle w:val="8"/>
        <w:numPr>
          <w:ilvl w:val="0"/>
          <w:numId w:val="1"/>
        </w:numPr>
        <w:snapToGrid w:val="0"/>
        <w:jc w:val="both"/>
        <w:rPr>
          <w:rFonts w:ascii="Times New Roman" w:hAnsi="Times New Roman"/>
          <w:sz w:val="22"/>
        </w:rPr>
      </w:pPr>
      <w:r>
        <w:rPr>
          <w:rFonts w:hint="eastAsia" w:ascii="TimesLTStd-Roman" w:hAnsi="TimesLTStd-Roman" w:cs="TimesLTStd-Roman"/>
          <w:kern w:val="0"/>
          <w:sz w:val="22"/>
        </w:rPr>
        <w:t>華魯控股</w:t>
      </w:r>
      <w:r>
        <w:rPr>
          <w:rFonts w:hint="eastAsia" w:ascii="Times New Roman" w:hAnsi="Times New Roman"/>
          <w:sz w:val="22"/>
        </w:rPr>
        <w:t>持有已發行股份總數的</w:t>
      </w:r>
      <w:r>
        <w:rPr>
          <w:rFonts w:ascii="Times New Roman" w:hAnsi="Times New Roman"/>
          <w:sz w:val="22"/>
        </w:rPr>
        <w:t>35.80%</w:t>
      </w:r>
      <w:r>
        <w:rPr>
          <w:rFonts w:hint="eastAsia" w:ascii="Times New Roman" w:hAnsi="Times New Roman"/>
          <w:sz w:val="22"/>
        </w:rPr>
        <w:t>，其中</w:t>
      </w:r>
      <w:r>
        <w:rPr>
          <w:rFonts w:ascii="Times New Roman" w:hAnsi="Times New Roman"/>
          <w:sz w:val="22"/>
        </w:rPr>
        <w:t>32.94%</w:t>
      </w:r>
      <w:r>
        <w:rPr>
          <w:rFonts w:hint="eastAsia" w:ascii="Times New Roman" w:hAnsi="Times New Roman"/>
          <w:sz w:val="22"/>
        </w:rPr>
        <w:t>為其直接全資子公司新華集團持有的A股股份，而</w:t>
      </w:r>
      <w:r>
        <w:rPr>
          <w:rFonts w:ascii="Times New Roman" w:hAnsi="Times New Roman"/>
          <w:sz w:val="22"/>
        </w:rPr>
        <w:t>2.86%</w:t>
      </w:r>
      <w:r>
        <w:rPr>
          <w:rFonts w:hint="eastAsia" w:ascii="Times New Roman" w:hAnsi="Times New Roman"/>
          <w:sz w:val="22"/>
        </w:rPr>
        <w:t>為其間接全資子公司維斌有限公司持有的H股股份；及</w:t>
      </w:r>
    </w:p>
    <w:p>
      <w:pPr>
        <w:pStyle w:val="19"/>
        <w:rPr>
          <w:sz w:val="22"/>
          <w:szCs w:val="22"/>
        </w:rPr>
      </w:pPr>
    </w:p>
    <w:p>
      <w:pPr>
        <w:pStyle w:val="8"/>
        <w:numPr>
          <w:ilvl w:val="0"/>
          <w:numId w:val="1"/>
        </w:numPr>
        <w:snapToGrid w:val="0"/>
        <w:jc w:val="both"/>
        <w:rPr>
          <w:rFonts w:ascii="Times New Roman" w:hAnsi="Times New Roman"/>
          <w:sz w:val="22"/>
        </w:rPr>
      </w:pPr>
      <w:r>
        <w:rPr>
          <w:rFonts w:hint="eastAsia" w:ascii="Times New Roman" w:hAnsi="Times New Roman"/>
          <w:sz w:val="22"/>
        </w:rPr>
        <w:t>新華集團及</w:t>
      </w:r>
      <w:r>
        <w:rPr>
          <w:rFonts w:hint="eastAsia" w:ascii="TimesLTStd-Roman" w:hAnsi="TimesLTStd-Roman" w:cs="TimesLTStd-Roman"/>
          <w:kern w:val="0"/>
          <w:sz w:val="22"/>
        </w:rPr>
        <w:t>華魯控股均為隸屬山東省人民政府的國有全資公司。</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建議轉讓完成後，</w:t>
      </w:r>
      <w:r>
        <w:rPr>
          <w:rFonts w:hint="eastAsia" w:ascii="TimesLTStd-Roman" w:hAnsi="TimesLTStd-Roman" w:cs="TimesLTStd-Roman"/>
          <w:kern w:val="0"/>
          <w:sz w:val="22"/>
        </w:rPr>
        <w:t>華魯控股就本公司的持股百分比及其作為本公司控股股東的地位將維持不變，並將成為本公司的</w:t>
      </w:r>
      <w:r>
        <w:rPr>
          <w:rFonts w:hint="eastAsia" w:ascii="Times New Roman" w:hAnsi="Times New Roman"/>
          <w:sz w:val="22"/>
        </w:rPr>
        <w:t>直接控股股東；而截至本公告日期為直接控股股東的新華集團將不再對本公司擁有任何權益或負債。</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本公司董事會（「</w:t>
      </w:r>
      <w:r>
        <w:rPr>
          <w:rFonts w:hint="eastAsia" w:ascii="Times New Roman" w:hAnsi="Times New Roman"/>
          <w:b/>
          <w:sz w:val="22"/>
        </w:rPr>
        <w:t>董事會</w:t>
      </w:r>
      <w:r>
        <w:rPr>
          <w:rFonts w:hint="eastAsia" w:ascii="Times New Roman" w:hAnsi="Times New Roman"/>
          <w:sz w:val="22"/>
        </w:rPr>
        <w:t>」）認為，建議轉讓將不會對本公司及其子公司的財務狀況及經營造成任何影響。</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就本公司所知，於本公告日期，建議轉讓：(i)已獲山東國資委授予原則同意；惟(ii)仍須待其他政府及／或監管機構包括但不限於中國證券監督管理委員會（「</w:t>
      </w:r>
      <w:r>
        <w:rPr>
          <w:rFonts w:hint="eastAsia" w:ascii="Times New Roman" w:hAnsi="Times New Roman"/>
          <w:b/>
          <w:sz w:val="22"/>
        </w:rPr>
        <w:t>中證監</w:t>
      </w:r>
      <w:r>
        <w:rPr>
          <w:rFonts w:hint="eastAsia" w:ascii="Times New Roman" w:hAnsi="Times New Roman"/>
          <w:sz w:val="22"/>
        </w:rPr>
        <w:t>」）及香港證券及期貨事務監察委員會（「</w:t>
      </w:r>
      <w:r>
        <w:rPr>
          <w:rFonts w:hint="eastAsia" w:ascii="Times New Roman" w:hAnsi="Times New Roman"/>
          <w:b/>
          <w:sz w:val="22"/>
        </w:rPr>
        <w:t>證監會</w:t>
      </w:r>
      <w:r>
        <w:rPr>
          <w:rFonts w:hint="eastAsia" w:ascii="Times New Roman" w:hAnsi="Times New Roman"/>
          <w:sz w:val="22"/>
        </w:rPr>
        <w:t>」）的批准及／或豁免等條件；及(iii)尚未付諸實行。</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本公司將於接獲控股股東的進一步通知後對任何須予披露事宜作進一步公告。</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本公司董事（「</w:t>
      </w:r>
      <w:r>
        <w:rPr>
          <w:rFonts w:hint="eastAsia" w:ascii="Times New Roman" w:hAnsi="Times New Roman"/>
          <w:b/>
          <w:sz w:val="22"/>
        </w:rPr>
        <w:t>董事</w:t>
      </w:r>
      <w:r>
        <w:rPr>
          <w:rFonts w:hint="eastAsia" w:ascii="Times New Roman" w:hAnsi="Times New Roman"/>
          <w:sz w:val="22"/>
        </w:rPr>
        <w:t>」）共同及個別地就本公告內資料的準確程度承擔全部責任，且經作出所有合理查詢後，確認據他們所深知本公告中表達的意見乃經適當及審慎的考慮後達致，並確認本公告並無遺漏其他事實，足以導致本公告任何聲明具誤導成分。</w:t>
      </w:r>
    </w:p>
    <w:p>
      <w:pPr>
        <w:pStyle w:val="8"/>
        <w:snapToGrid w:val="0"/>
        <w:jc w:val="both"/>
        <w:rPr>
          <w:rFonts w:ascii="Times New Roman" w:hAnsi="Times New Roman"/>
          <w:sz w:val="22"/>
        </w:rPr>
      </w:pPr>
    </w:p>
    <w:p>
      <w:pPr>
        <w:pStyle w:val="8"/>
        <w:snapToGrid w:val="0"/>
        <w:jc w:val="both"/>
        <w:rPr>
          <w:rFonts w:ascii="Times New Roman" w:hAnsi="Times New Roman"/>
          <w:sz w:val="22"/>
        </w:rPr>
      </w:pPr>
    </w:p>
    <w:p>
      <w:pPr>
        <w:pStyle w:val="8"/>
        <w:snapToGrid w:val="0"/>
        <w:jc w:val="both"/>
        <w:rPr>
          <w:rFonts w:ascii="Times New Roman" w:hAnsi="Times New Roman"/>
          <w:b/>
          <w:bCs/>
          <w:sz w:val="22"/>
        </w:rPr>
      </w:pPr>
      <w:r>
        <w:rPr>
          <w:rFonts w:hint="eastAsia" w:ascii="Times New Roman" w:hAnsi="Times New Roman"/>
          <w:b/>
          <w:bCs/>
          <w:sz w:val="22"/>
        </w:rPr>
        <w:t>除該文件外建議轉讓尚有待其他條件，並不必然得以實施，本公司股東及潛在投資者於買賣本公司股份時務請審慎行事。</w:t>
      </w:r>
    </w:p>
    <w:p>
      <w:pPr>
        <w:pStyle w:val="8"/>
        <w:snapToGrid w:val="0"/>
        <w:jc w:val="both"/>
        <w:rPr>
          <w:rFonts w:ascii="Times New Roman" w:hAnsi="Times New Roman"/>
          <w:sz w:val="22"/>
        </w:rPr>
      </w:pPr>
    </w:p>
    <w:p>
      <w:pPr>
        <w:jc w:val="both"/>
        <w:rPr>
          <w:sz w:val="22"/>
          <w:szCs w:val="22"/>
        </w:rPr>
      </w:pPr>
      <w:r>
        <w:rPr>
          <w:rFonts w:hint="eastAsia"/>
          <w:sz w:val="22"/>
          <w:szCs w:val="22"/>
        </w:rPr>
        <w:t xml:space="preserve">    </w:t>
      </w:r>
    </w:p>
    <w:tbl>
      <w:tblPr>
        <w:tblW w:w="8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3448"/>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3448" w:type="dxa"/>
            <w:vAlign w:val="top"/>
          </w:tcPr>
          <w:p>
            <w:pPr>
              <w:pStyle w:val="8"/>
              <w:snapToGrid w:val="0"/>
              <w:rPr>
                <w:rFonts w:ascii="Times New Roman" w:hAnsi="Times New Roman"/>
                <w:sz w:val="22"/>
              </w:rPr>
            </w:pPr>
          </w:p>
        </w:tc>
        <w:tc>
          <w:tcPr>
            <w:tcW w:w="5220" w:type="dxa"/>
            <w:vAlign w:val="top"/>
          </w:tcPr>
          <w:p>
            <w:pPr>
              <w:pStyle w:val="18"/>
              <w:spacing w:line="240" w:lineRule="auto"/>
              <w:ind w:left="110" w:right="1200"/>
              <w:jc w:val="right"/>
              <w:rPr>
                <w:rFonts w:ascii="Times New Roman" w:hAnsi="Times New Roman"/>
                <w:color w:val="auto"/>
                <w:sz w:val="22"/>
                <w:szCs w:val="22"/>
              </w:rPr>
            </w:pPr>
            <w:r>
              <w:rPr>
                <w:rFonts w:hint="eastAsia" w:ascii="Times New Roman" w:hAnsi="Times New Roman"/>
                <w:color w:val="auto"/>
                <w:sz w:val="22"/>
                <w:szCs w:val="22"/>
              </w:rPr>
              <w:t>承董事會命</w:t>
            </w:r>
          </w:p>
          <w:p>
            <w:pPr>
              <w:pStyle w:val="18"/>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389" w:rightChars="162"/>
              <w:jc w:val="right"/>
              <w:rPr>
                <w:rFonts w:ascii="Times New Roman" w:hAnsi="Times New Roman"/>
                <w:color w:val="auto"/>
                <w:sz w:val="22"/>
                <w:szCs w:val="22"/>
              </w:rPr>
            </w:pPr>
            <w:r>
              <w:rPr>
                <w:rFonts w:hint="eastAsia" w:ascii="Times New Roman" w:hAnsi="Times New Roman"/>
                <w:b/>
                <w:bCs/>
                <w:color w:val="auto"/>
                <w:sz w:val="22"/>
                <w:szCs w:val="22"/>
              </w:rPr>
              <w:t>山東新華製藥股份有限公司</w:t>
            </w:r>
          </w:p>
          <w:p>
            <w:pPr>
              <w:pStyle w:val="18"/>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241"/>
              <w:jc w:val="right"/>
              <w:rPr>
                <w:rFonts w:ascii="Times New Roman" w:hAnsi="Times New Roman" w:eastAsia="宋体"/>
                <w:b/>
                <w:bCs/>
                <w:color w:val="auto"/>
                <w:sz w:val="22"/>
                <w:szCs w:val="22"/>
                <w:lang w:eastAsia="zh-CN"/>
              </w:rPr>
            </w:pPr>
            <w:r>
              <w:rPr>
                <w:rFonts w:hint="eastAsia" w:ascii="Times New Roman" w:hAnsi="Times New Roman" w:eastAsia="宋体"/>
                <w:b/>
                <w:bCs/>
                <w:color w:val="auto"/>
                <w:sz w:val="22"/>
                <w:szCs w:val="22"/>
                <w:lang w:eastAsia="zh-CN"/>
              </w:rPr>
              <w:t>張代銘先生</w:t>
            </w:r>
          </w:p>
          <w:p>
            <w:pPr>
              <w:pStyle w:val="18"/>
              <w:tabs>
                <w:tab w:val="clear" w:pos="3400"/>
              </w:tabs>
              <w:spacing w:line="240" w:lineRule="auto"/>
              <w:ind w:left="110" w:right="1502"/>
              <w:jc w:val="right"/>
              <w:rPr>
                <w:rFonts w:ascii="Times New Roman" w:hAnsi="Times New Roman" w:eastAsia="宋体"/>
                <w:i/>
                <w:iCs/>
                <w:color w:val="auto"/>
                <w:sz w:val="22"/>
                <w:szCs w:val="22"/>
                <w:lang w:eastAsia="zh-CN"/>
              </w:rPr>
            </w:pPr>
            <w:r>
              <w:rPr>
                <w:rFonts w:hint="eastAsia" w:ascii="Times New Roman" w:hAnsi="Times New Roman"/>
                <w:i/>
                <w:iCs/>
                <w:color w:val="auto"/>
                <w:sz w:val="22"/>
                <w:szCs w:val="22"/>
              </w:rPr>
              <w:t>董事長</w:t>
            </w:r>
          </w:p>
          <w:p>
            <w:pPr>
              <w:pStyle w:val="8"/>
              <w:snapToGrid w:val="0"/>
              <w:jc w:val="center"/>
              <w:rPr>
                <w:rFonts w:ascii="Times New Roman" w:hAnsi="Times New Roman"/>
                <w:sz w:val="22"/>
              </w:rPr>
            </w:pPr>
          </w:p>
        </w:tc>
      </w:tr>
    </w:tbl>
    <w:p>
      <w:pPr>
        <w:pStyle w:val="8"/>
        <w:snapToGrid w:val="0"/>
        <w:rPr>
          <w:rFonts w:ascii="Times New Roman" w:hAnsi="Times New Roman"/>
          <w:sz w:val="22"/>
        </w:rPr>
      </w:pPr>
      <w:r>
        <w:rPr>
          <w:rFonts w:ascii="Times New Roman" w:hAnsi="Times New Roman"/>
          <w:sz w:val="22"/>
        </w:rPr>
        <w:t xml:space="preserve"> </w:t>
      </w:r>
    </w:p>
    <w:p>
      <w:pPr>
        <w:pStyle w:val="8"/>
        <w:snapToGrid w:val="0"/>
        <w:rPr>
          <w:rFonts w:ascii="Times New Roman" w:hAnsi="Times New Roman"/>
          <w:sz w:val="22"/>
        </w:rPr>
      </w:pPr>
      <w:r>
        <w:rPr>
          <w:rFonts w:hint="eastAsia" w:ascii="Times New Roman" w:hAnsi="Times New Roman"/>
          <w:sz w:val="22"/>
        </w:rPr>
        <w:t>中國 淄博，二零一八年</w:t>
      </w:r>
      <w:bookmarkStart w:id="0" w:name="_GoBack"/>
      <w:r>
        <w:rPr>
          <w:rFonts w:hint="eastAsia" w:ascii="Times New Roman" w:hAnsi="Times New Roman" w:eastAsia="宋体"/>
          <w:sz w:val="22"/>
        </w:rPr>
        <w:t>七月</w:t>
      </w:r>
      <w:r>
        <w:rPr>
          <w:rFonts w:hint="eastAsia" w:ascii="Times New Roman" w:hAnsi="Times New Roman" w:eastAsia="宋体"/>
          <w:sz w:val="22"/>
          <w:lang w:eastAsia="zh-CN"/>
        </w:rPr>
        <w:t>十八</w:t>
      </w:r>
      <w:r>
        <w:rPr>
          <w:rFonts w:hint="eastAsia" w:ascii="Times New Roman" w:hAnsi="Times New Roman" w:eastAsia="宋体"/>
          <w:sz w:val="22"/>
        </w:rPr>
        <w:t>日</w:t>
      </w:r>
      <w:bookmarkEnd w:id="0"/>
    </w:p>
    <w:p>
      <w:pPr>
        <w:pStyle w:val="8"/>
        <w:snapToGrid w:val="0"/>
        <w:rPr>
          <w:rFonts w:ascii="Times New Roman" w:hAnsi="Times New Roman"/>
          <w:sz w:val="22"/>
        </w:rPr>
      </w:pPr>
      <w:r>
        <w:rPr>
          <w:rFonts w:ascii="Times New Roman" w:hAnsi="Times New Roman"/>
          <w:sz w:val="22"/>
        </w:rPr>
        <w:t xml:space="preserve"> </w:t>
      </w:r>
    </w:p>
    <w:p>
      <w:pPr>
        <w:pStyle w:val="8"/>
        <w:snapToGrid w:val="0"/>
        <w:ind w:left="630" w:hanging="630"/>
        <w:jc w:val="both"/>
        <w:rPr>
          <w:rFonts w:ascii="Times New Roman" w:hAnsi="Times New Roman"/>
          <w:i/>
          <w:sz w:val="22"/>
        </w:rPr>
      </w:pPr>
    </w:p>
    <w:p>
      <w:pPr>
        <w:pStyle w:val="8"/>
        <w:snapToGrid w:val="0"/>
        <w:ind w:left="630" w:hanging="630"/>
        <w:jc w:val="both"/>
        <w:rPr>
          <w:rFonts w:ascii="Times New Roman" w:hAnsi="Times New Roman"/>
          <w:i/>
          <w:sz w:val="22"/>
        </w:rPr>
      </w:pPr>
    </w:p>
    <w:p>
      <w:pPr>
        <w:snapToGrid w:val="0"/>
        <w:ind w:left="110"/>
        <w:jc w:val="both"/>
        <w:rPr>
          <w:color w:val="231F20"/>
          <w:spacing w:val="4"/>
          <w:sz w:val="22"/>
          <w:szCs w:val="22"/>
        </w:rPr>
      </w:pPr>
      <w:r>
        <w:rPr>
          <w:rFonts w:hint="eastAsia"/>
          <w:color w:val="231F20"/>
          <w:spacing w:val="4"/>
          <w:sz w:val="22"/>
          <w:szCs w:val="22"/>
        </w:rPr>
        <w:t>於本公告日期，董事會由下列董事組成：</w:t>
      </w:r>
    </w:p>
    <w:p>
      <w:pPr>
        <w:snapToGrid w:val="0"/>
        <w:ind w:left="110"/>
        <w:jc w:val="both"/>
        <w:rPr>
          <w:color w:val="231F20"/>
          <w:spacing w:val="4"/>
          <w:sz w:val="22"/>
          <w:szCs w:val="22"/>
        </w:rPr>
      </w:pPr>
    </w:p>
    <w:tbl>
      <w:tblPr>
        <w:tblW w:w="8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348"/>
        <w:gridCol w:w="4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color w:val="231F20"/>
                <w:spacing w:val="4"/>
                <w:sz w:val="22"/>
                <w:szCs w:val="22"/>
                <w:u w:val="single"/>
              </w:rPr>
            </w:pPr>
            <w:r>
              <w:rPr>
                <w:rFonts w:hint="eastAsia"/>
                <w:color w:val="231F20"/>
                <w:spacing w:val="4"/>
                <w:sz w:val="22"/>
                <w:szCs w:val="22"/>
                <w:u w:val="single"/>
              </w:rPr>
              <w:t>執行董事：</w:t>
            </w:r>
          </w:p>
          <w:p>
            <w:pPr>
              <w:snapToGrid w:val="0"/>
              <w:ind w:left="110"/>
              <w:jc w:val="both"/>
              <w:rPr>
                <w:color w:val="231F20"/>
                <w:spacing w:val="4"/>
                <w:sz w:val="22"/>
                <w:szCs w:val="22"/>
              </w:rPr>
            </w:pPr>
            <w:r>
              <w:rPr>
                <w:rFonts w:hint="eastAsia"/>
                <w:color w:val="231F20"/>
                <w:spacing w:val="4"/>
                <w:sz w:val="22"/>
                <w:szCs w:val="22"/>
              </w:rPr>
              <w:t>張代銘先生（董事長）</w:t>
            </w:r>
          </w:p>
          <w:p>
            <w:pPr>
              <w:snapToGrid w:val="0"/>
              <w:ind w:left="110"/>
              <w:jc w:val="both"/>
              <w:rPr>
                <w:color w:val="231F20"/>
                <w:spacing w:val="4"/>
                <w:sz w:val="22"/>
                <w:szCs w:val="22"/>
              </w:rPr>
            </w:pPr>
            <w:r>
              <w:rPr>
                <w:rFonts w:hint="eastAsia"/>
                <w:color w:val="231F20"/>
                <w:spacing w:val="4"/>
                <w:sz w:val="22"/>
                <w:szCs w:val="22"/>
              </w:rPr>
              <w:t>杜德平先生</w:t>
            </w:r>
          </w:p>
          <w:p>
            <w:pPr>
              <w:snapToGrid w:val="0"/>
              <w:ind w:left="110"/>
              <w:jc w:val="both"/>
              <w:rPr>
                <w:color w:val="231F20"/>
                <w:spacing w:val="4"/>
                <w:sz w:val="22"/>
                <w:szCs w:val="22"/>
              </w:rPr>
            </w:pPr>
          </w:p>
        </w:tc>
        <w:tc>
          <w:tcPr>
            <w:tcW w:w="4348" w:type="dxa"/>
            <w:vAlign w:val="top"/>
          </w:tcPr>
          <w:p>
            <w:pPr>
              <w:snapToGrid w:val="0"/>
              <w:ind w:left="110"/>
              <w:jc w:val="both"/>
              <w:rPr>
                <w:color w:val="231F20"/>
                <w:spacing w:val="4"/>
                <w:sz w:val="22"/>
                <w:szCs w:val="22"/>
                <w:u w:val="single"/>
              </w:rPr>
            </w:pPr>
            <w:r>
              <w:rPr>
                <w:rFonts w:hint="eastAsia"/>
                <w:color w:val="231F20"/>
                <w:spacing w:val="4"/>
                <w:sz w:val="22"/>
                <w:szCs w:val="22"/>
                <w:u w:val="single"/>
              </w:rPr>
              <w:t>獨立非執行董事：</w:t>
            </w:r>
          </w:p>
          <w:p>
            <w:pPr>
              <w:snapToGrid w:val="0"/>
              <w:ind w:left="110"/>
              <w:jc w:val="both"/>
              <w:rPr>
                <w:color w:val="231F20"/>
                <w:spacing w:val="4"/>
                <w:sz w:val="22"/>
                <w:szCs w:val="22"/>
              </w:rPr>
            </w:pPr>
            <w:r>
              <w:rPr>
                <w:rFonts w:hint="eastAsia"/>
                <w:color w:val="231F20"/>
                <w:spacing w:val="4"/>
                <w:sz w:val="22"/>
                <w:szCs w:val="22"/>
              </w:rPr>
              <w:t>李文明先生</w:t>
            </w:r>
            <w:r>
              <w:rPr>
                <w:color w:val="231F20"/>
                <w:spacing w:val="4"/>
                <w:sz w:val="22"/>
                <w:szCs w:val="22"/>
              </w:rPr>
              <w:t xml:space="preserve"> </w:t>
            </w:r>
          </w:p>
          <w:p>
            <w:pPr>
              <w:snapToGrid w:val="0"/>
              <w:ind w:left="110"/>
              <w:jc w:val="both"/>
              <w:rPr>
                <w:color w:val="231F20"/>
                <w:spacing w:val="4"/>
                <w:sz w:val="22"/>
                <w:szCs w:val="22"/>
              </w:rPr>
            </w:pPr>
            <w:r>
              <w:rPr>
                <w:rFonts w:hint="eastAsia"/>
                <w:color w:val="231F20"/>
                <w:spacing w:val="4"/>
                <w:sz w:val="22"/>
                <w:szCs w:val="22"/>
              </w:rPr>
              <w:t>杜冠華先生</w:t>
            </w:r>
            <w:r>
              <w:rPr>
                <w:color w:val="231F20"/>
                <w:spacing w:val="4"/>
                <w:sz w:val="22"/>
                <w:szCs w:val="22"/>
              </w:rPr>
              <w:t xml:space="preserve"> </w:t>
            </w:r>
          </w:p>
          <w:p>
            <w:pPr>
              <w:snapToGrid w:val="0"/>
              <w:ind w:left="110"/>
              <w:jc w:val="both"/>
              <w:rPr>
                <w:color w:val="231F20"/>
                <w:spacing w:val="4"/>
                <w:sz w:val="22"/>
                <w:szCs w:val="22"/>
              </w:rPr>
            </w:pPr>
            <w:r>
              <w:rPr>
                <w:rFonts w:hint="eastAsia"/>
                <w:color w:val="231F20"/>
                <w:spacing w:val="4"/>
                <w:sz w:val="22"/>
                <w:szCs w:val="22"/>
              </w:rPr>
              <w:t>盧華威先生</w:t>
            </w:r>
          </w:p>
          <w:p>
            <w:pPr>
              <w:snapToGrid w:val="0"/>
              <w:ind w:left="110"/>
              <w:jc w:val="both"/>
              <w:rPr>
                <w:color w:val="231F20"/>
                <w:spacing w:val="4"/>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color w:val="231F20"/>
                <w:spacing w:val="4"/>
                <w:sz w:val="22"/>
                <w:szCs w:val="22"/>
                <w:u w:val="single"/>
              </w:rPr>
            </w:pPr>
            <w:r>
              <w:rPr>
                <w:rFonts w:hint="eastAsia"/>
                <w:color w:val="231F20"/>
                <w:spacing w:val="4"/>
                <w:sz w:val="22"/>
                <w:szCs w:val="22"/>
                <w:u w:val="single"/>
              </w:rPr>
              <w:t>非執行董事：</w:t>
            </w:r>
          </w:p>
          <w:p>
            <w:pPr>
              <w:snapToGrid w:val="0"/>
              <w:ind w:left="110"/>
              <w:jc w:val="both"/>
              <w:rPr>
                <w:color w:val="231F20"/>
                <w:spacing w:val="4"/>
                <w:sz w:val="22"/>
                <w:szCs w:val="22"/>
              </w:rPr>
            </w:pPr>
            <w:r>
              <w:rPr>
                <w:rFonts w:hint="eastAsia"/>
                <w:color w:val="231F20"/>
                <w:spacing w:val="4"/>
                <w:sz w:val="22"/>
                <w:szCs w:val="22"/>
              </w:rPr>
              <w:t>任福龍先生</w:t>
            </w:r>
          </w:p>
          <w:p>
            <w:pPr>
              <w:snapToGrid w:val="0"/>
              <w:ind w:left="110"/>
              <w:jc w:val="both"/>
              <w:rPr>
                <w:color w:val="231F20"/>
                <w:spacing w:val="4"/>
                <w:sz w:val="22"/>
                <w:szCs w:val="22"/>
              </w:rPr>
            </w:pPr>
            <w:r>
              <w:rPr>
                <w:rFonts w:hint="eastAsia"/>
                <w:color w:val="231F20"/>
                <w:spacing w:val="4"/>
                <w:sz w:val="22"/>
                <w:szCs w:val="22"/>
              </w:rPr>
              <w:t>徐 列先生</w:t>
            </w:r>
          </w:p>
          <w:p>
            <w:pPr>
              <w:snapToGrid w:val="0"/>
              <w:ind w:left="110"/>
              <w:jc w:val="both"/>
              <w:rPr>
                <w:color w:val="231F20"/>
                <w:spacing w:val="4"/>
                <w:sz w:val="22"/>
                <w:szCs w:val="22"/>
              </w:rPr>
            </w:pPr>
            <w:r>
              <w:rPr>
                <w:rFonts w:hint="eastAsia"/>
                <w:color w:val="231F20"/>
                <w:spacing w:val="4"/>
                <w:sz w:val="22"/>
                <w:szCs w:val="22"/>
              </w:rPr>
              <w:t>趙 斌先生</w:t>
            </w:r>
          </w:p>
        </w:tc>
        <w:tc>
          <w:tcPr>
            <w:tcW w:w="4348" w:type="dxa"/>
            <w:vAlign w:val="top"/>
          </w:tcPr>
          <w:p>
            <w:pPr>
              <w:snapToGrid w:val="0"/>
              <w:ind w:left="110"/>
              <w:jc w:val="both"/>
              <w:rPr>
                <w:color w:val="231F20"/>
                <w:spacing w:val="4"/>
                <w:sz w:val="22"/>
                <w:szCs w:val="22"/>
              </w:rPr>
            </w:pPr>
          </w:p>
        </w:tc>
      </w:tr>
    </w:tbl>
    <w:p>
      <w:pPr>
        <w:pStyle w:val="16"/>
        <w:spacing w:line="0" w:lineRule="atLeast"/>
        <w:ind w:left="115"/>
        <w:rPr>
          <w:rFonts w:ascii="Times New Roman" w:hAnsi="Times New Roman"/>
          <w:color w:val="231F20"/>
          <w:spacing w:val="4"/>
          <w:sz w:val="22"/>
          <w:szCs w:val="22"/>
        </w:rPr>
      </w:pPr>
    </w:p>
    <w:p>
      <w:pPr>
        <w:pStyle w:val="17"/>
        <w:spacing w:line="0" w:lineRule="atLeast"/>
        <w:ind w:left="115"/>
        <w:rPr>
          <w:rFonts w:ascii="Times New Roman" w:hAnsi="Times New Roman"/>
          <w:color w:val="231F20"/>
          <w:spacing w:val="4"/>
          <w:sz w:val="22"/>
          <w:szCs w:val="22"/>
        </w:rPr>
      </w:pPr>
    </w:p>
    <w:p>
      <w:pPr>
        <w:pStyle w:val="17"/>
        <w:spacing w:line="0" w:lineRule="atLeast"/>
        <w:ind w:left="115"/>
        <w:rPr>
          <w:rFonts w:ascii="Times New Roman" w:hAnsi="Times New Roman"/>
          <w:color w:val="231F20"/>
          <w:spacing w:val="4"/>
          <w:sz w:val="22"/>
          <w:szCs w:val="22"/>
        </w:rPr>
      </w:pPr>
    </w:p>
    <w:p>
      <w:pPr>
        <w:autoSpaceDE w:val="0"/>
        <w:autoSpaceDN w:val="0"/>
        <w:adjustRightInd w:val="0"/>
        <w:ind w:left="110" w:right="1207"/>
        <w:jc w:val="center"/>
        <w:rPr>
          <w:color w:val="000000"/>
          <w:sz w:val="22"/>
          <w:szCs w:val="22"/>
        </w:rPr>
      </w:pPr>
    </w:p>
    <w:p>
      <w:pPr>
        <w:pStyle w:val="8"/>
        <w:snapToGrid w:val="0"/>
        <w:jc w:val="both"/>
        <w:rPr>
          <w:rFonts w:ascii="Times New Roman" w:hAnsi="Times New Roman"/>
          <w:iCs/>
          <w:sz w:val="22"/>
        </w:rPr>
      </w:pPr>
    </w:p>
    <w:sectPr>
      <w:footerReference r:id="rId4"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Calibri Light">
    <w:altName w:val="Calibri"/>
    <w:panose1 w:val="020F0302020204030204"/>
    <w:charset w:val="00"/>
    <w:family w:val="auto"/>
    <w:pitch w:val="default"/>
    <w:sig w:usb0="A00002EF" w:usb1="4000207B" w:usb2="00000000" w:usb3="00000000" w:csb0="0000019F" w:csb1="00000000"/>
  </w:font>
  <w:font w:name="MingLiU">
    <w:panose1 w:val="02020509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auto"/>
    <w:pitch w:val="default"/>
    <w:sig w:usb0="E0002AFF" w:usb1="C0007841" w:usb2="00000009" w:usb3="00000000" w:csb0="000001FF" w:csb1="00000000"/>
  </w:font>
  <w:font w:name="TimesLTStd-Roman">
    <w:altName w:val="Segoe Print"/>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t>1</w:t>
    </w:r>
    <w:r>
      <w:fldChar w:fldCharType="end"/>
    </w:r>
  </w:p>
  <w:p>
    <w:pPr>
      <w:pStyle w:val="10"/>
      <w:jc w:val="right"/>
      <w:rPr>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47766873">
    <w:nsid w:val="4A5F6959"/>
    <w:multiLevelType w:val="multilevel"/>
    <w:tmpl w:val="4A5F6959"/>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2477668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80"/>
  <w:drawingGridHorizontalSpacing w:val="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3"/>
    <w:basedOn w:val="1"/>
    <w:next w:val="1"/>
    <w:link w:val="26"/>
    <w:semiHidden/>
    <w:unhideWhenUsed/>
    <w:qFormat/>
    <w:uiPriority w:val="9"/>
    <w:pPr>
      <w:keepNext/>
      <w:spacing w:line="720" w:lineRule="auto"/>
      <w:outlineLvl w:val="2"/>
    </w:pPr>
    <w:rPr>
      <w:rFonts w:ascii="Calibri Light" w:hAnsi="Calibri Light"/>
      <w:b/>
      <w:bCs/>
      <w:sz w:val="36"/>
      <w:szCs w:val="36"/>
    </w:rPr>
  </w:style>
  <w:style w:type="paragraph" w:styleId="3">
    <w:name w:val="heading 8"/>
    <w:basedOn w:val="1"/>
    <w:next w:val="1"/>
    <w:qFormat/>
    <w:uiPriority w:val="0"/>
    <w:pPr>
      <w:keepNext/>
      <w:jc w:val="center"/>
      <w:outlineLvl w:val="7"/>
    </w:pPr>
    <w:rPr>
      <w:b/>
      <w:bCs/>
      <w:u w:val="single"/>
    </w:rPr>
  </w:style>
  <w:style w:type="paragraph" w:styleId="4">
    <w:name w:val="heading 9"/>
    <w:basedOn w:val="1"/>
    <w:next w:val="1"/>
    <w:qFormat/>
    <w:uiPriority w:val="0"/>
    <w:pPr>
      <w:keepNext/>
      <w:ind w:left="540" w:hanging="540" w:hangingChars="225"/>
      <w:outlineLvl w:val="8"/>
    </w:pPr>
    <w:rPr>
      <w:u w:val="single"/>
    </w:rPr>
  </w:style>
  <w:style w:type="character" w:default="1" w:styleId="13">
    <w:name w:val="Default Paragraph Font"/>
    <w:semiHidden/>
    <w:unhideWhenUsed/>
    <w:uiPriority w:val="1"/>
  </w:style>
  <w:style w:type="paragraph" w:styleId="5">
    <w:name w:val="annotation subject"/>
    <w:basedOn w:val="6"/>
    <w:next w:val="6"/>
    <w:link w:val="24"/>
    <w:semiHidden/>
    <w:unhideWhenUsed/>
    <w:uiPriority w:val="99"/>
    <w:rPr>
      <w:b/>
      <w:bCs/>
    </w:rPr>
  </w:style>
  <w:style w:type="paragraph" w:styleId="6">
    <w:name w:val="annotation text"/>
    <w:basedOn w:val="1"/>
    <w:link w:val="23"/>
    <w:semiHidden/>
    <w:unhideWhenUsed/>
    <w:uiPriority w:val="99"/>
    <w:rPr>
      <w:sz w:val="20"/>
      <w:szCs w:val="20"/>
    </w:rPr>
  </w:style>
  <w:style w:type="paragraph" w:styleId="7">
    <w:name w:val="Body Text"/>
    <w:basedOn w:val="1"/>
    <w:semiHidden/>
    <w:uiPriority w:val="0"/>
    <w:pPr>
      <w:jc w:val="both"/>
    </w:pPr>
  </w:style>
  <w:style w:type="paragraph" w:styleId="8">
    <w:name w:val="Plain Text"/>
    <w:basedOn w:val="1"/>
    <w:semiHidden/>
    <w:uiPriority w:val="0"/>
    <w:rPr>
      <w:rFonts w:ascii="MingLiU" w:hAnsi="Courier New" w:eastAsia="MingLiU"/>
      <w:szCs w:val="22"/>
    </w:rPr>
  </w:style>
  <w:style w:type="paragraph" w:styleId="9">
    <w:name w:val="Balloon Text"/>
    <w:basedOn w:val="1"/>
    <w:link w:val="25"/>
    <w:semiHidden/>
    <w:unhideWhenUsed/>
    <w:uiPriority w:val="99"/>
    <w:rPr>
      <w:rFonts w:ascii="Tahoma" w:hAnsi="Tahoma" w:cs="Tahoma"/>
      <w:sz w:val="16"/>
      <w:szCs w:val="16"/>
    </w:rPr>
  </w:style>
  <w:style w:type="paragraph" w:styleId="10">
    <w:name w:val="footer"/>
    <w:basedOn w:val="1"/>
    <w:link w:val="27"/>
    <w:uiPriority w:val="99"/>
    <w:pPr>
      <w:tabs>
        <w:tab w:val="center" w:pos="4153"/>
        <w:tab w:val="right" w:pos="8306"/>
      </w:tabs>
      <w:snapToGrid w:val="0"/>
    </w:pPr>
    <w:rPr>
      <w:sz w:val="20"/>
      <w:szCs w:val="20"/>
    </w:rPr>
  </w:style>
  <w:style w:type="paragraph" w:styleId="11">
    <w:name w:val="header"/>
    <w:basedOn w:val="1"/>
    <w:link w:val="22"/>
    <w:uiPriority w:val="99"/>
    <w:pPr>
      <w:tabs>
        <w:tab w:val="center" w:pos="4153"/>
        <w:tab w:val="right" w:pos="8306"/>
      </w:tabs>
      <w:snapToGrid w:val="0"/>
    </w:pPr>
    <w:rPr>
      <w:sz w:val="20"/>
      <w:szCs w:val="20"/>
    </w:rPr>
  </w:style>
  <w:style w:type="paragraph" w:styleId="12">
    <w:name w:val="Body Text 2"/>
    <w:basedOn w:val="1"/>
    <w:semiHidden/>
    <w:uiPriority w:val="0"/>
    <w:pPr>
      <w:jc w:val="center"/>
    </w:pPr>
  </w:style>
  <w:style w:type="character" w:styleId="14">
    <w:name w:val="annotation reference"/>
    <w:semiHidden/>
    <w:unhideWhenUsed/>
    <w:uiPriority w:val="99"/>
    <w:rPr>
      <w:sz w:val="16"/>
      <w:szCs w:val="16"/>
    </w:rPr>
  </w:style>
  <w:style w:type="paragraph" w:customStyle="1" w:styleId="15">
    <w:name w:val="題目"/>
    <w:uiPriority w:val="0"/>
    <w:pPr>
      <w:jc w:val="center"/>
    </w:pPr>
    <w:rPr>
      <w:rFonts w:eastAsia="MingLiU"/>
      <w:b/>
      <w:sz w:val="36"/>
    </w:rPr>
  </w:style>
  <w:style w:type="paragraph" w:customStyle="1" w:styleId="16">
    <w:name w:val="Leading 12"/>
    <w:uiPriority w:val="0"/>
    <w:pPr>
      <w:widowControl w:val="0"/>
      <w:tabs>
        <w:tab w:val="left" w:pos="340"/>
        <w:tab w:val="left" w:pos="680"/>
        <w:tab w:val="left" w:pos="1020"/>
        <w:tab w:val="left" w:pos="1361"/>
      </w:tabs>
      <w:autoSpaceDE w:val="0"/>
      <w:autoSpaceDN w:val="0"/>
      <w:adjustRightInd w:val="0"/>
      <w:spacing w:line="182" w:lineRule="atLeast"/>
      <w:jc w:val="both"/>
    </w:pPr>
    <w:rPr>
      <w:rFonts w:ascii="Times" w:hAnsi="Times"/>
      <w:sz w:val="10"/>
      <w:szCs w:val="10"/>
    </w:rPr>
  </w:style>
  <w:style w:type="paragraph" w:customStyle="1" w:styleId="17">
    <w:name w:val="Leading 06"/>
    <w:uiPriority w:val="0"/>
    <w:pPr>
      <w:widowControl w:val="0"/>
      <w:tabs>
        <w:tab w:val="left" w:pos="340"/>
        <w:tab w:val="left" w:pos="680"/>
        <w:tab w:val="left" w:pos="1020"/>
        <w:tab w:val="left" w:pos="1361"/>
      </w:tabs>
      <w:autoSpaceDE w:val="0"/>
      <w:autoSpaceDN w:val="0"/>
      <w:adjustRightInd w:val="0"/>
      <w:spacing w:line="180" w:lineRule="atLeast"/>
      <w:jc w:val="both"/>
    </w:pPr>
    <w:rPr>
      <w:rFonts w:ascii="Times" w:hAnsi="Times"/>
      <w:sz w:val="10"/>
      <w:szCs w:val="10"/>
    </w:rPr>
  </w:style>
  <w:style w:type="paragraph" w:customStyle="1" w:styleId="18">
    <w:name w:val="Body Text1"/>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hAnsi="Times"/>
      <w:color w:val="000000"/>
      <w:sz w:val="17"/>
      <w:szCs w:val="17"/>
    </w:rPr>
  </w:style>
  <w:style w:type="paragraph" w:customStyle="1" w:styleId="19">
    <w:name w:val="List Paragraph"/>
    <w:basedOn w:val="1"/>
    <w:qFormat/>
    <w:uiPriority w:val="34"/>
    <w:pPr>
      <w:ind w:left="720"/>
    </w:pPr>
  </w:style>
  <w:style w:type="paragraph" w:customStyle="1" w:styleId="20">
    <w:name w:val="Revision"/>
    <w:hidden/>
    <w:semiHidden/>
    <w:uiPriority w:val="99"/>
    <w:rPr>
      <w:kern w:val="2"/>
      <w:sz w:val="24"/>
      <w:szCs w:val="24"/>
    </w:rPr>
  </w:style>
  <w:style w:type="character" w:customStyle="1" w:styleId="21">
    <w:name w:val="da"/>
    <w:basedOn w:val="13"/>
    <w:uiPriority w:val="0"/>
    <w:rPr/>
  </w:style>
  <w:style w:type="character" w:customStyle="1" w:styleId="22">
    <w:name w:val="Header Char"/>
    <w:link w:val="11"/>
    <w:locked/>
    <w:uiPriority w:val="99"/>
    <w:rPr>
      <w:kern w:val="2"/>
      <w:lang w:val="en-US"/>
    </w:rPr>
  </w:style>
  <w:style w:type="character" w:customStyle="1" w:styleId="23">
    <w:name w:val="Comment Text Char"/>
    <w:link w:val="6"/>
    <w:semiHidden/>
    <w:uiPriority w:val="99"/>
    <w:rPr>
      <w:kern w:val="2"/>
      <w:lang w:val="en-US"/>
    </w:rPr>
  </w:style>
  <w:style w:type="character" w:customStyle="1" w:styleId="24">
    <w:name w:val="Comment Subject Char"/>
    <w:link w:val="5"/>
    <w:semiHidden/>
    <w:uiPriority w:val="99"/>
    <w:rPr>
      <w:b/>
      <w:bCs/>
      <w:kern w:val="2"/>
      <w:lang w:val="en-US"/>
    </w:rPr>
  </w:style>
  <w:style w:type="character" w:customStyle="1" w:styleId="25">
    <w:name w:val="Balloon Text Char"/>
    <w:link w:val="9"/>
    <w:semiHidden/>
    <w:uiPriority w:val="99"/>
    <w:rPr>
      <w:rFonts w:ascii="Tahoma" w:hAnsi="Tahoma" w:cs="Tahoma"/>
      <w:kern w:val="2"/>
      <w:sz w:val="16"/>
      <w:szCs w:val="16"/>
      <w:lang w:val="en-US"/>
    </w:rPr>
  </w:style>
  <w:style w:type="character" w:customStyle="1" w:styleId="26">
    <w:name w:val="Heading 3 Char"/>
    <w:basedOn w:val="13"/>
    <w:link w:val="2"/>
    <w:semiHidden/>
    <w:uiPriority w:val="9"/>
    <w:rPr>
      <w:rFonts w:ascii="Calibri Light" w:hAnsi="Calibri Light"/>
      <w:b/>
      <w:bCs/>
      <w:kern w:val="2"/>
      <w:sz w:val="36"/>
      <w:szCs w:val="36"/>
    </w:rPr>
  </w:style>
  <w:style w:type="character" w:customStyle="1" w:styleId="27">
    <w:name w:val="Footer Char"/>
    <w:basedOn w:val="13"/>
    <w:link w:val="10"/>
    <w:uiPriority w:val="99"/>
    <w:rPr>
      <w:kern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Charltons</Company>
  <Pages>2</Pages>
  <Words>212</Words>
  <Characters>1212</Characters>
  <Lines>10</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2018-06-11T10:02:00Z</dcterms:created>
  <dc:creator>WChow</dc:creator>
  <cp:lastModifiedBy>曹长求</cp:lastModifiedBy>
  <cp:lastPrinted>2018-06-27T02:59:00Z</cp:lastPrinted>
  <dcterms:modified xsi:type="dcterms:W3CDTF">2018-07-18T07:26:41Z</dcterms:modified>
  <dc:title>The Stock Exchange of Hong Kong Limited takes no responsibility for the contents of this announcement, makes no representation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