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autoSpaceDE w:val="0"/>
        <w:autoSpaceDN w:val="0"/>
        <w:adjustRightInd w:val="0"/>
        <w:spacing w:after="120" w:line="240" w:lineRule="auto"/>
        <w:ind w:left="110" w:right="49"/>
        <w:jc w:val="both"/>
        <w:rPr>
          <w:rFonts w:ascii="Times New Roman" w:hAnsi="Times New Roman" w:eastAsia="PMingLiU"/>
          <w:i/>
          <w:iCs/>
          <w:sz w:val="24"/>
          <w:szCs w:val="24"/>
        </w:rPr>
      </w:pPr>
      <w:bookmarkStart w:id="0" w:name="_GoBack"/>
      <w:bookmarkEnd w:id="0"/>
      <w:r>
        <w:rPr>
          <w:rFonts w:ascii="Times New Roman" w:hAnsi="Times New Roman" w:eastAsia="PMingLiU"/>
          <w:i/>
          <w:iCs/>
          <w:sz w:val="24"/>
          <w:szCs w:val="24"/>
        </w:rPr>
        <w:t>香港交易及結算所有限公司及香港聯合交易所有限公司對本公告的內容概不負責，對其準確性或完整性亦不發表任何聲明，並明確表示，概不就因本公告全部或任何部分內容而產生或因依賴該等內容而引致的任何損失承擔任何責任。</w:t>
      </w:r>
    </w:p>
    <w:p>
      <w:pPr>
        <w:widowControl w:val="0"/>
        <w:autoSpaceDE w:val="0"/>
        <w:autoSpaceDN w:val="0"/>
        <w:adjustRightInd w:val="0"/>
        <w:spacing w:after="120" w:line="240" w:lineRule="auto"/>
        <w:ind w:left="110" w:right="49"/>
        <w:rPr>
          <w:rFonts w:ascii="Times New Roman" w:hAnsi="Times New Roman" w:eastAsia="PMingLiU"/>
          <w:sz w:val="24"/>
          <w:szCs w:val="24"/>
        </w:rPr>
      </w:pPr>
    </w:p>
    <w:p>
      <w:pPr>
        <w:widowControl w:val="0"/>
        <w:autoSpaceDE w:val="0"/>
        <w:autoSpaceDN w:val="0"/>
        <w:adjustRightInd w:val="0"/>
        <w:spacing w:after="120" w:line="240" w:lineRule="auto"/>
        <w:ind w:left="110" w:right="49"/>
        <w:rPr>
          <w:rFonts w:ascii="Times New Roman" w:hAnsi="Times New Roman" w:eastAsia="PMingLiU"/>
          <w:sz w:val="24"/>
          <w:szCs w:val="24"/>
        </w:rPr>
      </w:pPr>
      <w:r>
        <w:rPr>
          <w:rFonts w:ascii="Times New Roman" w:hAnsi="Times New Roman" w:eastAsia="PMingLiU" w:cs="Times New Roman"/>
          <w:sz w:val="24"/>
          <w:szCs w:val="24"/>
          <w:lang w:val="en-US" w:eastAsia="zh-TW" w:bidi="ar-SA"/>
        </w:rPr>
        <w:pict>
          <v:shape id="图片 2" o:spid="_x0000_s1026" type="#_x0000_t75" style="position:absolute;left:0;margin-left:201.55pt;margin-top:0.8pt;height:45.45pt;width:42pt;rotation:0f;z-index:251658240;" o:ole="f" fillcolor="#FFFFFF" filled="f" o:preferrelative="t" stroked="f" coordorigin="0,0" coordsize="21600,21600">
            <v:fill on="f" color2="#FFFFFF" focus="0%"/>
            <v:imagedata gain="65536f" blacklevel="0f" gamma="0" chromakey="#FFFFFF" o:title="" r:id="rId7"/>
            <o:lock v:ext="edit" position="f" selection="f" grouping="f" rotation="f" cropping="f" text="f" aspectratio="t"/>
          </v:shape>
        </w:pict>
      </w:r>
    </w:p>
    <w:p>
      <w:pPr>
        <w:widowControl w:val="0"/>
        <w:autoSpaceDE w:val="0"/>
        <w:autoSpaceDN w:val="0"/>
        <w:adjustRightInd w:val="0"/>
        <w:spacing w:after="120" w:line="240" w:lineRule="auto"/>
        <w:ind w:left="110" w:right="49"/>
        <w:rPr>
          <w:rFonts w:ascii="Times New Roman" w:hAnsi="Times New Roman" w:eastAsia="PMingLiU"/>
          <w:sz w:val="24"/>
          <w:szCs w:val="24"/>
        </w:rPr>
      </w:pPr>
    </w:p>
    <w:p>
      <w:pPr>
        <w:widowControl w:val="0"/>
        <w:autoSpaceDE w:val="0"/>
        <w:autoSpaceDN w:val="0"/>
        <w:adjustRightInd w:val="0"/>
        <w:spacing w:after="120" w:line="240" w:lineRule="auto"/>
        <w:ind w:left="110" w:right="49"/>
        <w:rPr>
          <w:rFonts w:ascii="Times New Roman" w:hAnsi="Times New Roman" w:eastAsia="PMingLiU"/>
          <w:sz w:val="24"/>
          <w:szCs w:val="24"/>
        </w:rPr>
      </w:pPr>
    </w:p>
    <w:p>
      <w:pPr>
        <w:pStyle w:val="4"/>
        <w:spacing w:after="120"/>
        <w:ind w:left="110" w:right="49"/>
        <w:jc w:val="center"/>
        <w:rPr>
          <w:rFonts w:ascii="Times New Roman" w:hAnsi="Times New Roman" w:eastAsia="PMingLiU"/>
          <w:b/>
          <w:sz w:val="24"/>
          <w:szCs w:val="24"/>
          <w:lang w:eastAsia="zh-TW"/>
        </w:rPr>
      </w:pPr>
      <w:r>
        <w:rPr>
          <w:rFonts w:ascii="Times New Roman" w:hAnsi="Times New Roman" w:eastAsia="PMingLiU"/>
          <w:b/>
          <w:sz w:val="24"/>
          <w:szCs w:val="24"/>
          <w:lang w:eastAsia="zh-TW"/>
        </w:rPr>
        <w:t>山東新華製藥股份有限公司</w:t>
      </w:r>
    </w:p>
    <w:p>
      <w:pPr>
        <w:pStyle w:val="4"/>
        <w:spacing w:after="120"/>
        <w:ind w:left="110" w:right="49"/>
        <w:jc w:val="center"/>
        <w:rPr>
          <w:rFonts w:ascii="Times New Roman" w:hAnsi="Times New Roman" w:eastAsia="PMingLiU"/>
          <w:b/>
          <w:sz w:val="24"/>
          <w:szCs w:val="24"/>
        </w:rPr>
      </w:pPr>
      <w:r>
        <w:rPr>
          <w:rFonts w:ascii="Times New Roman" w:hAnsi="Times New Roman" w:eastAsia="PMingLiU"/>
          <w:b/>
          <w:sz w:val="24"/>
          <w:szCs w:val="24"/>
        </w:rPr>
        <w:t>Shandong Xinhua Pharmaceutical Company Limited</w:t>
      </w:r>
    </w:p>
    <w:p>
      <w:pPr>
        <w:widowControl w:val="0"/>
        <w:autoSpaceDE w:val="0"/>
        <w:autoSpaceDN w:val="0"/>
        <w:adjustRightInd w:val="0"/>
        <w:spacing w:after="120" w:line="240" w:lineRule="auto"/>
        <w:ind w:left="110" w:right="49"/>
        <w:jc w:val="center"/>
        <w:rPr>
          <w:rFonts w:ascii="Times New Roman" w:hAnsi="Times New Roman" w:eastAsia="PMingLiU"/>
          <w:bCs/>
          <w:i/>
          <w:spacing w:val="4"/>
          <w:sz w:val="24"/>
          <w:szCs w:val="24"/>
        </w:rPr>
      </w:pPr>
      <w:r>
        <w:rPr>
          <w:rFonts w:ascii="Times New Roman" w:hAnsi="Times New Roman" w:eastAsia="PMingLiU"/>
          <w:bCs/>
          <w:i/>
          <w:spacing w:val="4"/>
          <w:sz w:val="24"/>
          <w:szCs w:val="24"/>
        </w:rPr>
        <w:t>（於中華人民共和國註冊成立之股份有限公司）</w:t>
      </w:r>
    </w:p>
    <w:p>
      <w:pPr>
        <w:widowControl w:val="0"/>
        <w:autoSpaceDE w:val="0"/>
        <w:autoSpaceDN w:val="0"/>
        <w:adjustRightInd w:val="0"/>
        <w:spacing w:after="120" w:line="240" w:lineRule="auto"/>
        <w:ind w:left="110" w:right="49"/>
        <w:jc w:val="center"/>
        <w:rPr>
          <w:rFonts w:ascii="Times New Roman" w:hAnsi="Times New Roman" w:eastAsia="PMingLiU"/>
          <w:sz w:val="24"/>
          <w:szCs w:val="24"/>
        </w:rPr>
      </w:pPr>
      <w:r>
        <w:rPr>
          <w:rFonts w:ascii="Times New Roman" w:hAnsi="Times New Roman" w:eastAsia="PMingLiU"/>
          <w:b/>
          <w:bCs/>
          <w:spacing w:val="4"/>
          <w:sz w:val="24"/>
          <w:szCs w:val="24"/>
        </w:rPr>
        <w:t>（股份編號</w:t>
      </w:r>
      <w:r>
        <w:rPr>
          <w:rFonts w:ascii="Times New Roman" w:hAnsi="Times New Roman" w:eastAsia="PMingLiU"/>
          <w:b/>
          <w:bCs/>
          <w:sz w:val="24"/>
          <w:szCs w:val="24"/>
        </w:rPr>
        <w:t>:</w:t>
      </w:r>
      <w:r>
        <w:rPr>
          <w:rFonts w:ascii="Times New Roman" w:hAnsi="Times New Roman" w:eastAsia="PMingLiU"/>
          <w:b/>
          <w:bCs/>
          <w:spacing w:val="19"/>
          <w:sz w:val="24"/>
          <w:szCs w:val="24"/>
        </w:rPr>
        <w:t xml:space="preserve"> </w:t>
      </w:r>
      <w:r>
        <w:rPr>
          <w:rFonts w:ascii="Times New Roman" w:hAnsi="Times New Roman" w:eastAsia="PMingLiU"/>
          <w:b/>
          <w:bCs/>
          <w:spacing w:val="4"/>
          <w:sz w:val="24"/>
          <w:szCs w:val="24"/>
        </w:rPr>
        <w:t>0719</w:t>
      </w:r>
      <w:r>
        <w:rPr>
          <w:rFonts w:ascii="Times New Roman" w:hAnsi="Times New Roman" w:eastAsia="PMingLiU"/>
          <w:b/>
          <w:bCs/>
          <w:sz w:val="24"/>
          <w:szCs w:val="24"/>
        </w:rPr>
        <w:t>）</w:t>
      </w:r>
    </w:p>
    <w:p>
      <w:pPr>
        <w:widowControl w:val="0"/>
        <w:autoSpaceDE w:val="0"/>
        <w:autoSpaceDN w:val="0"/>
        <w:adjustRightInd w:val="0"/>
        <w:spacing w:after="120" w:line="240" w:lineRule="auto"/>
        <w:ind w:left="110" w:right="49"/>
        <w:rPr>
          <w:rFonts w:ascii="Times New Roman" w:hAnsi="Times New Roman" w:eastAsia="PMingLiU"/>
          <w:sz w:val="24"/>
          <w:szCs w:val="24"/>
        </w:rPr>
      </w:pPr>
    </w:p>
    <w:p>
      <w:pPr>
        <w:widowControl w:val="0"/>
        <w:autoSpaceDE w:val="0"/>
        <w:autoSpaceDN w:val="0"/>
        <w:adjustRightInd w:val="0"/>
        <w:spacing w:after="120" w:line="240" w:lineRule="auto"/>
        <w:ind w:right="-50"/>
        <w:jc w:val="center"/>
        <w:rPr>
          <w:rFonts w:ascii="Times New Roman" w:hAnsi="Times New Roman" w:eastAsia="PMingLiU"/>
          <w:sz w:val="24"/>
          <w:szCs w:val="24"/>
        </w:rPr>
      </w:pPr>
      <w:r>
        <w:rPr>
          <w:rFonts w:ascii="Times New Roman" w:hAnsi="Times New Roman" w:eastAsia="PMingLiU"/>
          <w:b/>
          <w:bCs/>
          <w:sz w:val="24"/>
          <w:szCs w:val="24"/>
        </w:rPr>
        <w:t>持續關連交易及須予披露交易：</w:t>
      </w:r>
      <w:r>
        <w:rPr>
          <w:rFonts w:hint="eastAsia" w:ascii="Times New Roman" w:hAnsi="Times New Roman" w:eastAsia="PMingLiU"/>
          <w:b/>
          <w:bCs/>
          <w:sz w:val="24"/>
          <w:szCs w:val="24"/>
        </w:rPr>
        <w:t>修訂</w:t>
      </w:r>
      <w:r>
        <w:rPr>
          <w:rFonts w:ascii="Times New Roman" w:hAnsi="Times New Roman" w:eastAsia="PMingLiU"/>
          <w:b/>
          <w:bCs/>
          <w:sz w:val="24"/>
          <w:szCs w:val="24"/>
        </w:rPr>
        <w:t>華魯恒升協議項下</w:t>
      </w:r>
      <w:r>
        <w:rPr>
          <w:rFonts w:hint="eastAsia" w:ascii="Times New Roman" w:hAnsi="Times New Roman" w:eastAsia="PMingLiU"/>
          <w:b/>
          <w:bCs/>
          <w:sz w:val="24"/>
          <w:szCs w:val="24"/>
        </w:rPr>
        <w:t>所涉交易</w:t>
      </w:r>
      <w:r>
        <w:rPr>
          <w:rFonts w:ascii="Times New Roman" w:hAnsi="Times New Roman" w:eastAsia="PMingLiU"/>
          <w:b/>
          <w:bCs/>
          <w:sz w:val="24"/>
          <w:szCs w:val="24"/>
        </w:rPr>
        <w:t>二零一八年年度上限</w:t>
      </w:r>
    </w:p>
    <w:p>
      <w:pPr>
        <w:widowControl w:val="0"/>
        <w:autoSpaceDE w:val="0"/>
        <w:autoSpaceDN w:val="0"/>
        <w:adjustRightInd w:val="0"/>
        <w:spacing w:after="120" w:line="240" w:lineRule="auto"/>
        <w:ind w:left="110"/>
        <w:rPr>
          <w:rFonts w:ascii="Times New Roman" w:hAnsi="Times New Roman" w:eastAsia="PMingLiU"/>
          <w:sz w:val="24"/>
          <w:szCs w:val="24"/>
        </w:rPr>
      </w:pPr>
    </w:p>
    <w:p>
      <w:pPr>
        <w:widowControl w:val="0"/>
        <w:autoSpaceDE w:val="0"/>
        <w:autoSpaceDN w:val="0"/>
        <w:adjustRightInd w:val="0"/>
        <w:spacing w:after="120" w:line="240" w:lineRule="auto"/>
        <w:ind w:left="110"/>
        <w:jc w:val="both"/>
        <w:rPr>
          <w:rFonts w:ascii="Times New Roman" w:hAnsi="Times New Roman" w:eastAsia="PMingLiU"/>
          <w:bCs/>
          <w:spacing w:val="4"/>
          <w:sz w:val="24"/>
          <w:szCs w:val="24"/>
        </w:rPr>
      </w:pPr>
      <w:r>
        <w:rPr>
          <w:rFonts w:ascii="Times New Roman" w:hAnsi="Times New Roman" w:eastAsia="PMingLiU"/>
          <w:bCs/>
          <w:spacing w:val="4"/>
          <w:sz w:val="24"/>
          <w:szCs w:val="24"/>
        </w:rPr>
        <w:t>茲提述山東新華製藥股份有限公司（</w:t>
      </w:r>
      <w:r>
        <w:rPr>
          <w:rFonts w:ascii="Times New Roman" w:hAnsi="Times New Roman" w:eastAsia="PMingLiU"/>
          <w:b/>
          <w:bCs/>
          <w:spacing w:val="4"/>
          <w:sz w:val="24"/>
          <w:szCs w:val="24"/>
        </w:rPr>
        <w:t>「本公司」</w:t>
      </w:r>
      <w:r>
        <w:rPr>
          <w:rFonts w:ascii="Times New Roman" w:hAnsi="Times New Roman" w:eastAsia="PMingLiU"/>
          <w:bCs/>
          <w:spacing w:val="4"/>
          <w:sz w:val="24"/>
          <w:szCs w:val="24"/>
        </w:rPr>
        <w:t>）日期為二零一五年十月二十九日的公告（</w:t>
      </w:r>
      <w:r>
        <w:rPr>
          <w:rFonts w:ascii="Times New Roman" w:hAnsi="Times New Roman" w:eastAsia="PMingLiU"/>
          <w:b/>
          <w:bCs/>
          <w:spacing w:val="4"/>
          <w:sz w:val="24"/>
          <w:szCs w:val="24"/>
        </w:rPr>
        <w:t>「該公告」</w:t>
      </w:r>
      <w:r>
        <w:rPr>
          <w:rFonts w:ascii="Times New Roman" w:hAnsi="Times New Roman" w:eastAsia="PMingLiU"/>
          <w:bCs/>
          <w:spacing w:val="4"/>
          <w:sz w:val="24"/>
          <w:szCs w:val="24"/>
        </w:rPr>
        <w:t>）及日期為二零一五年十二月十四日的通函（</w:t>
      </w:r>
      <w:r>
        <w:rPr>
          <w:rFonts w:ascii="Times New Roman" w:hAnsi="Times New Roman" w:eastAsia="PMingLiU"/>
          <w:b/>
          <w:bCs/>
          <w:spacing w:val="4"/>
          <w:sz w:val="24"/>
          <w:szCs w:val="24"/>
        </w:rPr>
        <w:t>「通函」</w:t>
      </w:r>
      <w:r>
        <w:rPr>
          <w:rFonts w:ascii="Times New Roman" w:hAnsi="Times New Roman" w:eastAsia="PMingLiU"/>
          <w:bCs/>
          <w:spacing w:val="4"/>
          <w:sz w:val="24"/>
          <w:szCs w:val="24"/>
        </w:rPr>
        <w:t>），內容包括本公司的持續關連交易。除非本公告另有界定，本公告所用詞彙與通函所界定者具有相同涵義。</w:t>
      </w:r>
    </w:p>
    <w:p>
      <w:pPr>
        <w:widowControl w:val="0"/>
        <w:autoSpaceDE w:val="0"/>
        <w:autoSpaceDN w:val="0"/>
        <w:adjustRightInd w:val="0"/>
        <w:spacing w:after="120" w:line="240" w:lineRule="auto"/>
        <w:ind w:left="110" w:right="8307"/>
        <w:jc w:val="both"/>
        <w:rPr>
          <w:rFonts w:ascii="Times New Roman" w:hAnsi="Times New Roman" w:eastAsia="PMingLiU"/>
          <w:b/>
          <w:bCs/>
          <w:spacing w:val="4"/>
          <w:sz w:val="24"/>
          <w:szCs w:val="24"/>
        </w:rPr>
      </w:pPr>
    </w:p>
    <w:p>
      <w:pPr>
        <w:widowControl w:val="0"/>
        <w:autoSpaceDE w:val="0"/>
        <w:autoSpaceDN w:val="0"/>
        <w:adjustRightInd w:val="0"/>
        <w:spacing w:after="120" w:line="240" w:lineRule="auto"/>
        <w:ind w:left="110" w:right="4428"/>
        <w:jc w:val="both"/>
        <w:rPr>
          <w:rFonts w:ascii="Times New Roman" w:hAnsi="Times New Roman" w:eastAsia="PMingLiU"/>
          <w:b/>
          <w:spacing w:val="4"/>
          <w:sz w:val="24"/>
          <w:szCs w:val="24"/>
        </w:rPr>
      </w:pPr>
      <w:r>
        <w:rPr>
          <w:rFonts w:ascii="Times New Roman" w:hAnsi="Times New Roman" w:eastAsia="PMingLiU"/>
          <w:b/>
          <w:spacing w:val="4"/>
          <w:sz w:val="24"/>
          <w:szCs w:val="24"/>
        </w:rPr>
        <w:t>緒言</w:t>
      </w:r>
    </w:p>
    <w:p>
      <w:pPr>
        <w:widowControl w:val="0"/>
        <w:autoSpaceDE w:val="0"/>
        <w:autoSpaceDN w:val="0"/>
        <w:adjustRightInd w:val="0"/>
        <w:spacing w:after="120" w:line="240" w:lineRule="auto"/>
        <w:ind w:left="110" w:right="48"/>
        <w:jc w:val="both"/>
        <w:rPr>
          <w:rFonts w:ascii="Times New Roman" w:hAnsi="Times New Roman" w:eastAsia="PMingLiU"/>
          <w:sz w:val="24"/>
          <w:szCs w:val="24"/>
        </w:rPr>
      </w:pPr>
      <w:r>
        <w:rPr>
          <w:rFonts w:hint="eastAsia" w:ascii="Times New Roman" w:hAnsi="Times New Roman" w:eastAsia="PMingLiU"/>
          <w:sz w:val="24"/>
          <w:szCs w:val="24"/>
        </w:rPr>
        <w:t>誠</w:t>
      </w:r>
      <w:r>
        <w:rPr>
          <w:rFonts w:ascii="Times New Roman" w:hAnsi="Times New Roman" w:eastAsia="PMingLiU"/>
          <w:sz w:val="24"/>
          <w:szCs w:val="24"/>
        </w:rPr>
        <w:t>如該公告及通函所披露，並其後獲本公司於二零一五年十二月二十九日舉行的二零一五年第二次臨時股東大會</w:t>
      </w:r>
      <w:r>
        <w:rPr>
          <w:rFonts w:hint="eastAsia" w:ascii="Times New Roman" w:hAnsi="Times New Roman" w:eastAsia="PMingLiU"/>
          <w:bCs/>
          <w:spacing w:val="4"/>
          <w:sz w:val="24"/>
          <w:szCs w:val="24"/>
        </w:rPr>
        <w:t>所</w:t>
      </w:r>
      <w:r>
        <w:rPr>
          <w:rFonts w:ascii="Times New Roman" w:hAnsi="Times New Roman" w:eastAsia="PMingLiU"/>
          <w:sz w:val="24"/>
          <w:szCs w:val="24"/>
        </w:rPr>
        <w:t>批准，本公司已與華魯恒升訂立華魯恒升協議。本公司一直監察其根據華魯恒升協議進行的交易。</w:t>
      </w:r>
    </w:p>
    <w:p>
      <w:pPr>
        <w:widowControl w:val="0"/>
        <w:autoSpaceDE w:val="0"/>
        <w:autoSpaceDN w:val="0"/>
        <w:adjustRightInd w:val="0"/>
        <w:spacing w:after="120" w:line="240" w:lineRule="auto"/>
        <w:ind w:left="110" w:right="49"/>
        <w:jc w:val="both"/>
        <w:rPr>
          <w:rFonts w:ascii="Times New Roman" w:hAnsi="Times New Roman" w:eastAsia="PMingLiU"/>
          <w:sz w:val="24"/>
          <w:szCs w:val="24"/>
        </w:rPr>
      </w:pPr>
      <w:r>
        <w:rPr>
          <w:rFonts w:hint="eastAsia" w:ascii="Times New Roman" w:hAnsi="Times New Roman" w:eastAsia="PMingLiU"/>
          <w:sz w:val="24"/>
          <w:szCs w:val="24"/>
        </w:rPr>
        <w:t>根據</w:t>
      </w:r>
      <w:r>
        <w:rPr>
          <w:rFonts w:ascii="Times New Roman" w:hAnsi="Times New Roman" w:eastAsia="PMingLiU"/>
          <w:sz w:val="24"/>
          <w:szCs w:val="24"/>
        </w:rPr>
        <w:t>「</w:t>
      </w:r>
      <w:r>
        <w:rPr>
          <w:rFonts w:hint="eastAsia" w:ascii="Times New Roman" w:hAnsi="Times New Roman" w:eastAsia="PMingLiU"/>
          <w:sz w:val="24"/>
          <w:szCs w:val="24"/>
        </w:rPr>
        <w:t>修訂</w:t>
      </w:r>
      <w:r>
        <w:rPr>
          <w:rFonts w:ascii="Times New Roman" w:hAnsi="Times New Roman" w:eastAsia="PMingLiU"/>
          <w:sz w:val="24"/>
          <w:szCs w:val="24"/>
        </w:rPr>
        <w:t>華魯恒升協議項下</w:t>
      </w:r>
      <w:r>
        <w:rPr>
          <w:rFonts w:hint="eastAsia" w:ascii="Times New Roman" w:hAnsi="Times New Roman" w:eastAsia="PMingLiU"/>
          <w:sz w:val="24"/>
          <w:szCs w:val="24"/>
        </w:rPr>
        <w:t>所涉交易</w:t>
      </w:r>
      <w:r>
        <w:rPr>
          <w:rFonts w:ascii="Times New Roman" w:hAnsi="Times New Roman" w:eastAsia="PMingLiU"/>
          <w:sz w:val="24"/>
          <w:szCs w:val="24"/>
        </w:rPr>
        <w:t>二零一八年年度上限的原因</w:t>
      </w:r>
      <w:r>
        <w:rPr>
          <w:rFonts w:hint="eastAsia" w:ascii="Times New Roman" w:hAnsi="Times New Roman" w:eastAsia="PMingLiU"/>
          <w:sz w:val="24"/>
          <w:szCs w:val="24"/>
        </w:rPr>
        <w:t>及好處</w:t>
      </w:r>
      <w:r>
        <w:rPr>
          <w:rFonts w:ascii="Times New Roman" w:hAnsi="Times New Roman" w:eastAsia="PMingLiU"/>
          <w:sz w:val="24"/>
          <w:szCs w:val="24"/>
        </w:rPr>
        <w:t>」一節</w:t>
      </w:r>
      <w:r>
        <w:rPr>
          <w:rFonts w:hint="eastAsia" w:ascii="Times New Roman" w:hAnsi="Times New Roman" w:eastAsia="PMingLiU"/>
          <w:sz w:val="24"/>
          <w:szCs w:val="24"/>
        </w:rPr>
        <w:t>所載</w:t>
      </w:r>
      <w:r>
        <w:rPr>
          <w:rFonts w:ascii="Times New Roman" w:hAnsi="Times New Roman" w:eastAsia="PMingLiU"/>
          <w:sz w:val="24"/>
          <w:szCs w:val="24"/>
        </w:rPr>
        <w:t>的原因，董事預期華魯恒升協議項下</w:t>
      </w:r>
      <w:r>
        <w:rPr>
          <w:rFonts w:hint="eastAsia" w:ascii="Times New Roman" w:hAnsi="Times New Roman" w:eastAsia="PMingLiU"/>
          <w:sz w:val="24"/>
          <w:szCs w:val="24"/>
        </w:rPr>
        <w:t>所涉</w:t>
      </w:r>
      <w:r>
        <w:rPr>
          <w:rFonts w:ascii="Times New Roman" w:hAnsi="Times New Roman" w:eastAsia="PMingLiU"/>
          <w:sz w:val="24"/>
          <w:szCs w:val="24"/>
        </w:rPr>
        <w:t>交易於截至二零一八年十二月三十一日止年度的現有年度上限將不足以應付本集團所需。</w:t>
      </w:r>
    </w:p>
    <w:p>
      <w:pPr>
        <w:widowControl w:val="0"/>
        <w:autoSpaceDE w:val="0"/>
        <w:autoSpaceDN w:val="0"/>
        <w:adjustRightInd w:val="0"/>
        <w:spacing w:after="120" w:line="240" w:lineRule="auto"/>
        <w:ind w:left="110"/>
        <w:rPr>
          <w:rFonts w:ascii="Times New Roman" w:hAnsi="Times New Roman" w:eastAsia="PMingLiU"/>
          <w:sz w:val="24"/>
          <w:szCs w:val="24"/>
        </w:rPr>
      </w:pPr>
    </w:p>
    <w:p>
      <w:pPr>
        <w:widowControl w:val="0"/>
        <w:autoSpaceDE w:val="0"/>
        <w:autoSpaceDN w:val="0"/>
        <w:adjustRightInd w:val="0"/>
        <w:spacing w:after="120" w:line="240" w:lineRule="auto"/>
        <w:ind w:left="110" w:right="4366"/>
        <w:rPr>
          <w:rFonts w:ascii="Times New Roman" w:hAnsi="Times New Roman" w:eastAsia="PMingLiU"/>
          <w:b/>
          <w:bCs/>
          <w:sz w:val="24"/>
          <w:szCs w:val="24"/>
        </w:rPr>
      </w:pPr>
      <w:r>
        <w:rPr>
          <w:rFonts w:ascii="Times New Roman" w:hAnsi="Times New Roman" w:eastAsia="PMingLiU"/>
          <w:b/>
          <w:bCs/>
          <w:sz w:val="24"/>
          <w:szCs w:val="24"/>
        </w:rPr>
        <w:t>華魯恒升協議</w:t>
      </w:r>
    </w:p>
    <w:p>
      <w:pPr>
        <w:widowControl w:val="0"/>
        <w:autoSpaceDE w:val="0"/>
        <w:autoSpaceDN w:val="0"/>
        <w:adjustRightInd w:val="0"/>
        <w:spacing w:after="120" w:line="240" w:lineRule="auto"/>
        <w:ind w:left="110" w:right="4428"/>
        <w:jc w:val="both"/>
        <w:rPr>
          <w:rFonts w:ascii="Times New Roman" w:hAnsi="Times New Roman" w:eastAsia="PMingLiU"/>
          <w:b/>
          <w:spacing w:val="4"/>
          <w:sz w:val="24"/>
          <w:szCs w:val="24"/>
        </w:rPr>
      </w:pPr>
      <w:r>
        <w:rPr>
          <w:rFonts w:ascii="Times New Roman" w:hAnsi="Times New Roman" w:eastAsia="PMingLiU"/>
          <w:b/>
          <w:spacing w:val="4"/>
          <w:sz w:val="24"/>
          <w:szCs w:val="24"/>
        </w:rPr>
        <w:t>日期</w:t>
      </w:r>
    </w:p>
    <w:p>
      <w:pPr>
        <w:widowControl w:val="0"/>
        <w:autoSpaceDE w:val="0"/>
        <w:autoSpaceDN w:val="0"/>
        <w:adjustRightInd w:val="0"/>
        <w:spacing w:after="120" w:line="240" w:lineRule="auto"/>
        <w:ind w:left="110" w:right="4428"/>
        <w:jc w:val="both"/>
        <w:rPr>
          <w:rFonts w:ascii="Times New Roman" w:hAnsi="Times New Roman" w:eastAsia="PMingLiU"/>
          <w:spacing w:val="4"/>
          <w:sz w:val="24"/>
          <w:szCs w:val="24"/>
        </w:rPr>
      </w:pPr>
      <w:r>
        <w:rPr>
          <w:rFonts w:ascii="Times New Roman" w:hAnsi="Times New Roman" w:eastAsia="PMingLiU"/>
          <w:spacing w:val="4"/>
          <w:sz w:val="24"/>
          <w:szCs w:val="24"/>
        </w:rPr>
        <w:t>二零一五年十月二十九日</w:t>
      </w:r>
    </w:p>
    <w:p>
      <w:pPr>
        <w:widowControl w:val="0"/>
        <w:autoSpaceDE w:val="0"/>
        <w:autoSpaceDN w:val="0"/>
        <w:adjustRightInd w:val="0"/>
        <w:spacing w:after="120" w:line="240" w:lineRule="auto"/>
        <w:ind w:left="110" w:right="9520"/>
        <w:jc w:val="both"/>
        <w:rPr>
          <w:rFonts w:ascii="Times New Roman" w:hAnsi="Times New Roman" w:eastAsia="PMingLiU"/>
          <w:b/>
          <w:bCs/>
          <w:spacing w:val="1"/>
          <w:sz w:val="24"/>
          <w:szCs w:val="24"/>
        </w:rPr>
      </w:pPr>
    </w:p>
    <w:p>
      <w:pPr>
        <w:widowControl w:val="0"/>
        <w:autoSpaceDE w:val="0"/>
        <w:autoSpaceDN w:val="0"/>
        <w:adjustRightInd w:val="0"/>
        <w:spacing w:after="120" w:line="240" w:lineRule="auto"/>
        <w:ind w:left="110" w:right="4428"/>
        <w:jc w:val="both"/>
        <w:rPr>
          <w:rFonts w:ascii="Times New Roman" w:hAnsi="Times New Roman" w:eastAsia="PMingLiU"/>
          <w:b/>
          <w:spacing w:val="4"/>
          <w:sz w:val="24"/>
          <w:szCs w:val="24"/>
        </w:rPr>
      </w:pPr>
      <w:r>
        <w:rPr>
          <w:rFonts w:ascii="Times New Roman" w:hAnsi="Times New Roman" w:eastAsia="PMingLiU"/>
          <w:b/>
          <w:spacing w:val="4"/>
          <w:sz w:val="24"/>
          <w:szCs w:val="24"/>
        </w:rPr>
        <w:t>協議訂立方</w:t>
      </w:r>
    </w:p>
    <w:p>
      <w:pPr>
        <w:widowControl w:val="0"/>
        <w:autoSpaceDE w:val="0"/>
        <w:autoSpaceDN w:val="0"/>
        <w:adjustRightInd w:val="0"/>
        <w:spacing w:after="120" w:line="240" w:lineRule="auto"/>
        <w:ind w:left="110" w:right="4428"/>
        <w:jc w:val="both"/>
        <w:rPr>
          <w:rFonts w:ascii="Times New Roman" w:hAnsi="Times New Roman" w:eastAsia="PMingLiU"/>
          <w:spacing w:val="4"/>
          <w:sz w:val="24"/>
          <w:szCs w:val="24"/>
        </w:rPr>
      </w:pPr>
      <w:r>
        <w:rPr>
          <w:rFonts w:ascii="Times New Roman" w:hAnsi="Times New Roman" w:eastAsia="PMingLiU"/>
          <w:spacing w:val="4"/>
          <w:sz w:val="24"/>
          <w:szCs w:val="24"/>
        </w:rPr>
        <w:t>(i)本公司 及 (ii)華魯恒升</w:t>
      </w:r>
    </w:p>
    <w:p>
      <w:pPr>
        <w:widowControl w:val="0"/>
        <w:autoSpaceDE w:val="0"/>
        <w:autoSpaceDN w:val="0"/>
        <w:adjustRightInd w:val="0"/>
        <w:spacing w:after="120" w:line="240" w:lineRule="auto"/>
        <w:ind w:left="110"/>
        <w:rPr>
          <w:rFonts w:ascii="Times New Roman" w:hAnsi="Times New Roman" w:eastAsia="PMingLiU"/>
          <w:sz w:val="24"/>
          <w:szCs w:val="24"/>
        </w:rPr>
      </w:pPr>
    </w:p>
    <w:p>
      <w:pPr>
        <w:widowControl w:val="0"/>
        <w:autoSpaceDE w:val="0"/>
        <w:autoSpaceDN w:val="0"/>
        <w:adjustRightInd w:val="0"/>
        <w:spacing w:after="120" w:line="240" w:lineRule="auto"/>
        <w:ind w:left="110" w:right="4428"/>
        <w:jc w:val="both"/>
        <w:rPr>
          <w:rFonts w:ascii="Times New Roman" w:hAnsi="Times New Roman" w:eastAsia="PMingLiU"/>
          <w:b/>
          <w:spacing w:val="4"/>
          <w:sz w:val="24"/>
          <w:szCs w:val="24"/>
        </w:rPr>
      </w:pPr>
      <w:r>
        <w:rPr>
          <w:rFonts w:ascii="Times New Roman" w:hAnsi="Times New Roman" w:eastAsia="PMingLiU"/>
          <w:b/>
          <w:spacing w:val="4"/>
          <w:sz w:val="24"/>
          <w:szCs w:val="24"/>
        </w:rPr>
        <w:t>主要事項及主要條款</w:t>
      </w:r>
    </w:p>
    <w:p>
      <w:pPr>
        <w:widowControl w:val="0"/>
        <w:autoSpaceDE w:val="0"/>
        <w:autoSpaceDN w:val="0"/>
        <w:adjustRightInd w:val="0"/>
        <w:spacing w:after="120" w:line="240" w:lineRule="auto"/>
        <w:ind w:left="110" w:right="4428"/>
        <w:jc w:val="both"/>
        <w:rPr>
          <w:rFonts w:ascii="Times New Roman" w:hAnsi="Times New Roman" w:eastAsia="PMingLiU"/>
          <w:sz w:val="24"/>
          <w:szCs w:val="24"/>
        </w:rPr>
      </w:pPr>
      <w:r>
        <w:rPr>
          <w:rFonts w:ascii="Times New Roman" w:hAnsi="Times New Roman" w:eastAsia="PMingLiU"/>
          <w:sz w:val="24"/>
          <w:szCs w:val="24"/>
        </w:rPr>
        <w:t>根據華魯恒升協議：</w:t>
      </w:r>
    </w:p>
    <w:p>
      <w:pPr>
        <w:widowControl w:val="0"/>
        <w:autoSpaceDE w:val="0"/>
        <w:autoSpaceDN w:val="0"/>
        <w:adjustRightInd w:val="0"/>
        <w:spacing w:after="120" w:line="240" w:lineRule="auto"/>
        <w:ind w:left="110" w:right="4428"/>
        <w:jc w:val="both"/>
        <w:rPr>
          <w:rFonts w:ascii="Times New Roman" w:hAnsi="Times New Roman" w:eastAsia="PMingLiU"/>
          <w:sz w:val="24"/>
          <w:szCs w:val="24"/>
        </w:rPr>
      </w:pPr>
    </w:p>
    <w:p>
      <w:pPr>
        <w:widowControl w:val="0"/>
        <w:numPr>
          <w:ilvl w:val="0"/>
          <w:numId w:val="1"/>
        </w:numPr>
        <w:autoSpaceDE w:val="0"/>
        <w:autoSpaceDN w:val="0"/>
        <w:adjustRightInd w:val="0"/>
        <w:spacing w:after="120" w:line="240" w:lineRule="auto"/>
        <w:ind w:right="49"/>
        <w:jc w:val="both"/>
        <w:rPr>
          <w:rFonts w:ascii="Times New Roman" w:hAnsi="Times New Roman" w:eastAsia="PMingLiU"/>
          <w:spacing w:val="4"/>
          <w:sz w:val="24"/>
          <w:szCs w:val="24"/>
        </w:rPr>
      </w:pPr>
      <w:r>
        <w:rPr>
          <w:rFonts w:ascii="Times New Roman" w:hAnsi="Times New Roman" w:eastAsia="PMingLiU"/>
          <w:spacing w:val="4"/>
          <w:sz w:val="24"/>
          <w:szCs w:val="24"/>
        </w:rPr>
        <w:t>本公司及</w:t>
      </w:r>
      <w:r>
        <w:rPr>
          <w:rFonts w:hint="eastAsia" w:ascii="PMingLiU" w:hAnsi="PMingLiU" w:eastAsia="PMingLiU" w:cs="PMingLiU"/>
          <w:spacing w:val="4"/>
          <w:sz w:val="24"/>
          <w:szCs w:val="24"/>
        </w:rPr>
        <w:t>╱</w:t>
      </w:r>
      <w:r>
        <w:rPr>
          <w:rFonts w:ascii="Times New Roman" w:hAnsi="Times New Roman" w:eastAsia="PMingLiU"/>
          <w:spacing w:val="4"/>
          <w:sz w:val="24"/>
          <w:szCs w:val="24"/>
        </w:rPr>
        <w:t>或其附屬公司可按市場價格，從華魯恒升及</w:t>
      </w:r>
      <w:r>
        <w:rPr>
          <w:rFonts w:hint="eastAsia" w:ascii="PMingLiU" w:hAnsi="PMingLiU" w:eastAsia="PMingLiU" w:cs="PMingLiU"/>
          <w:spacing w:val="4"/>
          <w:sz w:val="24"/>
          <w:szCs w:val="24"/>
        </w:rPr>
        <w:t>╱</w:t>
      </w:r>
      <w:r>
        <w:rPr>
          <w:rFonts w:ascii="Times New Roman" w:hAnsi="Times New Roman" w:eastAsia="PMingLiU"/>
          <w:spacing w:val="4"/>
          <w:sz w:val="24"/>
          <w:szCs w:val="24"/>
        </w:rPr>
        <w:t>或其附屬公司採購化工</w:t>
      </w:r>
      <w:r>
        <w:rPr>
          <w:rFonts w:hint="eastAsia" w:ascii="Times New Roman" w:hAnsi="Times New Roman" w:eastAsia="PMingLiU"/>
          <w:spacing w:val="4"/>
          <w:sz w:val="24"/>
          <w:szCs w:val="24"/>
        </w:rPr>
        <w:t>產品</w:t>
      </w:r>
      <w:r>
        <w:rPr>
          <w:rFonts w:ascii="Times New Roman" w:hAnsi="Times New Roman" w:eastAsia="PMingLiU"/>
          <w:spacing w:val="4"/>
          <w:sz w:val="24"/>
          <w:szCs w:val="24"/>
        </w:rPr>
        <w:t>，包括醋酸、醋酐</w:t>
      </w:r>
      <w:r>
        <w:rPr>
          <w:rFonts w:hint="eastAsia" w:ascii="Times New Roman" w:hAnsi="Times New Roman" w:eastAsia="PMingLiU"/>
          <w:spacing w:val="4"/>
          <w:sz w:val="24"/>
          <w:szCs w:val="24"/>
        </w:rPr>
        <w:t>及其它</w:t>
      </w:r>
      <w:r>
        <w:rPr>
          <w:rFonts w:ascii="Times New Roman" w:hAnsi="Times New Roman" w:eastAsia="PMingLiU"/>
          <w:spacing w:val="4"/>
          <w:sz w:val="24"/>
          <w:szCs w:val="24"/>
        </w:rPr>
        <w:t>化工</w:t>
      </w:r>
      <w:r>
        <w:rPr>
          <w:rFonts w:hint="eastAsia" w:ascii="Times New Roman" w:hAnsi="Times New Roman" w:eastAsia="PMingLiU"/>
          <w:spacing w:val="4"/>
          <w:sz w:val="24"/>
          <w:szCs w:val="24"/>
        </w:rPr>
        <w:t>原料</w:t>
      </w:r>
      <w:r>
        <w:rPr>
          <w:rFonts w:ascii="Times New Roman" w:hAnsi="Times New Roman" w:eastAsia="PMingLiU"/>
          <w:spacing w:val="4"/>
          <w:sz w:val="24"/>
          <w:szCs w:val="24"/>
        </w:rPr>
        <w:t>（</w:t>
      </w:r>
      <w:r>
        <w:rPr>
          <w:rFonts w:ascii="Times New Roman" w:hAnsi="Times New Roman" w:eastAsia="PMingLiU"/>
          <w:b/>
          <w:spacing w:val="4"/>
          <w:sz w:val="24"/>
          <w:szCs w:val="24"/>
        </w:rPr>
        <w:t>「化工產品」</w:t>
      </w:r>
      <w:r>
        <w:rPr>
          <w:rFonts w:ascii="Times New Roman" w:hAnsi="Times New Roman" w:eastAsia="PMingLiU"/>
          <w:spacing w:val="4"/>
          <w:sz w:val="24"/>
          <w:szCs w:val="24"/>
        </w:rPr>
        <w:t>）；</w:t>
      </w:r>
    </w:p>
    <w:p>
      <w:pPr>
        <w:widowControl w:val="0"/>
        <w:numPr>
          <w:ilvl w:val="0"/>
          <w:numId w:val="1"/>
        </w:numPr>
        <w:autoSpaceDE w:val="0"/>
        <w:autoSpaceDN w:val="0"/>
        <w:adjustRightInd w:val="0"/>
        <w:spacing w:after="120" w:line="240" w:lineRule="auto"/>
        <w:ind w:right="49"/>
        <w:jc w:val="both"/>
        <w:rPr>
          <w:rFonts w:ascii="Times New Roman" w:hAnsi="Times New Roman" w:eastAsia="PMingLiU"/>
          <w:spacing w:val="4"/>
          <w:sz w:val="24"/>
          <w:szCs w:val="24"/>
        </w:rPr>
      </w:pPr>
      <w:r>
        <w:rPr>
          <w:rFonts w:ascii="Times New Roman" w:hAnsi="Times New Roman" w:eastAsia="PMingLiU"/>
          <w:spacing w:val="4"/>
          <w:sz w:val="24"/>
          <w:szCs w:val="24"/>
        </w:rPr>
        <w:t>上述化工產品價格將根據市場價格釐定；</w:t>
      </w:r>
    </w:p>
    <w:p>
      <w:pPr>
        <w:widowControl w:val="0"/>
        <w:numPr>
          <w:ilvl w:val="0"/>
          <w:numId w:val="1"/>
        </w:numPr>
        <w:autoSpaceDE w:val="0"/>
        <w:autoSpaceDN w:val="0"/>
        <w:adjustRightInd w:val="0"/>
        <w:spacing w:after="120" w:line="240" w:lineRule="auto"/>
        <w:ind w:right="49"/>
        <w:jc w:val="both"/>
        <w:rPr>
          <w:rFonts w:ascii="Times New Roman" w:hAnsi="Times New Roman" w:eastAsia="PMingLiU"/>
          <w:spacing w:val="4"/>
          <w:sz w:val="24"/>
          <w:szCs w:val="24"/>
        </w:rPr>
      </w:pPr>
      <w:r>
        <w:rPr>
          <w:rFonts w:ascii="Times New Roman" w:hAnsi="Times New Roman" w:eastAsia="PMingLiU"/>
          <w:spacing w:val="4"/>
          <w:sz w:val="24"/>
          <w:szCs w:val="24"/>
        </w:rPr>
        <w:t>所有相關價格不得高於由華魯恒升及</w:t>
      </w:r>
      <w:r>
        <w:rPr>
          <w:rFonts w:hint="eastAsia" w:ascii="PMingLiU" w:hAnsi="PMingLiU" w:eastAsia="PMingLiU" w:cs="PMingLiU"/>
          <w:spacing w:val="4"/>
          <w:sz w:val="24"/>
          <w:szCs w:val="24"/>
        </w:rPr>
        <w:t>╱</w:t>
      </w:r>
      <w:r>
        <w:rPr>
          <w:rFonts w:ascii="Times New Roman" w:hAnsi="Times New Roman" w:eastAsia="PMingLiU"/>
          <w:spacing w:val="4"/>
          <w:sz w:val="24"/>
          <w:szCs w:val="24"/>
        </w:rPr>
        <w:t>或其附屬公司向任何獨立第三方銷售相關產品的價格；</w:t>
      </w:r>
    </w:p>
    <w:p>
      <w:pPr>
        <w:widowControl w:val="0"/>
        <w:numPr>
          <w:ilvl w:val="0"/>
          <w:numId w:val="1"/>
        </w:numPr>
        <w:autoSpaceDE w:val="0"/>
        <w:autoSpaceDN w:val="0"/>
        <w:adjustRightInd w:val="0"/>
        <w:spacing w:after="120" w:line="240" w:lineRule="auto"/>
        <w:ind w:right="49"/>
        <w:jc w:val="both"/>
        <w:rPr>
          <w:rFonts w:ascii="Times New Roman" w:hAnsi="Times New Roman" w:eastAsia="PMingLiU"/>
          <w:spacing w:val="4"/>
          <w:sz w:val="24"/>
          <w:szCs w:val="24"/>
        </w:rPr>
      </w:pPr>
      <w:r>
        <w:rPr>
          <w:rFonts w:ascii="Times New Roman" w:hAnsi="Times New Roman" w:eastAsia="PMingLiU"/>
          <w:spacing w:val="4"/>
          <w:sz w:val="24"/>
          <w:szCs w:val="24"/>
        </w:rPr>
        <w:t>本公司</w:t>
      </w:r>
      <w:r>
        <w:rPr>
          <w:rFonts w:hint="eastAsia" w:ascii="Times New Roman" w:hAnsi="Times New Roman" w:eastAsia="PMingLiU"/>
          <w:spacing w:val="4"/>
          <w:sz w:val="24"/>
          <w:szCs w:val="24"/>
        </w:rPr>
        <w:t>將</w:t>
      </w:r>
      <w:r>
        <w:rPr>
          <w:rFonts w:ascii="Times New Roman" w:hAnsi="Times New Roman" w:eastAsia="PMingLiU"/>
          <w:spacing w:val="4"/>
          <w:sz w:val="24"/>
          <w:szCs w:val="24"/>
        </w:rPr>
        <w:t>依據本公司及</w:t>
      </w:r>
      <w:r>
        <w:rPr>
          <w:rFonts w:hint="eastAsia" w:ascii="PMingLiU" w:hAnsi="PMingLiU" w:eastAsia="PMingLiU" w:cs="PMingLiU"/>
          <w:spacing w:val="4"/>
          <w:sz w:val="24"/>
          <w:szCs w:val="24"/>
        </w:rPr>
        <w:t>╱</w:t>
      </w:r>
      <w:r>
        <w:rPr>
          <w:rFonts w:ascii="Times New Roman" w:hAnsi="Times New Roman" w:eastAsia="PMingLiU"/>
          <w:spacing w:val="4"/>
          <w:sz w:val="24"/>
          <w:szCs w:val="24"/>
        </w:rPr>
        <w:t>或其附屬公司訂單所指定的時間，適時向</w:t>
      </w:r>
      <w:r>
        <w:rPr>
          <w:rFonts w:hint="eastAsia" w:ascii="Times New Roman" w:hAnsi="Times New Roman" w:eastAsia="PMingLiU"/>
          <w:spacing w:val="4"/>
          <w:sz w:val="24"/>
          <w:szCs w:val="24"/>
        </w:rPr>
        <w:t>交易對</w:t>
      </w:r>
      <w:r>
        <w:rPr>
          <w:rFonts w:ascii="Times New Roman" w:hAnsi="Times New Roman" w:eastAsia="PMingLiU"/>
          <w:spacing w:val="4"/>
          <w:sz w:val="24"/>
          <w:szCs w:val="24"/>
        </w:rPr>
        <w:t>方支付</w:t>
      </w:r>
      <w:r>
        <w:rPr>
          <w:rFonts w:hint="eastAsia" w:ascii="Times New Roman" w:hAnsi="Times New Roman" w:eastAsia="PMingLiU"/>
          <w:spacing w:val="4"/>
          <w:sz w:val="24"/>
          <w:szCs w:val="24"/>
        </w:rPr>
        <w:t>其所提供產品</w:t>
      </w:r>
      <w:r>
        <w:rPr>
          <w:rFonts w:ascii="Times New Roman" w:hAnsi="Times New Roman" w:eastAsia="PMingLiU"/>
          <w:spacing w:val="4"/>
          <w:sz w:val="24"/>
          <w:szCs w:val="24"/>
        </w:rPr>
        <w:t>的費用</w:t>
      </w:r>
      <w:r>
        <w:rPr>
          <w:rFonts w:hint="eastAsia" w:ascii="Times New Roman" w:hAnsi="Times New Roman" w:eastAsia="PMingLiU"/>
          <w:spacing w:val="4"/>
          <w:sz w:val="24"/>
          <w:szCs w:val="24"/>
        </w:rPr>
        <w:t>；有關支付將</w:t>
      </w:r>
      <w:r>
        <w:rPr>
          <w:rFonts w:ascii="Times New Roman" w:hAnsi="Times New Roman" w:eastAsia="PMingLiU"/>
          <w:spacing w:val="4"/>
          <w:sz w:val="24"/>
          <w:szCs w:val="24"/>
        </w:rPr>
        <w:t>於開票後60天內</w:t>
      </w:r>
      <w:r>
        <w:rPr>
          <w:rFonts w:hint="eastAsia" w:ascii="Times New Roman" w:hAnsi="Times New Roman" w:eastAsia="PMingLiU"/>
          <w:spacing w:val="4"/>
          <w:sz w:val="24"/>
          <w:szCs w:val="24"/>
        </w:rPr>
        <w:t>作出</w:t>
      </w:r>
      <w:r>
        <w:rPr>
          <w:rFonts w:ascii="Times New Roman" w:hAnsi="Times New Roman" w:eastAsia="PMingLiU"/>
          <w:spacing w:val="4"/>
          <w:sz w:val="24"/>
          <w:szCs w:val="24"/>
        </w:rPr>
        <w:t>；及</w:t>
      </w:r>
    </w:p>
    <w:p>
      <w:pPr>
        <w:widowControl w:val="0"/>
        <w:numPr>
          <w:ilvl w:val="0"/>
          <w:numId w:val="1"/>
        </w:numPr>
        <w:autoSpaceDE w:val="0"/>
        <w:autoSpaceDN w:val="0"/>
        <w:adjustRightInd w:val="0"/>
        <w:spacing w:after="120" w:line="240" w:lineRule="auto"/>
        <w:ind w:right="49"/>
        <w:jc w:val="both"/>
        <w:rPr>
          <w:rFonts w:ascii="Times New Roman" w:hAnsi="Times New Roman" w:eastAsia="PMingLiU"/>
          <w:spacing w:val="4"/>
          <w:sz w:val="24"/>
          <w:szCs w:val="24"/>
        </w:rPr>
      </w:pPr>
      <w:r>
        <w:rPr>
          <w:rFonts w:ascii="Times New Roman" w:hAnsi="Times New Roman" w:eastAsia="PMingLiU"/>
          <w:spacing w:val="4"/>
          <w:sz w:val="24"/>
          <w:szCs w:val="24"/>
        </w:rPr>
        <w:t>本公司及</w:t>
      </w:r>
      <w:r>
        <w:rPr>
          <w:rFonts w:hint="eastAsia" w:ascii="PMingLiU" w:hAnsi="PMingLiU" w:eastAsia="PMingLiU" w:cs="PMingLiU"/>
          <w:spacing w:val="4"/>
          <w:sz w:val="24"/>
          <w:szCs w:val="24"/>
        </w:rPr>
        <w:t>╱</w:t>
      </w:r>
      <w:r>
        <w:rPr>
          <w:rFonts w:ascii="Times New Roman" w:hAnsi="Times New Roman" w:eastAsia="PMingLiU"/>
          <w:spacing w:val="4"/>
          <w:sz w:val="24"/>
          <w:szCs w:val="24"/>
        </w:rPr>
        <w:t>或其附屬公司可不受限制地向任何第三方就銷售或採購有關產品進行交易。</w:t>
      </w:r>
    </w:p>
    <w:p>
      <w:pPr>
        <w:widowControl w:val="0"/>
        <w:autoSpaceDE w:val="0"/>
        <w:autoSpaceDN w:val="0"/>
        <w:adjustRightInd w:val="0"/>
        <w:spacing w:after="120" w:line="240" w:lineRule="auto"/>
        <w:ind w:left="110"/>
        <w:rPr>
          <w:rFonts w:ascii="Times New Roman" w:hAnsi="Times New Roman" w:eastAsia="PMingLiU"/>
          <w:sz w:val="24"/>
          <w:szCs w:val="24"/>
        </w:rPr>
      </w:pPr>
    </w:p>
    <w:p>
      <w:pPr>
        <w:widowControl w:val="0"/>
        <w:autoSpaceDE w:val="0"/>
        <w:autoSpaceDN w:val="0"/>
        <w:adjustRightInd w:val="0"/>
        <w:spacing w:after="120" w:line="240" w:lineRule="auto"/>
        <w:ind w:left="110" w:right="-20"/>
        <w:rPr>
          <w:rFonts w:ascii="Times New Roman" w:hAnsi="Times New Roman" w:eastAsia="PMingLiU"/>
          <w:sz w:val="24"/>
          <w:szCs w:val="24"/>
        </w:rPr>
      </w:pPr>
      <w:r>
        <w:rPr>
          <w:rFonts w:ascii="Times New Roman" w:hAnsi="Times New Roman" w:eastAsia="PMingLiU"/>
          <w:b/>
          <w:bCs/>
          <w:sz w:val="24"/>
          <w:szCs w:val="24"/>
        </w:rPr>
        <w:t>年期</w:t>
      </w:r>
    </w:p>
    <w:p>
      <w:pPr>
        <w:widowControl w:val="0"/>
        <w:autoSpaceDE w:val="0"/>
        <w:autoSpaceDN w:val="0"/>
        <w:adjustRightInd w:val="0"/>
        <w:spacing w:after="120" w:line="240" w:lineRule="auto"/>
        <w:ind w:left="110" w:right="-20"/>
        <w:rPr>
          <w:rFonts w:ascii="Times New Roman" w:hAnsi="Times New Roman" w:eastAsia="PMingLiU"/>
          <w:sz w:val="24"/>
          <w:szCs w:val="24"/>
        </w:rPr>
      </w:pPr>
      <w:r>
        <w:rPr>
          <w:rFonts w:ascii="Times New Roman" w:hAnsi="Times New Roman" w:eastAsia="PMingLiU"/>
          <w:sz w:val="24"/>
          <w:szCs w:val="24"/>
        </w:rPr>
        <w:t>華魯恒升協議</w:t>
      </w:r>
      <w:r>
        <w:rPr>
          <w:rFonts w:hint="eastAsia" w:ascii="Times New Roman" w:hAnsi="Times New Roman" w:eastAsia="PMingLiU"/>
          <w:sz w:val="24"/>
          <w:szCs w:val="24"/>
        </w:rPr>
        <w:t>的期限</w:t>
      </w:r>
      <w:r>
        <w:rPr>
          <w:rFonts w:ascii="Times New Roman" w:hAnsi="Times New Roman" w:eastAsia="PMingLiU"/>
          <w:sz w:val="24"/>
          <w:szCs w:val="24"/>
        </w:rPr>
        <w:t>自二零一六年一月一日起，並將於二零一八年十二月三十一日屆滿。</w:t>
      </w:r>
    </w:p>
    <w:p>
      <w:pPr>
        <w:widowControl w:val="0"/>
        <w:autoSpaceDE w:val="0"/>
        <w:autoSpaceDN w:val="0"/>
        <w:adjustRightInd w:val="0"/>
        <w:spacing w:after="120" w:line="240" w:lineRule="auto"/>
        <w:ind w:left="110" w:right="-20"/>
        <w:rPr>
          <w:rFonts w:ascii="Times New Roman" w:hAnsi="Times New Roman" w:eastAsia="PMingLiU"/>
          <w:b/>
          <w:bCs/>
          <w:spacing w:val="4"/>
          <w:sz w:val="24"/>
          <w:szCs w:val="24"/>
        </w:rPr>
      </w:pPr>
    </w:p>
    <w:p>
      <w:pPr>
        <w:widowControl w:val="0"/>
        <w:autoSpaceDE w:val="0"/>
        <w:autoSpaceDN w:val="0"/>
        <w:adjustRightInd w:val="0"/>
        <w:spacing w:after="120" w:line="240" w:lineRule="auto"/>
        <w:ind w:left="110" w:right="-20"/>
        <w:rPr>
          <w:rFonts w:ascii="Times New Roman" w:hAnsi="Times New Roman" w:eastAsia="PMingLiU"/>
          <w:sz w:val="24"/>
          <w:szCs w:val="24"/>
        </w:rPr>
      </w:pPr>
      <w:r>
        <w:rPr>
          <w:rFonts w:ascii="Times New Roman" w:hAnsi="Times New Roman" w:eastAsia="PMingLiU"/>
          <w:b/>
          <w:bCs/>
          <w:sz w:val="24"/>
          <w:szCs w:val="24"/>
        </w:rPr>
        <w:t>定價</w:t>
      </w:r>
    </w:p>
    <w:p>
      <w:pPr>
        <w:widowControl w:val="0"/>
        <w:autoSpaceDE w:val="0"/>
        <w:autoSpaceDN w:val="0"/>
        <w:adjustRightInd w:val="0"/>
        <w:spacing w:after="120" w:line="240" w:lineRule="auto"/>
        <w:ind w:left="110" w:right="48"/>
        <w:jc w:val="both"/>
        <w:rPr>
          <w:rFonts w:ascii="Times New Roman" w:hAnsi="Times New Roman" w:eastAsia="PMingLiU"/>
          <w:sz w:val="24"/>
          <w:szCs w:val="24"/>
        </w:rPr>
      </w:pPr>
      <w:r>
        <w:rPr>
          <w:rFonts w:ascii="Times New Roman" w:hAnsi="Times New Roman" w:eastAsia="PMingLiU"/>
          <w:sz w:val="24"/>
          <w:szCs w:val="24"/>
        </w:rPr>
        <w:t>根據華魯恒升協議，其項下擬進行的交易根據以下定價政策進行：</w:t>
      </w:r>
    </w:p>
    <w:p>
      <w:pPr>
        <w:widowControl w:val="0"/>
        <w:autoSpaceDE w:val="0"/>
        <w:autoSpaceDN w:val="0"/>
        <w:adjustRightInd w:val="0"/>
        <w:spacing w:after="120" w:line="240" w:lineRule="auto"/>
        <w:ind w:left="720" w:right="49"/>
        <w:jc w:val="both"/>
        <w:rPr>
          <w:rFonts w:ascii="Times New Roman" w:hAnsi="Times New Roman" w:eastAsia="PMingLiU"/>
          <w:spacing w:val="4"/>
          <w:sz w:val="24"/>
          <w:szCs w:val="24"/>
        </w:rPr>
      </w:pPr>
    </w:p>
    <w:p>
      <w:pPr>
        <w:widowControl w:val="0"/>
        <w:numPr>
          <w:ilvl w:val="0"/>
          <w:numId w:val="2"/>
        </w:numPr>
        <w:autoSpaceDE w:val="0"/>
        <w:autoSpaceDN w:val="0"/>
        <w:adjustRightInd w:val="0"/>
        <w:spacing w:after="120" w:line="240" w:lineRule="auto"/>
        <w:ind w:right="49"/>
        <w:jc w:val="both"/>
        <w:rPr>
          <w:rFonts w:ascii="Times New Roman" w:hAnsi="Times New Roman" w:eastAsia="PMingLiU"/>
          <w:spacing w:val="4"/>
          <w:sz w:val="24"/>
          <w:szCs w:val="24"/>
        </w:rPr>
      </w:pPr>
      <w:r>
        <w:rPr>
          <w:rFonts w:ascii="Times New Roman" w:hAnsi="Times New Roman" w:eastAsia="PMingLiU"/>
          <w:spacing w:val="4"/>
          <w:sz w:val="24"/>
          <w:szCs w:val="24"/>
        </w:rPr>
        <w:t>本公司及</w:t>
      </w:r>
      <w:r>
        <w:rPr>
          <w:rFonts w:hint="eastAsia" w:ascii="PMingLiU" w:hAnsi="PMingLiU" w:eastAsia="PMingLiU" w:cs="PMingLiU"/>
          <w:spacing w:val="4"/>
          <w:sz w:val="24"/>
          <w:szCs w:val="24"/>
        </w:rPr>
        <w:t>╱</w:t>
      </w:r>
      <w:r>
        <w:rPr>
          <w:rFonts w:ascii="Times New Roman" w:hAnsi="Times New Roman" w:eastAsia="PMingLiU"/>
          <w:spacing w:val="4"/>
          <w:sz w:val="24"/>
          <w:szCs w:val="24"/>
        </w:rPr>
        <w:t>或其附屬公司透過參與招標網站的供應商取得所有化工產品。本公司會透過招標網站發出化工產品要求，然後觀察及評估不同供應商（當中可包括華魯恒升及有意投標的獨立第三方）提供的招標價格。報價的確實數目基於所需的相關化工產品的種類而定。招標過程一般會讓本公司採購團隊物色供應商，以了解化工產品於任何特定時間的現行市場價格；</w:t>
      </w:r>
    </w:p>
    <w:p>
      <w:pPr>
        <w:widowControl w:val="0"/>
        <w:autoSpaceDE w:val="0"/>
        <w:autoSpaceDN w:val="0"/>
        <w:adjustRightInd w:val="0"/>
        <w:spacing w:after="120" w:line="240" w:lineRule="auto"/>
        <w:ind w:left="720" w:right="49"/>
        <w:jc w:val="both"/>
        <w:rPr>
          <w:rFonts w:ascii="Times New Roman" w:hAnsi="Times New Roman" w:eastAsia="PMingLiU"/>
          <w:spacing w:val="4"/>
          <w:sz w:val="24"/>
          <w:szCs w:val="24"/>
        </w:rPr>
      </w:pPr>
    </w:p>
    <w:p>
      <w:pPr>
        <w:widowControl w:val="0"/>
        <w:numPr>
          <w:ilvl w:val="0"/>
          <w:numId w:val="2"/>
        </w:numPr>
        <w:autoSpaceDE w:val="0"/>
        <w:autoSpaceDN w:val="0"/>
        <w:adjustRightInd w:val="0"/>
        <w:spacing w:after="120" w:line="240" w:lineRule="auto"/>
        <w:ind w:right="49"/>
        <w:jc w:val="both"/>
        <w:rPr>
          <w:rFonts w:ascii="Times New Roman" w:hAnsi="Times New Roman" w:eastAsia="PMingLiU"/>
          <w:spacing w:val="4"/>
          <w:sz w:val="24"/>
          <w:szCs w:val="24"/>
        </w:rPr>
      </w:pPr>
      <w:r>
        <w:rPr>
          <w:rFonts w:ascii="Times New Roman" w:hAnsi="Times New Roman" w:eastAsia="PMingLiU"/>
          <w:spacing w:val="4"/>
          <w:sz w:val="24"/>
          <w:szCs w:val="24"/>
        </w:rPr>
        <w:t>於考慮該等投標時，本公司一般採用最優惠價格法，但亦會考慮其他因素，包括供應商提供有關化工產品的聲譽及往績記錄，其產品的質素以及建議交付及付款條款。於招標網站物色提供最優惠價格的潛在供應商後，本公司採購團隊將參照每日更新價格資料的行業日報《中國化工報》及業內網站中宇資訊(www.chem365.net)刊發的市場信息（包括有關化工產品的價格趨勢）評估投標價格，以考慮所提供的價格是否與現行市場費率可資比較；</w:t>
      </w:r>
    </w:p>
    <w:p>
      <w:pPr>
        <w:widowControl w:val="0"/>
        <w:autoSpaceDE w:val="0"/>
        <w:autoSpaceDN w:val="0"/>
        <w:adjustRightInd w:val="0"/>
        <w:spacing w:after="120" w:line="240" w:lineRule="auto"/>
        <w:ind w:left="720" w:right="49"/>
        <w:jc w:val="both"/>
        <w:rPr>
          <w:rFonts w:ascii="Times New Roman" w:hAnsi="Times New Roman" w:eastAsia="PMingLiU"/>
          <w:spacing w:val="4"/>
          <w:sz w:val="24"/>
          <w:szCs w:val="24"/>
        </w:rPr>
      </w:pPr>
    </w:p>
    <w:p>
      <w:pPr>
        <w:widowControl w:val="0"/>
        <w:numPr>
          <w:ilvl w:val="0"/>
          <w:numId w:val="2"/>
        </w:numPr>
        <w:autoSpaceDE w:val="0"/>
        <w:autoSpaceDN w:val="0"/>
        <w:adjustRightInd w:val="0"/>
        <w:spacing w:after="120" w:line="240" w:lineRule="auto"/>
        <w:ind w:right="49"/>
        <w:jc w:val="both"/>
        <w:rPr>
          <w:rFonts w:ascii="Times New Roman" w:hAnsi="Times New Roman" w:eastAsia="PMingLiU"/>
          <w:spacing w:val="4"/>
          <w:sz w:val="24"/>
          <w:szCs w:val="24"/>
        </w:rPr>
      </w:pPr>
      <w:r>
        <w:rPr>
          <w:rFonts w:ascii="Times New Roman" w:hAnsi="Times New Roman" w:eastAsia="PMingLiU"/>
          <w:spacing w:val="4"/>
          <w:sz w:val="24"/>
          <w:szCs w:val="24"/>
        </w:rPr>
        <w:t>本公司採購團隊評估由</w:t>
      </w:r>
      <w:r>
        <w:rPr>
          <w:rFonts w:hint="eastAsia" w:ascii="Times New Roman" w:hAnsi="Times New Roman" w:eastAsia="PMingLiU"/>
          <w:spacing w:val="4"/>
          <w:sz w:val="24"/>
          <w:szCs w:val="24"/>
        </w:rPr>
        <w:t>潛在</w:t>
      </w:r>
      <w:r>
        <w:rPr>
          <w:rFonts w:ascii="Times New Roman" w:hAnsi="Times New Roman" w:eastAsia="PMingLiU"/>
          <w:spacing w:val="4"/>
          <w:sz w:val="24"/>
          <w:szCs w:val="24"/>
        </w:rPr>
        <w:t>供應商提供的投標單後，本公司可透過投標網站直接接納投標單。就買賣相關化工產品而言，在接納投標前，本公司並無任何約束性的義務與任何供應商完成採購；及</w:t>
      </w:r>
    </w:p>
    <w:p>
      <w:pPr>
        <w:widowControl w:val="0"/>
        <w:autoSpaceDE w:val="0"/>
        <w:autoSpaceDN w:val="0"/>
        <w:adjustRightInd w:val="0"/>
        <w:spacing w:after="120" w:line="240" w:lineRule="auto"/>
        <w:ind w:left="720" w:right="49"/>
        <w:jc w:val="both"/>
        <w:rPr>
          <w:rFonts w:ascii="Times New Roman" w:hAnsi="Times New Roman" w:eastAsia="PMingLiU"/>
          <w:spacing w:val="4"/>
          <w:sz w:val="24"/>
          <w:szCs w:val="24"/>
        </w:rPr>
      </w:pPr>
    </w:p>
    <w:p>
      <w:pPr>
        <w:widowControl w:val="0"/>
        <w:numPr>
          <w:ilvl w:val="0"/>
          <w:numId w:val="2"/>
        </w:numPr>
        <w:autoSpaceDE w:val="0"/>
        <w:autoSpaceDN w:val="0"/>
        <w:adjustRightInd w:val="0"/>
        <w:spacing w:after="120" w:line="240" w:lineRule="auto"/>
        <w:ind w:right="49"/>
        <w:jc w:val="both"/>
        <w:rPr>
          <w:rFonts w:ascii="Times New Roman" w:hAnsi="Times New Roman" w:eastAsia="PMingLiU"/>
          <w:spacing w:val="4"/>
          <w:sz w:val="24"/>
          <w:szCs w:val="24"/>
        </w:rPr>
      </w:pPr>
      <w:r>
        <w:rPr>
          <w:rFonts w:ascii="Times New Roman" w:hAnsi="Times New Roman" w:eastAsia="PMingLiU"/>
          <w:spacing w:val="4"/>
          <w:sz w:val="24"/>
          <w:szCs w:val="24"/>
        </w:rPr>
        <w:t>在任何情況下，華魯恒升協議均無限制本公司向其他第三方取得化工產品。</w:t>
      </w:r>
    </w:p>
    <w:p>
      <w:pPr>
        <w:widowControl w:val="0"/>
        <w:autoSpaceDE w:val="0"/>
        <w:autoSpaceDN w:val="0"/>
        <w:adjustRightInd w:val="0"/>
        <w:spacing w:after="120" w:line="240" w:lineRule="auto"/>
        <w:ind w:left="110" w:right="-20"/>
        <w:rPr>
          <w:rFonts w:ascii="Times New Roman" w:hAnsi="Times New Roman" w:eastAsia="PMingLiU"/>
          <w:b/>
          <w:spacing w:val="4"/>
          <w:sz w:val="24"/>
          <w:szCs w:val="24"/>
        </w:rPr>
      </w:pPr>
    </w:p>
    <w:p>
      <w:pPr>
        <w:widowControl w:val="0"/>
        <w:autoSpaceDE w:val="0"/>
        <w:autoSpaceDN w:val="0"/>
        <w:adjustRightInd w:val="0"/>
        <w:spacing w:after="120" w:line="240" w:lineRule="auto"/>
        <w:ind w:left="110" w:right="-20"/>
        <w:rPr>
          <w:rFonts w:ascii="Times New Roman" w:hAnsi="Times New Roman" w:eastAsia="PMingLiU"/>
          <w:sz w:val="24"/>
          <w:szCs w:val="24"/>
        </w:rPr>
      </w:pPr>
      <w:r>
        <w:rPr>
          <w:rFonts w:ascii="Times New Roman" w:hAnsi="Times New Roman" w:eastAsia="PMingLiU"/>
          <w:b/>
          <w:sz w:val="24"/>
          <w:szCs w:val="24"/>
        </w:rPr>
        <w:t>華魯恒升協議項下</w:t>
      </w:r>
      <w:r>
        <w:rPr>
          <w:rFonts w:ascii="Times New Roman" w:hAnsi="Times New Roman" w:eastAsia="PMingLiU"/>
          <w:b/>
          <w:bCs/>
          <w:spacing w:val="4"/>
          <w:sz w:val="24"/>
          <w:szCs w:val="24"/>
        </w:rPr>
        <w:t>交易的歷史數據</w:t>
      </w:r>
    </w:p>
    <w:p>
      <w:pPr>
        <w:widowControl w:val="0"/>
        <w:autoSpaceDE w:val="0"/>
        <w:autoSpaceDN w:val="0"/>
        <w:adjustRightInd w:val="0"/>
        <w:spacing w:after="120" w:line="240" w:lineRule="auto"/>
        <w:ind w:left="110" w:right="48"/>
        <w:jc w:val="both"/>
        <w:rPr>
          <w:rFonts w:ascii="Times New Roman" w:hAnsi="Times New Roman" w:eastAsia="PMingLiU"/>
          <w:sz w:val="24"/>
          <w:szCs w:val="24"/>
        </w:rPr>
      </w:pPr>
      <w:r>
        <w:rPr>
          <w:rFonts w:ascii="Times New Roman" w:hAnsi="Times New Roman" w:eastAsia="PMingLiU"/>
          <w:sz w:val="24"/>
          <w:szCs w:val="24"/>
        </w:rPr>
        <w:t>下表概述截至二零一六年及二零一七年十二月三十一日止年度及截至二零一八年三月三十一日止三個月本集團與華魯恒升之間交易的歷史交易數據及原有年度上限：</w:t>
      </w:r>
    </w:p>
    <w:p>
      <w:pPr>
        <w:widowControl w:val="0"/>
        <w:autoSpaceDE w:val="0"/>
        <w:autoSpaceDN w:val="0"/>
        <w:adjustRightInd w:val="0"/>
        <w:spacing w:after="120" w:line="240" w:lineRule="auto"/>
        <w:ind w:left="110"/>
        <w:rPr>
          <w:rFonts w:ascii="Times New Roman" w:hAnsi="Times New Roman" w:eastAsia="PMingLiU"/>
          <w:sz w:val="24"/>
          <w:szCs w:val="24"/>
        </w:rPr>
      </w:pPr>
    </w:p>
    <w:tbl>
      <w:tblPr>
        <w:tblW w:w="8967" w:type="dxa"/>
        <w:tblInd w:w="2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969"/>
        <w:gridCol w:w="1420"/>
        <w:gridCol w:w="880"/>
        <w:gridCol w:w="1554"/>
        <w:gridCol w:w="1570"/>
        <w:gridCol w:w="1570"/>
        <w:gridCol w:w="10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969" w:type="dxa"/>
            <w:vAlign w:val="top"/>
          </w:tcPr>
          <w:p>
            <w:pPr>
              <w:widowControl w:val="0"/>
              <w:autoSpaceDE w:val="0"/>
              <w:autoSpaceDN w:val="0"/>
              <w:adjustRightInd w:val="0"/>
              <w:spacing w:after="120" w:line="240" w:lineRule="auto"/>
              <w:rPr>
                <w:rFonts w:ascii="Times New Roman" w:hAnsi="Times New Roman" w:eastAsia="PMingLiU"/>
                <w:spacing w:val="4"/>
                <w:sz w:val="24"/>
                <w:szCs w:val="24"/>
              </w:rPr>
            </w:pPr>
          </w:p>
        </w:tc>
        <w:tc>
          <w:tcPr>
            <w:tcW w:w="1420" w:type="dxa"/>
            <w:vAlign w:val="top"/>
          </w:tcPr>
          <w:p>
            <w:pPr>
              <w:widowControl w:val="0"/>
              <w:autoSpaceDE w:val="0"/>
              <w:autoSpaceDN w:val="0"/>
              <w:adjustRightInd w:val="0"/>
              <w:spacing w:after="120" w:line="240" w:lineRule="auto"/>
              <w:rPr>
                <w:rFonts w:ascii="Times New Roman" w:hAnsi="Times New Roman" w:eastAsia="PMingLiU"/>
                <w:spacing w:val="4"/>
                <w:sz w:val="24"/>
                <w:szCs w:val="24"/>
              </w:rPr>
            </w:pPr>
            <w:r>
              <w:rPr>
                <w:rFonts w:ascii="Times New Roman" w:hAnsi="Times New Roman" w:eastAsia="PMingLiU"/>
                <w:spacing w:val="4"/>
                <w:sz w:val="24"/>
                <w:szCs w:val="24"/>
              </w:rPr>
              <w:t>截至二零一六年十二月三十一日止年度（經審計）</w:t>
            </w:r>
          </w:p>
        </w:tc>
        <w:tc>
          <w:tcPr>
            <w:tcW w:w="880" w:type="dxa"/>
            <w:vAlign w:val="top"/>
          </w:tcPr>
          <w:p>
            <w:pPr>
              <w:widowControl w:val="0"/>
              <w:autoSpaceDE w:val="0"/>
              <w:autoSpaceDN w:val="0"/>
              <w:adjustRightInd w:val="0"/>
              <w:spacing w:after="120" w:line="240" w:lineRule="auto"/>
              <w:rPr>
                <w:rFonts w:ascii="Times New Roman" w:hAnsi="Times New Roman" w:eastAsia="PMingLiU"/>
                <w:spacing w:val="4"/>
                <w:sz w:val="24"/>
                <w:szCs w:val="24"/>
                <w:lang w:eastAsia="zh-CN"/>
              </w:rPr>
            </w:pPr>
            <w:r>
              <w:rPr>
                <w:rFonts w:ascii="Times New Roman" w:hAnsi="Times New Roman" w:eastAsia="PMingLiU"/>
                <w:spacing w:val="4"/>
                <w:sz w:val="24"/>
                <w:szCs w:val="24"/>
                <w:lang w:eastAsia="zh-CN"/>
              </w:rPr>
              <w:t>二零一六年年度上限</w:t>
            </w:r>
          </w:p>
        </w:tc>
        <w:tc>
          <w:tcPr>
            <w:tcW w:w="1554" w:type="dxa"/>
            <w:vAlign w:val="top"/>
          </w:tcPr>
          <w:p>
            <w:pPr>
              <w:widowControl w:val="0"/>
              <w:autoSpaceDE w:val="0"/>
              <w:autoSpaceDN w:val="0"/>
              <w:adjustRightInd w:val="0"/>
              <w:spacing w:after="120" w:line="240" w:lineRule="auto"/>
              <w:rPr>
                <w:rFonts w:ascii="Times New Roman" w:hAnsi="Times New Roman" w:eastAsia="PMingLiU"/>
                <w:spacing w:val="4"/>
                <w:sz w:val="24"/>
                <w:szCs w:val="24"/>
              </w:rPr>
            </w:pPr>
            <w:r>
              <w:rPr>
                <w:rFonts w:ascii="Times New Roman" w:hAnsi="Times New Roman" w:eastAsia="PMingLiU"/>
                <w:spacing w:val="4"/>
                <w:sz w:val="24"/>
                <w:szCs w:val="24"/>
              </w:rPr>
              <w:t>截至二零一七年十二月三十一日止年度（經審計）</w:t>
            </w:r>
          </w:p>
        </w:tc>
        <w:tc>
          <w:tcPr>
            <w:tcW w:w="1570" w:type="dxa"/>
            <w:vAlign w:val="top"/>
          </w:tcPr>
          <w:p>
            <w:pPr>
              <w:widowControl w:val="0"/>
              <w:autoSpaceDE w:val="0"/>
              <w:autoSpaceDN w:val="0"/>
              <w:adjustRightInd w:val="0"/>
              <w:spacing w:after="120" w:line="240" w:lineRule="auto"/>
              <w:rPr>
                <w:rFonts w:ascii="Times New Roman" w:hAnsi="Times New Roman" w:eastAsia="PMingLiU"/>
                <w:spacing w:val="4"/>
                <w:sz w:val="24"/>
                <w:szCs w:val="24"/>
              </w:rPr>
            </w:pPr>
            <w:r>
              <w:rPr>
                <w:rFonts w:ascii="Times New Roman" w:hAnsi="Times New Roman" w:eastAsia="PMingLiU"/>
                <w:spacing w:val="4"/>
                <w:sz w:val="24"/>
                <w:szCs w:val="24"/>
              </w:rPr>
              <w:t>二零一七年年度上限</w:t>
            </w:r>
          </w:p>
        </w:tc>
        <w:tc>
          <w:tcPr>
            <w:tcW w:w="1570" w:type="dxa"/>
            <w:vAlign w:val="top"/>
          </w:tcPr>
          <w:p>
            <w:pPr>
              <w:widowControl w:val="0"/>
              <w:autoSpaceDE w:val="0"/>
              <w:autoSpaceDN w:val="0"/>
              <w:adjustRightInd w:val="0"/>
              <w:spacing w:after="120" w:line="240" w:lineRule="auto"/>
              <w:rPr>
                <w:rFonts w:ascii="Times New Roman" w:hAnsi="Times New Roman" w:eastAsia="PMingLiU"/>
                <w:spacing w:val="4"/>
                <w:sz w:val="24"/>
                <w:szCs w:val="24"/>
              </w:rPr>
            </w:pPr>
            <w:r>
              <w:rPr>
                <w:rFonts w:ascii="Times New Roman" w:hAnsi="Times New Roman" w:eastAsia="PMingLiU"/>
                <w:spacing w:val="4"/>
                <w:sz w:val="24"/>
                <w:szCs w:val="24"/>
              </w:rPr>
              <w:t>截至二零一八年三月三十一日止三個月 （未經審計）</w:t>
            </w:r>
          </w:p>
        </w:tc>
        <w:tc>
          <w:tcPr>
            <w:tcW w:w="1004" w:type="dxa"/>
            <w:vAlign w:val="top"/>
          </w:tcPr>
          <w:p>
            <w:pPr>
              <w:widowControl w:val="0"/>
              <w:autoSpaceDE w:val="0"/>
              <w:autoSpaceDN w:val="0"/>
              <w:adjustRightInd w:val="0"/>
              <w:spacing w:after="120" w:line="240" w:lineRule="auto"/>
              <w:rPr>
                <w:rFonts w:ascii="Times New Roman" w:hAnsi="Times New Roman" w:eastAsia="PMingLiU"/>
                <w:spacing w:val="4"/>
                <w:sz w:val="24"/>
                <w:szCs w:val="24"/>
                <w:lang w:eastAsia="zh-CN"/>
              </w:rPr>
            </w:pPr>
            <w:r>
              <w:rPr>
                <w:rFonts w:ascii="Times New Roman" w:hAnsi="Times New Roman" w:eastAsia="PMingLiU"/>
                <w:spacing w:val="4"/>
                <w:sz w:val="24"/>
                <w:szCs w:val="24"/>
              </w:rPr>
              <w:t xml:space="preserve">  </w:t>
            </w:r>
            <w:r>
              <w:rPr>
                <w:rFonts w:ascii="Times New Roman" w:hAnsi="Times New Roman" w:eastAsia="PMingLiU"/>
                <w:spacing w:val="4"/>
                <w:sz w:val="24"/>
                <w:szCs w:val="24"/>
                <w:lang w:eastAsia="zh-CN"/>
              </w:rPr>
              <w:t>二零一</w:t>
            </w:r>
            <w:r>
              <w:rPr>
                <w:rFonts w:ascii="Times New Roman" w:hAnsi="Times New Roman" w:eastAsia="PMingLiU"/>
                <w:spacing w:val="4"/>
                <w:sz w:val="24"/>
                <w:szCs w:val="24"/>
              </w:rPr>
              <w:t>八</w:t>
            </w:r>
            <w:r>
              <w:rPr>
                <w:rFonts w:ascii="Times New Roman" w:hAnsi="Times New Roman" w:eastAsia="PMingLiU"/>
                <w:spacing w:val="4"/>
                <w:sz w:val="24"/>
                <w:szCs w:val="24"/>
                <w:lang w:eastAsia="zh-CN"/>
              </w:rPr>
              <w:t>年年度上限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969" w:type="dxa"/>
            <w:vAlign w:val="top"/>
          </w:tcPr>
          <w:p>
            <w:pPr>
              <w:widowControl w:val="0"/>
              <w:autoSpaceDE w:val="0"/>
              <w:autoSpaceDN w:val="0"/>
              <w:adjustRightInd w:val="0"/>
              <w:spacing w:after="120" w:line="240" w:lineRule="auto"/>
              <w:rPr>
                <w:rFonts w:ascii="Times New Roman" w:hAnsi="Times New Roman" w:eastAsia="PMingLiU"/>
                <w:spacing w:val="4"/>
                <w:sz w:val="24"/>
                <w:szCs w:val="24"/>
              </w:rPr>
            </w:pPr>
          </w:p>
        </w:tc>
        <w:tc>
          <w:tcPr>
            <w:tcW w:w="1420" w:type="dxa"/>
            <w:vAlign w:val="top"/>
          </w:tcPr>
          <w:p>
            <w:pPr>
              <w:widowControl w:val="0"/>
              <w:autoSpaceDE w:val="0"/>
              <w:autoSpaceDN w:val="0"/>
              <w:adjustRightInd w:val="0"/>
              <w:spacing w:after="120" w:line="240" w:lineRule="auto"/>
              <w:jc w:val="center"/>
              <w:rPr>
                <w:rFonts w:ascii="Times New Roman" w:hAnsi="Times New Roman" w:eastAsia="PMingLiU"/>
                <w:i/>
                <w:spacing w:val="4"/>
                <w:sz w:val="24"/>
                <w:szCs w:val="24"/>
              </w:rPr>
            </w:pPr>
            <w:r>
              <w:rPr>
                <w:rFonts w:ascii="Times New Roman" w:hAnsi="Times New Roman" w:eastAsia="PMingLiU"/>
                <w:i/>
                <w:spacing w:val="4"/>
                <w:sz w:val="24"/>
                <w:szCs w:val="24"/>
              </w:rPr>
              <w:t>（約整至最接近</w:t>
            </w:r>
            <w:r>
              <w:rPr>
                <w:rFonts w:hint="eastAsia" w:ascii="Times New Roman" w:hAnsi="Times New Roman" w:eastAsia="PMingLiU"/>
                <w:i/>
                <w:spacing w:val="4"/>
                <w:sz w:val="24"/>
                <w:szCs w:val="24"/>
              </w:rPr>
              <w:t>的</w:t>
            </w:r>
            <w:r>
              <w:rPr>
                <w:rFonts w:ascii="Times New Roman" w:hAnsi="Times New Roman" w:eastAsia="PMingLiU"/>
                <w:i/>
                <w:spacing w:val="4"/>
                <w:sz w:val="24"/>
                <w:szCs w:val="24"/>
              </w:rPr>
              <w:t>人民幣千元）</w:t>
            </w:r>
          </w:p>
        </w:tc>
        <w:tc>
          <w:tcPr>
            <w:tcW w:w="880" w:type="dxa"/>
            <w:vAlign w:val="top"/>
          </w:tcPr>
          <w:p>
            <w:pPr>
              <w:spacing w:after="0" w:line="240" w:lineRule="auto"/>
              <w:jc w:val="center"/>
              <w:rPr>
                <w:rFonts w:ascii="Times New Roman" w:hAnsi="Times New Roman" w:eastAsia="PMingLiU"/>
                <w:i/>
                <w:sz w:val="24"/>
                <w:szCs w:val="24"/>
                <w:lang w:eastAsia="zh-CN"/>
              </w:rPr>
            </w:pPr>
            <w:r>
              <w:rPr>
                <w:rFonts w:ascii="Times New Roman" w:hAnsi="Times New Roman" w:eastAsia="PMingLiU"/>
                <w:i/>
                <w:spacing w:val="4"/>
                <w:sz w:val="24"/>
                <w:szCs w:val="24"/>
                <w:lang w:eastAsia="zh-CN"/>
              </w:rPr>
              <w:t>（</w:t>
            </w:r>
            <w:r>
              <w:rPr>
                <w:rFonts w:ascii="Times New Roman" w:hAnsi="Times New Roman" w:eastAsia="PMingLiU"/>
                <w:i/>
                <w:spacing w:val="4"/>
                <w:sz w:val="24"/>
                <w:szCs w:val="24"/>
              </w:rPr>
              <w:t>人民幣</w:t>
            </w:r>
            <w:r>
              <w:rPr>
                <w:rFonts w:ascii="Times New Roman" w:hAnsi="Times New Roman" w:eastAsia="PMingLiU"/>
                <w:i/>
                <w:spacing w:val="4"/>
                <w:sz w:val="24"/>
                <w:szCs w:val="24"/>
                <w:lang w:eastAsia="zh-CN"/>
              </w:rPr>
              <w:t>千</w:t>
            </w:r>
            <w:r>
              <w:rPr>
                <w:rFonts w:ascii="Times New Roman" w:hAnsi="Times New Roman" w:eastAsia="PMingLiU"/>
                <w:i/>
                <w:spacing w:val="4"/>
                <w:sz w:val="24"/>
                <w:szCs w:val="24"/>
              </w:rPr>
              <w:t>元</w:t>
            </w:r>
            <w:r>
              <w:rPr>
                <w:rFonts w:ascii="Times New Roman" w:hAnsi="Times New Roman" w:eastAsia="PMingLiU"/>
                <w:i/>
                <w:spacing w:val="4"/>
                <w:sz w:val="24"/>
                <w:szCs w:val="24"/>
                <w:lang w:eastAsia="zh-CN"/>
              </w:rPr>
              <w:t>）</w:t>
            </w:r>
          </w:p>
        </w:tc>
        <w:tc>
          <w:tcPr>
            <w:tcW w:w="1554" w:type="dxa"/>
            <w:vAlign w:val="top"/>
          </w:tcPr>
          <w:p>
            <w:pPr>
              <w:spacing w:after="0" w:line="240" w:lineRule="auto"/>
              <w:jc w:val="center"/>
              <w:rPr>
                <w:rFonts w:ascii="Times New Roman" w:hAnsi="Times New Roman" w:eastAsia="PMingLiU"/>
                <w:i/>
                <w:spacing w:val="4"/>
                <w:sz w:val="24"/>
                <w:szCs w:val="24"/>
              </w:rPr>
            </w:pPr>
            <w:r>
              <w:rPr>
                <w:rFonts w:ascii="Times New Roman" w:hAnsi="Times New Roman" w:eastAsia="PMingLiU"/>
                <w:i/>
                <w:spacing w:val="4"/>
                <w:sz w:val="24"/>
                <w:szCs w:val="24"/>
              </w:rPr>
              <w:t>（約整至最接近</w:t>
            </w:r>
            <w:r>
              <w:rPr>
                <w:rFonts w:hint="eastAsia" w:ascii="Times New Roman" w:hAnsi="Times New Roman" w:eastAsia="PMingLiU"/>
                <w:i/>
                <w:spacing w:val="4"/>
                <w:sz w:val="24"/>
                <w:szCs w:val="24"/>
              </w:rPr>
              <w:t>的</w:t>
            </w:r>
            <w:r>
              <w:rPr>
                <w:rFonts w:ascii="Times New Roman" w:hAnsi="Times New Roman" w:eastAsia="PMingLiU"/>
                <w:i/>
                <w:spacing w:val="4"/>
                <w:sz w:val="24"/>
                <w:szCs w:val="24"/>
              </w:rPr>
              <w:t>人民幣千元）</w:t>
            </w:r>
          </w:p>
        </w:tc>
        <w:tc>
          <w:tcPr>
            <w:tcW w:w="1570" w:type="dxa"/>
            <w:vAlign w:val="top"/>
          </w:tcPr>
          <w:p>
            <w:pPr>
              <w:spacing w:after="0" w:line="240" w:lineRule="auto"/>
              <w:jc w:val="center"/>
              <w:rPr>
                <w:rFonts w:ascii="Times New Roman" w:hAnsi="Times New Roman" w:eastAsia="PMingLiU"/>
                <w:i/>
                <w:spacing w:val="4"/>
                <w:sz w:val="24"/>
                <w:szCs w:val="24"/>
              </w:rPr>
            </w:pPr>
            <w:r>
              <w:rPr>
                <w:rFonts w:ascii="Times New Roman" w:hAnsi="Times New Roman" w:eastAsia="PMingLiU"/>
                <w:i/>
                <w:spacing w:val="4"/>
                <w:sz w:val="24"/>
                <w:szCs w:val="24"/>
                <w:lang w:eastAsia="zh-CN"/>
              </w:rPr>
              <w:t>（</w:t>
            </w:r>
            <w:r>
              <w:rPr>
                <w:rFonts w:ascii="Times New Roman" w:hAnsi="Times New Roman" w:eastAsia="PMingLiU"/>
                <w:i/>
                <w:spacing w:val="4"/>
                <w:sz w:val="24"/>
                <w:szCs w:val="24"/>
              </w:rPr>
              <w:t>人民幣</w:t>
            </w:r>
            <w:r>
              <w:rPr>
                <w:rFonts w:ascii="Times New Roman" w:hAnsi="Times New Roman" w:eastAsia="PMingLiU"/>
                <w:i/>
                <w:spacing w:val="4"/>
                <w:sz w:val="24"/>
                <w:szCs w:val="24"/>
                <w:lang w:eastAsia="zh-CN"/>
              </w:rPr>
              <w:t>千</w:t>
            </w:r>
            <w:r>
              <w:rPr>
                <w:rFonts w:ascii="Times New Roman" w:hAnsi="Times New Roman" w:eastAsia="PMingLiU"/>
                <w:i/>
                <w:spacing w:val="4"/>
                <w:sz w:val="24"/>
                <w:szCs w:val="24"/>
              </w:rPr>
              <w:t>元</w:t>
            </w:r>
            <w:r>
              <w:rPr>
                <w:rFonts w:ascii="Times New Roman" w:hAnsi="Times New Roman" w:eastAsia="PMingLiU"/>
                <w:i/>
                <w:spacing w:val="4"/>
                <w:sz w:val="24"/>
                <w:szCs w:val="24"/>
                <w:lang w:eastAsia="zh-CN"/>
              </w:rPr>
              <w:t>）</w:t>
            </w:r>
          </w:p>
        </w:tc>
        <w:tc>
          <w:tcPr>
            <w:tcW w:w="1570" w:type="dxa"/>
            <w:vAlign w:val="top"/>
          </w:tcPr>
          <w:p>
            <w:pPr>
              <w:spacing w:after="0" w:line="240" w:lineRule="auto"/>
              <w:jc w:val="center"/>
              <w:rPr>
                <w:rFonts w:ascii="Times New Roman" w:hAnsi="Times New Roman" w:eastAsia="PMingLiU"/>
                <w:i/>
                <w:sz w:val="24"/>
                <w:szCs w:val="24"/>
                <w:lang w:eastAsia="zh-CN"/>
              </w:rPr>
            </w:pPr>
            <w:r>
              <w:rPr>
                <w:rFonts w:ascii="Times New Roman" w:hAnsi="Times New Roman" w:eastAsia="PMingLiU"/>
                <w:i/>
                <w:spacing w:val="4"/>
                <w:sz w:val="24"/>
                <w:szCs w:val="24"/>
                <w:lang w:eastAsia="zh-CN"/>
              </w:rPr>
              <w:t>（</w:t>
            </w:r>
            <w:r>
              <w:rPr>
                <w:rFonts w:ascii="Times New Roman" w:hAnsi="Times New Roman" w:eastAsia="PMingLiU"/>
                <w:i/>
                <w:spacing w:val="4"/>
                <w:sz w:val="24"/>
                <w:szCs w:val="24"/>
              </w:rPr>
              <w:t>人民幣</w:t>
            </w:r>
            <w:r>
              <w:rPr>
                <w:rFonts w:ascii="Times New Roman" w:hAnsi="Times New Roman" w:eastAsia="PMingLiU"/>
                <w:i/>
                <w:spacing w:val="4"/>
                <w:sz w:val="24"/>
                <w:szCs w:val="24"/>
                <w:lang w:eastAsia="zh-CN"/>
              </w:rPr>
              <w:t>千</w:t>
            </w:r>
            <w:r>
              <w:rPr>
                <w:rFonts w:ascii="Times New Roman" w:hAnsi="Times New Roman" w:eastAsia="PMingLiU"/>
                <w:i/>
                <w:spacing w:val="4"/>
                <w:sz w:val="24"/>
                <w:szCs w:val="24"/>
              </w:rPr>
              <w:t>元</w:t>
            </w:r>
            <w:r>
              <w:rPr>
                <w:rFonts w:ascii="Times New Roman" w:hAnsi="Times New Roman" w:eastAsia="PMingLiU"/>
                <w:i/>
                <w:spacing w:val="4"/>
                <w:sz w:val="24"/>
                <w:szCs w:val="24"/>
                <w:lang w:eastAsia="zh-CN"/>
              </w:rPr>
              <w:t>）</w:t>
            </w:r>
          </w:p>
        </w:tc>
        <w:tc>
          <w:tcPr>
            <w:tcW w:w="1004" w:type="dxa"/>
            <w:vAlign w:val="top"/>
          </w:tcPr>
          <w:p>
            <w:pPr>
              <w:spacing w:after="0" w:line="240" w:lineRule="auto"/>
              <w:jc w:val="center"/>
              <w:rPr>
                <w:rFonts w:ascii="Times New Roman" w:hAnsi="Times New Roman" w:eastAsia="PMingLiU"/>
                <w:i/>
                <w:sz w:val="24"/>
                <w:szCs w:val="24"/>
              </w:rPr>
            </w:pPr>
            <w:r>
              <w:rPr>
                <w:rFonts w:ascii="Times New Roman" w:hAnsi="Times New Roman" w:eastAsia="PMingLiU"/>
                <w:i/>
                <w:spacing w:val="4"/>
                <w:sz w:val="24"/>
                <w:szCs w:val="24"/>
              </w:rPr>
              <w:t>（約整至最接近</w:t>
            </w:r>
            <w:r>
              <w:rPr>
                <w:rFonts w:hint="eastAsia" w:ascii="Times New Roman" w:hAnsi="Times New Roman" w:eastAsia="PMingLiU"/>
                <w:i/>
                <w:spacing w:val="4"/>
                <w:sz w:val="24"/>
                <w:szCs w:val="24"/>
              </w:rPr>
              <w:t>的</w:t>
            </w:r>
            <w:r>
              <w:rPr>
                <w:rFonts w:ascii="Times New Roman" w:hAnsi="Times New Roman" w:eastAsia="PMingLiU"/>
                <w:i/>
                <w:spacing w:val="4"/>
                <w:sz w:val="24"/>
                <w:szCs w:val="24"/>
              </w:rPr>
              <w:t>人民幣千元）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969" w:type="dxa"/>
            <w:vAlign w:val="top"/>
          </w:tcPr>
          <w:p>
            <w:pPr>
              <w:widowControl w:val="0"/>
              <w:autoSpaceDE w:val="0"/>
              <w:autoSpaceDN w:val="0"/>
              <w:adjustRightInd w:val="0"/>
              <w:spacing w:after="120" w:line="240" w:lineRule="auto"/>
              <w:rPr>
                <w:rFonts w:ascii="Times New Roman" w:hAnsi="Times New Roman" w:eastAsia="PMingLiU"/>
                <w:spacing w:val="4"/>
                <w:sz w:val="24"/>
                <w:szCs w:val="24"/>
              </w:rPr>
            </w:pPr>
            <w:r>
              <w:rPr>
                <w:rFonts w:ascii="Times New Roman" w:hAnsi="Times New Roman" w:eastAsia="PMingLiU"/>
                <w:spacing w:val="4"/>
                <w:sz w:val="24"/>
                <w:szCs w:val="24"/>
              </w:rPr>
              <w:t>向華魯恒升及／或其附屬公司採購化工產品</w:t>
            </w:r>
          </w:p>
        </w:tc>
        <w:tc>
          <w:tcPr>
            <w:tcW w:w="1420" w:type="dxa"/>
            <w:vAlign w:val="top"/>
          </w:tcPr>
          <w:p>
            <w:pPr>
              <w:widowControl w:val="0"/>
              <w:autoSpaceDE w:val="0"/>
              <w:autoSpaceDN w:val="0"/>
              <w:adjustRightInd w:val="0"/>
              <w:spacing w:after="120" w:line="240" w:lineRule="auto"/>
              <w:ind w:right="-20"/>
              <w:jc w:val="center"/>
              <w:rPr>
                <w:rFonts w:ascii="Times New Roman" w:hAnsi="Times New Roman" w:eastAsia="PMingLiU"/>
                <w:spacing w:val="4"/>
                <w:sz w:val="24"/>
                <w:szCs w:val="24"/>
              </w:rPr>
            </w:pPr>
            <w:r>
              <w:rPr>
                <w:rFonts w:hint="eastAsia" w:ascii="Times New Roman" w:hAnsi="Times New Roman"/>
                <w:spacing w:val="4"/>
                <w:sz w:val="24"/>
                <w:szCs w:val="24"/>
                <w:lang w:eastAsia="zh-CN"/>
              </w:rPr>
              <w:t>56,457</w:t>
            </w:r>
          </w:p>
        </w:tc>
        <w:tc>
          <w:tcPr>
            <w:tcW w:w="880" w:type="dxa"/>
            <w:vAlign w:val="top"/>
          </w:tcPr>
          <w:p>
            <w:pPr>
              <w:widowControl w:val="0"/>
              <w:autoSpaceDE w:val="0"/>
              <w:autoSpaceDN w:val="0"/>
              <w:adjustRightInd w:val="0"/>
              <w:spacing w:after="120" w:line="240" w:lineRule="auto"/>
              <w:ind w:right="-20"/>
              <w:jc w:val="center"/>
              <w:rPr>
                <w:rFonts w:ascii="Times New Roman" w:hAnsi="Times New Roman" w:eastAsia="PMingLiU"/>
                <w:spacing w:val="4"/>
                <w:sz w:val="24"/>
                <w:szCs w:val="24"/>
              </w:rPr>
            </w:pPr>
            <w:r>
              <w:rPr>
                <w:rFonts w:ascii="Times New Roman" w:hAnsi="Times New Roman" w:eastAsia="PMingLiU"/>
                <w:spacing w:val="4"/>
                <w:sz w:val="24"/>
                <w:szCs w:val="24"/>
              </w:rPr>
              <w:t>80,000</w:t>
            </w:r>
          </w:p>
        </w:tc>
        <w:tc>
          <w:tcPr>
            <w:tcW w:w="1554" w:type="dxa"/>
            <w:vAlign w:val="top"/>
          </w:tcPr>
          <w:p>
            <w:pPr>
              <w:widowControl w:val="0"/>
              <w:autoSpaceDE w:val="0"/>
              <w:autoSpaceDN w:val="0"/>
              <w:adjustRightInd w:val="0"/>
              <w:spacing w:after="120" w:line="240" w:lineRule="auto"/>
              <w:ind w:right="-20"/>
              <w:jc w:val="center"/>
              <w:rPr>
                <w:rFonts w:ascii="Times New Roman" w:hAnsi="Times New Roman" w:eastAsia="PMingLiU"/>
                <w:spacing w:val="4"/>
                <w:sz w:val="24"/>
                <w:szCs w:val="24"/>
                <w:lang w:eastAsia="zh-CN"/>
              </w:rPr>
            </w:pPr>
            <w:r>
              <w:rPr>
                <w:rFonts w:ascii="Times New Roman" w:hAnsi="Times New Roman"/>
                <w:spacing w:val="4"/>
                <w:sz w:val="24"/>
                <w:szCs w:val="24"/>
                <w:lang w:eastAsia="zh-CN"/>
              </w:rPr>
              <w:t>98,290</w:t>
            </w:r>
          </w:p>
        </w:tc>
        <w:tc>
          <w:tcPr>
            <w:tcW w:w="1570" w:type="dxa"/>
            <w:vAlign w:val="top"/>
          </w:tcPr>
          <w:p>
            <w:pPr>
              <w:widowControl w:val="0"/>
              <w:autoSpaceDE w:val="0"/>
              <w:autoSpaceDN w:val="0"/>
              <w:adjustRightInd w:val="0"/>
              <w:spacing w:after="120" w:line="240" w:lineRule="auto"/>
              <w:ind w:right="-20"/>
              <w:jc w:val="center"/>
              <w:rPr>
                <w:rFonts w:ascii="Times New Roman" w:hAnsi="Times New Roman" w:eastAsia="PMingLiU"/>
                <w:spacing w:val="4"/>
                <w:sz w:val="24"/>
                <w:szCs w:val="24"/>
              </w:rPr>
            </w:pPr>
            <w:r>
              <w:rPr>
                <w:rFonts w:ascii="Times New Roman" w:hAnsi="Times New Roman" w:eastAsia="PMingLiU"/>
                <w:spacing w:val="4"/>
                <w:sz w:val="24"/>
                <w:szCs w:val="24"/>
              </w:rPr>
              <w:t>100,000</w:t>
            </w:r>
          </w:p>
        </w:tc>
        <w:tc>
          <w:tcPr>
            <w:tcW w:w="1570" w:type="dxa"/>
            <w:vAlign w:val="top"/>
          </w:tcPr>
          <w:p>
            <w:pPr>
              <w:widowControl w:val="0"/>
              <w:autoSpaceDE w:val="0"/>
              <w:autoSpaceDN w:val="0"/>
              <w:adjustRightInd w:val="0"/>
              <w:spacing w:after="120" w:line="240" w:lineRule="auto"/>
              <w:ind w:right="-20"/>
              <w:jc w:val="center"/>
              <w:rPr>
                <w:rFonts w:ascii="Times New Roman" w:hAnsi="Times New Roman" w:eastAsia="PMingLiU"/>
                <w:spacing w:val="4"/>
                <w:sz w:val="24"/>
                <w:szCs w:val="24"/>
                <w:lang w:eastAsia="zh-CN"/>
              </w:rPr>
            </w:pPr>
            <w:r>
              <w:rPr>
                <w:rFonts w:ascii="Times New Roman" w:hAnsi="Times New Roman" w:eastAsia="PMingLiU"/>
                <w:spacing w:val="4"/>
                <w:sz w:val="24"/>
                <w:szCs w:val="24"/>
                <w:lang w:eastAsia="zh-CN"/>
              </w:rPr>
              <w:t>40,180</w:t>
            </w:r>
          </w:p>
        </w:tc>
        <w:tc>
          <w:tcPr>
            <w:tcW w:w="1004" w:type="dxa"/>
            <w:vAlign w:val="top"/>
          </w:tcPr>
          <w:p>
            <w:pPr>
              <w:widowControl w:val="0"/>
              <w:autoSpaceDE w:val="0"/>
              <w:autoSpaceDN w:val="0"/>
              <w:adjustRightInd w:val="0"/>
              <w:spacing w:after="120" w:line="240" w:lineRule="auto"/>
              <w:ind w:right="-20"/>
              <w:jc w:val="center"/>
              <w:rPr>
                <w:rFonts w:ascii="Times New Roman" w:hAnsi="Times New Roman" w:eastAsia="PMingLiU"/>
                <w:spacing w:val="4"/>
                <w:sz w:val="24"/>
                <w:szCs w:val="24"/>
              </w:rPr>
            </w:pPr>
            <w:r>
              <w:rPr>
                <w:rFonts w:ascii="Times New Roman" w:hAnsi="Times New Roman" w:eastAsia="PMingLiU"/>
                <w:spacing w:val="4"/>
                <w:sz w:val="24"/>
                <w:szCs w:val="24"/>
              </w:rPr>
              <w:t>120,000</w:t>
            </w:r>
          </w:p>
        </w:tc>
      </w:tr>
    </w:tbl>
    <w:p>
      <w:pPr>
        <w:widowControl w:val="0"/>
        <w:tabs>
          <w:tab w:val="left" w:pos="3320"/>
          <w:tab w:val="left" w:pos="5760"/>
          <w:tab w:val="left" w:pos="9810"/>
        </w:tabs>
        <w:autoSpaceDE w:val="0"/>
        <w:autoSpaceDN w:val="0"/>
        <w:adjustRightInd w:val="0"/>
        <w:spacing w:after="120" w:line="240" w:lineRule="auto"/>
        <w:ind w:left="110" w:right="-20"/>
        <w:jc w:val="center"/>
        <w:rPr>
          <w:rFonts w:ascii="Times New Roman" w:hAnsi="Times New Roman" w:eastAsia="PMingLiU"/>
          <w:sz w:val="24"/>
          <w:szCs w:val="24"/>
        </w:rPr>
      </w:pPr>
    </w:p>
    <w:p>
      <w:pPr>
        <w:widowControl w:val="0"/>
        <w:autoSpaceDE w:val="0"/>
        <w:autoSpaceDN w:val="0"/>
        <w:adjustRightInd w:val="0"/>
        <w:spacing w:after="120" w:line="240" w:lineRule="auto"/>
        <w:ind w:left="110" w:right="48"/>
        <w:jc w:val="both"/>
        <w:rPr>
          <w:rFonts w:ascii="Times New Roman" w:hAnsi="Times New Roman" w:eastAsia="PMingLiU"/>
          <w:b/>
          <w:i/>
          <w:spacing w:val="4"/>
          <w:sz w:val="20"/>
          <w:szCs w:val="20"/>
        </w:rPr>
      </w:pPr>
      <w:r>
        <w:rPr>
          <w:rFonts w:ascii="Times New Roman" w:hAnsi="Times New Roman" w:eastAsia="PMingLiU"/>
          <w:b/>
          <w:i/>
          <w:spacing w:val="4"/>
          <w:sz w:val="20"/>
          <w:szCs w:val="20"/>
        </w:rPr>
        <w:t>註：數據</w:t>
      </w:r>
      <w:r>
        <w:rPr>
          <w:rFonts w:hint="eastAsia" w:ascii="Times New Roman" w:hAnsi="Times New Roman" w:eastAsia="PMingLiU"/>
          <w:b/>
          <w:i/>
          <w:spacing w:val="4"/>
          <w:sz w:val="20"/>
          <w:szCs w:val="20"/>
        </w:rPr>
        <w:t>並未包含</w:t>
      </w:r>
      <w:r>
        <w:rPr>
          <w:rFonts w:ascii="Times New Roman" w:hAnsi="Times New Roman" w:eastAsia="PMingLiU"/>
          <w:b/>
          <w:i/>
          <w:spacing w:val="4"/>
          <w:sz w:val="20"/>
          <w:szCs w:val="20"/>
        </w:rPr>
        <w:t>稅</w:t>
      </w:r>
      <w:r>
        <w:rPr>
          <w:rFonts w:hint="eastAsia" w:ascii="Times New Roman" w:hAnsi="Times New Roman" w:eastAsia="PMingLiU"/>
          <w:b/>
          <w:i/>
          <w:spacing w:val="4"/>
          <w:sz w:val="20"/>
          <w:szCs w:val="20"/>
        </w:rPr>
        <w:t>項</w:t>
      </w:r>
      <w:r>
        <w:rPr>
          <w:rFonts w:ascii="Times New Roman" w:hAnsi="Times New Roman" w:eastAsia="PMingLiU"/>
          <w:b/>
          <w:i/>
          <w:spacing w:val="4"/>
          <w:sz w:val="20"/>
          <w:szCs w:val="20"/>
        </w:rPr>
        <w:t>。</w:t>
      </w:r>
    </w:p>
    <w:p>
      <w:pPr>
        <w:widowControl w:val="0"/>
        <w:autoSpaceDE w:val="0"/>
        <w:autoSpaceDN w:val="0"/>
        <w:adjustRightInd w:val="0"/>
        <w:spacing w:after="120" w:line="240" w:lineRule="auto"/>
        <w:ind w:left="110" w:right="48"/>
        <w:jc w:val="both"/>
        <w:rPr>
          <w:rFonts w:ascii="Times New Roman" w:hAnsi="Times New Roman" w:eastAsia="PMingLiU"/>
          <w:b/>
          <w:i/>
          <w:spacing w:val="4"/>
          <w:sz w:val="20"/>
          <w:szCs w:val="20"/>
        </w:rPr>
      </w:pPr>
    </w:p>
    <w:p>
      <w:pPr>
        <w:widowControl w:val="0"/>
        <w:autoSpaceDE w:val="0"/>
        <w:autoSpaceDN w:val="0"/>
        <w:adjustRightInd w:val="0"/>
        <w:spacing w:after="120" w:line="240" w:lineRule="auto"/>
        <w:ind w:left="110" w:right="48"/>
        <w:jc w:val="both"/>
        <w:rPr>
          <w:rFonts w:ascii="Times New Roman" w:hAnsi="Times New Roman" w:eastAsia="PMingLiU"/>
          <w:b/>
          <w:spacing w:val="4"/>
          <w:sz w:val="24"/>
          <w:szCs w:val="24"/>
        </w:rPr>
      </w:pPr>
      <w:r>
        <w:rPr>
          <w:rFonts w:ascii="Times New Roman" w:hAnsi="Times New Roman" w:eastAsia="PMingLiU"/>
          <w:b/>
          <w:spacing w:val="4"/>
          <w:sz w:val="24"/>
          <w:szCs w:val="24"/>
        </w:rPr>
        <w:t>修訂二零一八年年度上限</w:t>
      </w:r>
    </w:p>
    <w:p>
      <w:pPr>
        <w:widowControl w:val="0"/>
        <w:autoSpaceDE w:val="0"/>
        <w:autoSpaceDN w:val="0"/>
        <w:adjustRightInd w:val="0"/>
        <w:spacing w:after="120" w:line="240" w:lineRule="auto"/>
        <w:ind w:left="110" w:right="48"/>
        <w:jc w:val="both"/>
        <w:rPr>
          <w:rFonts w:ascii="Times New Roman" w:hAnsi="Times New Roman" w:eastAsia="PMingLiU"/>
          <w:sz w:val="24"/>
          <w:szCs w:val="24"/>
        </w:rPr>
      </w:pPr>
      <w:r>
        <w:rPr>
          <w:rFonts w:ascii="Times New Roman" w:hAnsi="Times New Roman" w:eastAsia="PMingLiU"/>
          <w:sz w:val="24"/>
          <w:szCs w:val="24"/>
        </w:rPr>
        <w:t>根據本集團業務量、增長及生產力及其業務需要及經營情況，以及</w:t>
      </w:r>
      <w:r>
        <w:rPr>
          <w:rFonts w:hint="eastAsia" w:ascii="Times New Roman" w:hAnsi="Times New Roman" w:eastAsia="PMingLiU"/>
          <w:sz w:val="24"/>
          <w:szCs w:val="24"/>
        </w:rPr>
        <w:t>行業和</w:t>
      </w:r>
      <w:r>
        <w:rPr>
          <w:rFonts w:ascii="Times New Roman" w:hAnsi="Times New Roman" w:eastAsia="PMingLiU"/>
          <w:sz w:val="24"/>
          <w:szCs w:val="24"/>
        </w:rPr>
        <w:t>中國的整體經濟前景，董事會擬修訂二零一八年年度上限增加如下：</w:t>
      </w:r>
    </w:p>
    <w:p>
      <w:pPr>
        <w:widowControl w:val="0"/>
        <w:autoSpaceDE w:val="0"/>
        <w:autoSpaceDN w:val="0"/>
        <w:adjustRightInd w:val="0"/>
        <w:spacing w:after="120" w:line="240" w:lineRule="auto"/>
        <w:ind w:left="110" w:right="48"/>
        <w:jc w:val="both"/>
        <w:rPr>
          <w:rFonts w:ascii="Times New Roman" w:hAnsi="Times New Roman" w:eastAsia="PMingLiU"/>
          <w:sz w:val="24"/>
          <w:szCs w:val="24"/>
        </w:rPr>
      </w:pPr>
    </w:p>
    <w:tbl>
      <w:tblPr>
        <w:tblW w:w="854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274"/>
        <w:gridCol w:w="2638"/>
        <w:gridCol w:w="26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3274" w:type="dxa"/>
            <w:vAlign w:val="top"/>
          </w:tcPr>
          <w:p>
            <w:pPr>
              <w:widowControl w:val="0"/>
              <w:autoSpaceDE w:val="0"/>
              <w:autoSpaceDN w:val="0"/>
              <w:adjustRightInd w:val="0"/>
              <w:spacing w:after="120" w:line="240" w:lineRule="auto"/>
              <w:rPr>
                <w:rFonts w:ascii="Times New Roman" w:hAnsi="Times New Roman" w:eastAsia="PMingLiU"/>
                <w:spacing w:val="4"/>
                <w:sz w:val="24"/>
                <w:szCs w:val="24"/>
              </w:rPr>
            </w:pPr>
          </w:p>
        </w:tc>
        <w:tc>
          <w:tcPr>
            <w:tcW w:w="2638" w:type="dxa"/>
            <w:vAlign w:val="top"/>
          </w:tcPr>
          <w:p>
            <w:pPr>
              <w:widowControl w:val="0"/>
              <w:autoSpaceDE w:val="0"/>
              <w:autoSpaceDN w:val="0"/>
              <w:adjustRightInd w:val="0"/>
              <w:spacing w:after="120" w:line="240" w:lineRule="auto"/>
              <w:rPr>
                <w:rFonts w:ascii="Times New Roman" w:hAnsi="Times New Roman" w:eastAsia="PMingLiU"/>
                <w:spacing w:val="4"/>
                <w:sz w:val="24"/>
                <w:szCs w:val="24"/>
                <w:lang w:eastAsia="zh-CN"/>
              </w:rPr>
            </w:pPr>
            <w:r>
              <w:rPr>
                <w:rFonts w:ascii="Times New Roman" w:hAnsi="Times New Roman" w:eastAsia="PMingLiU"/>
                <w:spacing w:val="4"/>
                <w:sz w:val="24"/>
                <w:szCs w:val="24"/>
                <w:lang w:eastAsia="zh-CN"/>
              </w:rPr>
              <w:t>原有年度上限</w:t>
            </w:r>
          </w:p>
        </w:tc>
        <w:tc>
          <w:tcPr>
            <w:tcW w:w="2637" w:type="dxa"/>
            <w:vAlign w:val="top"/>
          </w:tcPr>
          <w:p>
            <w:pPr>
              <w:widowControl w:val="0"/>
              <w:autoSpaceDE w:val="0"/>
              <w:autoSpaceDN w:val="0"/>
              <w:adjustRightInd w:val="0"/>
              <w:spacing w:after="120" w:line="240" w:lineRule="auto"/>
              <w:rPr>
                <w:rFonts w:ascii="Times New Roman" w:hAnsi="Times New Roman" w:eastAsia="PMingLiU"/>
                <w:spacing w:val="4"/>
                <w:sz w:val="24"/>
                <w:szCs w:val="24"/>
                <w:lang w:eastAsia="zh-CN"/>
              </w:rPr>
            </w:pPr>
            <w:r>
              <w:rPr>
                <w:rFonts w:hint="eastAsia" w:ascii="Times New Roman" w:hAnsi="Times New Roman" w:eastAsia="PMingLiU"/>
                <w:spacing w:val="4"/>
                <w:sz w:val="24"/>
                <w:szCs w:val="24"/>
              </w:rPr>
              <w:t>建議</w:t>
            </w:r>
            <w:r>
              <w:rPr>
                <w:rFonts w:ascii="Times New Roman" w:hAnsi="Times New Roman" w:eastAsia="PMingLiU"/>
                <w:spacing w:val="4"/>
                <w:sz w:val="24"/>
                <w:szCs w:val="24"/>
                <w:lang w:eastAsia="zh-CN"/>
              </w:rPr>
              <w:t>修訂年度上限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3274" w:type="dxa"/>
            <w:vAlign w:val="top"/>
          </w:tcPr>
          <w:p>
            <w:pPr>
              <w:widowControl w:val="0"/>
              <w:autoSpaceDE w:val="0"/>
              <w:autoSpaceDN w:val="0"/>
              <w:adjustRightInd w:val="0"/>
              <w:spacing w:after="120" w:line="240" w:lineRule="auto"/>
              <w:rPr>
                <w:rFonts w:ascii="Times New Roman" w:hAnsi="Times New Roman" w:eastAsia="PMingLiU"/>
                <w:spacing w:val="4"/>
                <w:sz w:val="24"/>
                <w:szCs w:val="24"/>
              </w:rPr>
            </w:pPr>
          </w:p>
        </w:tc>
        <w:tc>
          <w:tcPr>
            <w:tcW w:w="2638" w:type="dxa"/>
            <w:vAlign w:val="top"/>
          </w:tcPr>
          <w:p>
            <w:pPr>
              <w:widowControl w:val="0"/>
              <w:autoSpaceDE w:val="0"/>
              <w:autoSpaceDN w:val="0"/>
              <w:adjustRightInd w:val="0"/>
              <w:spacing w:after="120" w:line="240" w:lineRule="auto"/>
              <w:rPr>
                <w:rFonts w:ascii="Times New Roman" w:hAnsi="Times New Roman" w:eastAsia="PMingLiU"/>
                <w:i/>
                <w:spacing w:val="4"/>
                <w:sz w:val="24"/>
                <w:szCs w:val="24"/>
                <w:lang w:eastAsia="zh-CN"/>
              </w:rPr>
            </w:pPr>
            <w:r>
              <w:rPr>
                <w:rFonts w:ascii="Times New Roman" w:hAnsi="Times New Roman" w:eastAsia="PMingLiU"/>
                <w:i/>
                <w:spacing w:val="4"/>
                <w:sz w:val="24"/>
                <w:szCs w:val="24"/>
                <w:lang w:eastAsia="zh-CN"/>
              </w:rPr>
              <w:t>（人民幣千元）</w:t>
            </w:r>
          </w:p>
        </w:tc>
        <w:tc>
          <w:tcPr>
            <w:tcW w:w="2637" w:type="dxa"/>
            <w:vAlign w:val="top"/>
          </w:tcPr>
          <w:p>
            <w:pPr>
              <w:widowControl w:val="0"/>
              <w:autoSpaceDE w:val="0"/>
              <w:autoSpaceDN w:val="0"/>
              <w:adjustRightInd w:val="0"/>
              <w:spacing w:after="120" w:line="240" w:lineRule="auto"/>
              <w:rPr>
                <w:rFonts w:ascii="Times New Roman" w:hAnsi="Times New Roman" w:eastAsia="PMingLiU"/>
                <w:i/>
                <w:spacing w:val="4"/>
                <w:sz w:val="24"/>
                <w:szCs w:val="24"/>
                <w:lang w:eastAsia="zh-CN"/>
              </w:rPr>
            </w:pPr>
            <w:r>
              <w:rPr>
                <w:rFonts w:ascii="Times New Roman" w:hAnsi="Times New Roman" w:eastAsia="PMingLiU"/>
                <w:i/>
                <w:spacing w:val="4"/>
                <w:sz w:val="24"/>
                <w:szCs w:val="24"/>
                <w:lang w:eastAsia="zh-CN"/>
              </w:rPr>
              <w:t>（人民幣千元）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3274" w:type="dxa"/>
            <w:vAlign w:val="top"/>
          </w:tcPr>
          <w:p>
            <w:pPr>
              <w:widowControl w:val="0"/>
              <w:autoSpaceDE w:val="0"/>
              <w:autoSpaceDN w:val="0"/>
              <w:adjustRightInd w:val="0"/>
              <w:spacing w:after="120" w:line="240" w:lineRule="auto"/>
              <w:rPr>
                <w:rFonts w:ascii="Times New Roman" w:hAnsi="Times New Roman" w:eastAsia="PMingLiU"/>
                <w:spacing w:val="4"/>
                <w:sz w:val="24"/>
                <w:szCs w:val="24"/>
                <w:lang w:eastAsia="zh-CN"/>
              </w:rPr>
            </w:pPr>
            <w:r>
              <w:rPr>
                <w:rFonts w:ascii="Times New Roman" w:hAnsi="Times New Roman" w:eastAsia="PMingLiU"/>
                <w:spacing w:val="4"/>
                <w:sz w:val="24"/>
                <w:szCs w:val="24"/>
                <w:lang w:eastAsia="zh-CN"/>
              </w:rPr>
              <w:t>截至二零一</w:t>
            </w:r>
            <w:r>
              <w:rPr>
                <w:rFonts w:ascii="Times New Roman" w:hAnsi="Times New Roman" w:eastAsia="PMingLiU"/>
                <w:spacing w:val="4"/>
                <w:sz w:val="24"/>
                <w:szCs w:val="24"/>
              </w:rPr>
              <w:t>八</w:t>
            </w:r>
            <w:r>
              <w:rPr>
                <w:rFonts w:ascii="Times New Roman" w:hAnsi="Times New Roman" w:eastAsia="PMingLiU"/>
                <w:spacing w:val="4"/>
                <w:sz w:val="24"/>
                <w:szCs w:val="24"/>
                <w:lang w:eastAsia="zh-CN"/>
              </w:rPr>
              <w:t>年十二月三十一日止年度</w:t>
            </w:r>
          </w:p>
        </w:tc>
        <w:tc>
          <w:tcPr>
            <w:tcW w:w="2638" w:type="dxa"/>
            <w:vAlign w:val="top"/>
          </w:tcPr>
          <w:p>
            <w:pPr>
              <w:widowControl w:val="0"/>
              <w:autoSpaceDE w:val="0"/>
              <w:autoSpaceDN w:val="0"/>
              <w:adjustRightInd w:val="0"/>
              <w:spacing w:after="120" w:line="240" w:lineRule="auto"/>
              <w:rPr>
                <w:rFonts w:ascii="Times New Roman" w:hAnsi="Times New Roman" w:eastAsia="PMingLiU"/>
                <w:spacing w:val="4"/>
                <w:sz w:val="24"/>
                <w:szCs w:val="24"/>
              </w:rPr>
            </w:pPr>
            <w:r>
              <w:rPr>
                <w:rFonts w:ascii="Times New Roman" w:hAnsi="Times New Roman" w:eastAsia="PMingLiU"/>
                <w:spacing w:val="4"/>
                <w:sz w:val="24"/>
                <w:szCs w:val="24"/>
              </w:rPr>
              <w:t>120,000</w:t>
            </w:r>
          </w:p>
        </w:tc>
        <w:tc>
          <w:tcPr>
            <w:tcW w:w="2637" w:type="dxa"/>
            <w:vAlign w:val="top"/>
          </w:tcPr>
          <w:p>
            <w:pPr>
              <w:widowControl w:val="0"/>
              <w:autoSpaceDE w:val="0"/>
              <w:autoSpaceDN w:val="0"/>
              <w:adjustRightInd w:val="0"/>
              <w:spacing w:after="120" w:line="240" w:lineRule="auto"/>
              <w:rPr>
                <w:rFonts w:ascii="Times New Roman" w:hAnsi="Times New Roman" w:eastAsia="PMingLiU"/>
                <w:spacing w:val="4"/>
                <w:sz w:val="24"/>
                <w:szCs w:val="24"/>
              </w:rPr>
            </w:pPr>
            <w:r>
              <w:rPr>
                <w:rFonts w:ascii="Times New Roman" w:hAnsi="Times New Roman" w:eastAsia="PMingLiU"/>
                <w:spacing w:val="4"/>
                <w:sz w:val="24"/>
                <w:szCs w:val="24"/>
              </w:rPr>
              <w:t>200,000</w:t>
            </w:r>
          </w:p>
        </w:tc>
      </w:tr>
    </w:tbl>
    <w:p>
      <w:pPr>
        <w:widowControl w:val="0"/>
        <w:autoSpaceDE w:val="0"/>
        <w:autoSpaceDN w:val="0"/>
        <w:adjustRightInd w:val="0"/>
        <w:spacing w:after="120" w:line="240" w:lineRule="auto"/>
        <w:ind w:left="110" w:right="48"/>
        <w:jc w:val="both"/>
        <w:rPr>
          <w:rFonts w:ascii="Times New Roman" w:hAnsi="Times New Roman" w:eastAsia="PMingLiU"/>
          <w:b/>
          <w:i/>
          <w:spacing w:val="4"/>
          <w:sz w:val="20"/>
          <w:szCs w:val="20"/>
        </w:rPr>
      </w:pPr>
      <w:r>
        <w:rPr>
          <w:rFonts w:ascii="Times New Roman" w:hAnsi="Times New Roman" w:eastAsia="PMingLiU"/>
          <w:b/>
          <w:i/>
          <w:spacing w:val="4"/>
          <w:sz w:val="20"/>
          <w:szCs w:val="20"/>
        </w:rPr>
        <w:t>註：數據</w:t>
      </w:r>
      <w:r>
        <w:rPr>
          <w:rFonts w:hint="eastAsia" w:ascii="Times New Roman" w:hAnsi="Times New Roman" w:eastAsia="PMingLiU"/>
          <w:b/>
          <w:i/>
          <w:spacing w:val="4"/>
          <w:sz w:val="20"/>
          <w:szCs w:val="20"/>
        </w:rPr>
        <w:t>並未包含</w:t>
      </w:r>
      <w:r>
        <w:rPr>
          <w:rFonts w:ascii="Times New Roman" w:hAnsi="Times New Roman" w:eastAsia="PMingLiU"/>
          <w:b/>
          <w:i/>
          <w:spacing w:val="4"/>
          <w:sz w:val="20"/>
          <w:szCs w:val="20"/>
        </w:rPr>
        <w:t>稅</w:t>
      </w:r>
      <w:r>
        <w:rPr>
          <w:rFonts w:hint="eastAsia" w:ascii="Times New Roman" w:hAnsi="Times New Roman" w:eastAsia="PMingLiU"/>
          <w:b/>
          <w:i/>
          <w:spacing w:val="4"/>
          <w:sz w:val="20"/>
          <w:szCs w:val="20"/>
        </w:rPr>
        <w:t>項</w:t>
      </w:r>
      <w:r>
        <w:rPr>
          <w:rFonts w:ascii="Times New Roman" w:hAnsi="Times New Roman" w:eastAsia="PMingLiU"/>
          <w:b/>
          <w:i/>
          <w:spacing w:val="4"/>
          <w:sz w:val="20"/>
          <w:szCs w:val="20"/>
        </w:rPr>
        <w:t>。</w:t>
      </w:r>
    </w:p>
    <w:p>
      <w:pPr>
        <w:spacing w:after="120" w:line="240" w:lineRule="auto"/>
        <w:ind w:left="110"/>
        <w:jc w:val="both"/>
        <w:rPr>
          <w:rFonts w:ascii="Times New Roman" w:hAnsi="Times New Roman" w:eastAsia="PMingLiU"/>
          <w:sz w:val="24"/>
          <w:szCs w:val="24"/>
        </w:rPr>
      </w:pPr>
    </w:p>
    <w:p>
      <w:pPr>
        <w:widowControl w:val="0"/>
        <w:autoSpaceDE w:val="0"/>
        <w:autoSpaceDN w:val="0"/>
        <w:adjustRightInd w:val="0"/>
        <w:spacing w:after="120" w:line="240" w:lineRule="auto"/>
        <w:ind w:left="110" w:right="48"/>
        <w:jc w:val="both"/>
        <w:rPr>
          <w:rFonts w:ascii="Times New Roman" w:hAnsi="Times New Roman" w:eastAsia="PMingLiU"/>
          <w:sz w:val="24"/>
          <w:szCs w:val="24"/>
        </w:rPr>
      </w:pPr>
      <w:r>
        <w:rPr>
          <w:rFonts w:ascii="Times New Roman" w:hAnsi="Times New Roman" w:eastAsia="PMingLiU"/>
          <w:sz w:val="24"/>
          <w:szCs w:val="24"/>
        </w:rPr>
        <w:t>除上述二零一八年年度上限的</w:t>
      </w:r>
      <w:r>
        <w:rPr>
          <w:rFonts w:hint="eastAsia" w:ascii="Times New Roman" w:hAnsi="Times New Roman" w:eastAsia="PMingLiU"/>
          <w:spacing w:val="4"/>
          <w:sz w:val="24"/>
          <w:szCs w:val="24"/>
        </w:rPr>
        <w:t>建議</w:t>
      </w:r>
      <w:r>
        <w:rPr>
          <w:rFonts w:ascii="Times New Roman" w:hAnsi="Times New Roman" w:eastAsia="PMingLiU"/>
          <w:sz w:val="24"/>
          <w:szCs w:val="24"/>
        </w:rPr>
        <w:t>修訂外，華魯恒升協議項下</w:t>
      </w:r>
      <w:r>
        <w:rPr>
          <w:rFonts w:hint="eastAsia" w:ascii="Times New Roman" w:hAnsi="Times New Roman" w:eastAsia="PMingLiU"/>
          <w:sz w:val="24"/>
          <w:szCs w:val="24"/>
        </w:rPr>
        <w:t>所訂立的</w:t>
      </w:r>
      <w:r>
        <w:rPr>
          <w:rFonts w:ascii="Times New Roman" w:hAnsi="Times New Roman" w:eastAsia="PMingLiU"/>
          <w:sz w:val="24"/>
          <w:szCs w:val="24"/>
        </w:rPr>
        <w:t>交易在各方面均維持不變，而所有有關安排（包括但不限於先</w:t>
      </w:r>
      <w:r>
        <w:rPr>
          <w:rFonts w:hint="eastAsia" w:ascii="Times New Roman" w:hAnsi="Times New Roman" w:eastAsia="PMingLiU"/>
          <w:sz w:val="24"/>
          <w:szCs w:val="24"/>
          <w:lang/>
        </w:rPr>
        <w:t>前</w:t>
      </w:r>
      <w:r>
        <w:rPr>
          <w:rFonts w:hint="eastAsia" w:ascii="Times New Roman" w:hAnsi="Times New Roman" w:eastAsia="PMingLiU"/>
          <w:sz w:val="24"/>
          <w:szCs w:val="24"/>
        </w:rPr>
        <w:t>於</w:t>
      </w:r>
      <w:r>
        <w:rPr>
          <w:rFonts w:ascii="Times New Roman" w:hAnsi="Times New Roman" w:eastAsia="PMingLiU"/>
          <w:sz w:val="24"/>
          <w:szCs w:val="24"/>
        </w:rPr>
        <w:t>通函中</w:t>
      </w:r>
      <w:r>
        <w:rPr>
          <w:rFonts w:hint="eastAsia" w:ascii="Times New Roman" w:hAnsi="Times New Roman" w:eastAsia="PMingLiU"/>
          <w:sz w:val="24"/>
          <w:szCs w:val="24"/>
        </w:rPr>
        <w:t>所</w:t>
      </w:r>
      <w:r>
        <w:rPr>
          <w:rFonts w:ascii="Times New Roman" w:hAnsi="Times New Roman" w:eastAsia="PMingLiU"/>
          <w:sz w:val="24"/>
          <w:szCs w:val="24"/>
        </w:rPr>
        <w:t>披露的內控措施及程序及定價機制）將繼續具有十足效力及作用。</w:t>
      </w:r>
    </w:p>
    <w:p>
      <w:pPr>
        <w:widowControl w:val="0"/>
        <w:autoSpaceDE w:val="0"/>
        <w:autoSpaceDN w:val="0"/>
        <w:adjustRightInd w:val="0"/>
        <w:spacing w:after="120" w:line="240" w:lineRule="auto"/>
        <w:ind w:left="110" w:right="48"/>
        <w:jc w:val="both"/>
        <w:rPr>
          <w:rFonts w:ascii="Times New Roman" w:hAnsi="Times New Roman" w:eastAsia="PMingLiU"/>
          <w:sz w:val="24"/>
          <w:szCs w:val="24"/>
        </w:rPr>
      </w:pPr>
    </w:p>
    <w:p>
      <w:pPr>
        <w:widowControl w:val="0"/>
        <w:autoSpaceDE w:val="0"/>
        <w:autoSpaceDN w:val="0"/>
        <w:adjustRightInd w:val="0"/>
        <w:spacing w:after="120" w:line="240" w:lineRule="auto"/>
        <w:ind w:left="110" w:right="48"/>
        <w:jc w:val="both"/>
        <w:rPr>
          <w:rFonts w:ascii="Times New Roman" w:hAnsi="Times New Roman" w:eastAsia="PMingLiU"/>
          <w:b/>
          <w:spacing w:val="4"/>
          <w:sz w:val="24"/>
          <w:szCs w:val="24"/>
        </w:rPr>
      </w:pPr>
      <w:r>
        <w:rPr>
          <w:rFonts w:hint="eastAsia" w:ascii="Times New Roman" w:hAnsi="Times New Roman" w:eastAsia="PMingLiU"/>
          <w:b/>
          <w:spacing w:val="4"/>
          <w:sz w:val="24"/>
          <w:szCs w:val="24"/>
        </w:rPr>
        <w:t>建議修訂</w:t>
      </w:r>
      <w:r>
        <w:rPr>
          <w:rFonts w:ascii="Times New Roman" w:hAnsi="Times New Roman" w:eastAsia="PMingLiU"/>
          <w:b/>
          <w:spacing w:val="4"/>
          <w:sz w:val="24"/>
          <w:szCs w:val="24"/>
        </w:rPr>
        <w:t>華魯恒升協議項下</w:t>
      </w:r>
      <w:r>
        <w:rPr>
          <w:rFonts w:hint="eastAsia" w:ascii="Times New Roman" w:hAnsi="Times New Roman" w:eastAsia="PMingLiU"/>
          <w:b/>
          <w:spacing w:val="4"/>
          <w:sz w:val="24"/>
          <w:szCs w:val="24"/>
        </w:rPr>
        <w:t>所涉交易</w:t>
      </w:r>
      <w:r>
        <w:rPr>
          <w:rFonts w:ascii="Times New Roman" w:hAnsi="Times New Roman" w:eastAsia="PMingLiU"/>
          <w:b/>
          <w:spacing w:val="4"/>
          <w:sz w:val="24"/>
          <w:szCs w:val="24"/>
        </w:rPr>
        <w:t>二零一八年年度上限的原因</w:t>
      </w:r>
      <w:r>
        <w:rPr>
          <w:rFonts w:hint="eastAsia" w:ascii="Times New Roman" w:hAnsi="Times New Roman" w:eastAsia="PMingLiU"/>
          <w:b/>
          <w:spacing w:val="4"/>
          <w:sz w:val="24"/>
          <w:szCs w:val="24"/>
        </w:rPr>
        <w:t>及好處</w:t>
      </w:r>
    </w:p>
    <w:p>
      <w:pPr>
        <w:widowControl w:val="0"/>
        <w:autoSpaceDE w:val="0"/>
        <w:autoSpaceDN w:val="0"/>
        <w:adjustRightInd w:val="0"/>
        <w:spacing w:after="120" w:line="240" w:lineRule="auto"/>
        <w:ind w:left="110" w:right="48"/>
        <w:jc w:val="both"/>
        <w:rPr>
          <w:rFonts w:ascii="Times New Roman" w:hAnsi="Times New Roman" w:eastAsia="PMingLiU"/>
          <w:sz w:val="24"/>
          <w:szCs w:val="24"/>
        </w:rPr>
      </w:pPr>
      <w:r>
        <w:rPr>
          <w:rFonts w:ascii="Times New Roman" w:hAnsi="Times New Roman" w:eastAsia="PMingLiU"/>
          <w:sz w:val="24"/>
          <w:szCs w:val="24"/>
        </w:rPr>
        <w:t>對華魯恒升協議</w:t>
      </w:r>
      <w:r>
        <w:rPr>
          <w:rFonts w:hint="eastAsia" w:ascii="Times New Roman" w:hAnsi="Times New Roman" w:eastAsia="PMingLiU"/>
          <w:sz w:val="24"/>
          <w:szCs w:val="24"/>
        </w:rPr>
        <w:t>項下交易</w:t>
      </w:r>
      <w:r>
        <w:rPr>
          <w:rFonts w:ascii="Times New Roman" w:hAnsi="Times New Roman" w:eastAsia="PMingLiU"/>
          <w:sz w:val="24"/>
          <w:szCs w:val="24"/>
        </w:rPr>
        <w:t>截至二零一八年十二月三十一日止年度的年度上限</w:t>
      </w:r>
      <w:r>
        <w:rPr>
          <w:rFonts w:hint="eastAsia" w:ascii="Times New Roman" w:hAnsi="Times New Roman" w:eastAsia="PMingLiU"/>
          <w:sz w:val="24"/>
          <w:szCs w:val="24"/>
        </w:rPr>
        <w:t>的</w:t>
      </w:r>
      <w:r>
        <w:rPr>
          <w:rFonts w:ascii="Times New Roman" w:hAnsi="Times New Roman" w:eastAsia="PMingLiU"/>
          <w:sz w:val="24"/>
          <w:szCs w:val="24"/>
        </w:rPr>
        <w:t>建議修訂</w:t>
      </w:r>
      <w:r>
        <w:rPr>
          <w:rFonts w:hint="eastAsia" w:ascii="Times New Roman" w:hAnsi="Times New Roman" w:eastAsia="PMingLiU"/>
          <w:sz w:val="24"/>
          <w:szCs w:val="24"/>
        </w:rPr>
        <w:t>是</w:t>
      </w:r>
      <w:r>
        <w:rPr>
          <w:rFonts w:ascii="Times New Roman" w:hAnsi="Times New Roman" w:eastAsia="PMingLiU"/>
          <w:sz w:val="24"/>
          <w:szCs w:val="24"/>
        </w:rPr>
        <w:t>主要由於</w:t>
      </w:r>
      <w:r>
        <w:rPr>
          <w:rFonts w:hint="eastAsia" w:ascii="Times New Roman" w:hAnsi="Times New Roman" w:eastAsia="PMingLiU"/>
          <w:sz w:val="24"/>
          <w:szCs w:val="24"/>
        </w:rPr>
        <w:t>：</w:t>
      </w:r>
      <w:r>
        <w:rPr>
          <w:rFonts w:ascii="Times New Roman" w:hAnsi="Times New Roman" w:eastAsia="PMingLiU"/>
          <w:sz w:val="24"/>
          <w:szCs w:val="24"/>
        </w:rPr>
        <w:t xml:space="preserve">(i) </w:t>
      </w:r>
      <w:r>
        <w:rPr>
          <w:rFonts w:hint="eastAsia" w:ascii="Times New Roman" w:hAnsi="Times New Roman" w:eastAsia="PMingLiU"/>
          <w:sz w:val="24"/>
          <w:szCs w:val="24"/>
        </w:rPr>
        <w:t>為</w:t>
      </w:r>
      <w:r>
        <w:rPr>
          <w:rFonts w:ascii="Times New Roman" w:hAnsi="Times New Roman" w:eastAsia="PMingLiU"/>
          <w:sz w:val="24"/>
          <w:szCs w:val="24"/>
        </w:rPr>
        <w:t>減低採購</w:t>
      </w:r>
      <w:r>
        <w:rPr>
          <w:rFonts w:hint="eastAsia" w:ascii="Times New Roman" w:hAnsi="Times New Roman" w:eastAsia="PMingLiU"/>
          <w:sz w:val="24"/>
          <w:szCs w:val="24"/>
        </w:rPr>
        <w:t>等中間環節</w:t>
      </w:r>
      <w:r>
        <w:rPr>
          <w:rFonts w:ascii="Times New Roman" w:hAnsi="Times New Roman" w:eastAsia="PMingLiU"/>
          <w:sz w:val="24"/>
          <w:szCs w:val="24"/>
        </w:rPr>
        <w:t>成本</w:t>
      </w:r>
      <w:r>
        <w:rPr>
          <w:rFonts w:hint="eastAsia" w:ascii="Times New Roman" w:hAnsi="Times New Roman" w:eastAsia="PMingLiU"/>
          <w:sz w:val="24"/>
          <w:szCs w:val="24"/>
        </w:rPr>
        <w:t>，</w:t>
      </w:r>
      <w:r>
        <w:rPr>
          <w:rFonts w:ascii="Times New Roman" w:hAnsi="Times New Roman" w:eastAsia="PMingLiU"/>
          <w:spacing w:val="4"/>
          <w:sz w:val="24"/>
          <w:szCs w:val="24"/>
        </w:rPr>
        <w:t>本集團預期於</w:t>
      </w:r>
      <w:r>
        <w:rPr>
          <w:rFonts w:ascii="Times New Roman" w:hAnsi="Times New Roman" w:eastAsia="PMingLiU"/>
          <w:sz w:val="24"/>
          <w:szCs w:val="24"/>
        </w:rPr>
        <w:t>華魯恒升協議項下的</w:t>
      </w:r>
      <w:r>
        <w:rPr>
          <w:rFonts w:hint="eastAsia" w:ascii="Times New Roman" w:hAnsi="Times New Roman" w:eastAsia="PMingLiU"/>
          <w:sz w:val="24"/>
          <w:szCs w:val="24"/>
        </w:rPr>
        <w:t>採購</w:t>
      </w:r>
      <w:r>
        <w:rPr>
          <w:rFonts w:ascii="Times New Roman" w:hAnsi="Times New Roman" w:eastAsia="PMingLiU"/>
          <w:sz w:val="24"/>
          <w:szCs w:val="24"/>
        </w:rPr>
        <w:t>增加，達到約人民幣5</w:t>
      </w:r>
      <w:r>
        <w:rPr>
          <w:rFonts w:hint="eastAsia" w:ascii="Times New Roman" w:hAnsi="Times New Roman"/>
          <w:sz w:val="24"/>
          <w:szCs w:val="24"/>
        </w:rPr>
        <w:t>,</w:t>
      </w:r>
      <w:r>
        <w:rPr>
          <w:rFonts w:ascii="Times New Roman" w:hAnsi="Times New Roman" w:eastAsia="PMingLiU"/>
          <w:sz w:val="24"/>
          <w:szCs w:val="24"/>
        </w:rPr>
        <w:t>000萬元</w:t>
      </w:r>
      <w:r>
        <w:rPr>
          <w:rFonts w:hint="eastAsia" w:ascii="Times New Roman" w:hAnsi="Times New Roman" w:eastAsia="PMingLiU"/>
          <w:sz w:val="24"/>
          <w:szCs w:val="24"/>
        </w:rPr>
        <w:t>；</w:t>
      </w:r>
      <w:r>
        <w:rPr>
          <w:rFonts w:ascii="Times New Roman" w:hAnsi="Times New Roman" w:eastAsia="PMingLiU"/>
          <w:sz w:val="24"/>
          <w:szCs w:val="24"/>
        </w:rPr>
        <w:t>(ii) 可預期化工產品的市場價格與二零一七年相比</w:t>
      </w:r>
      <w:r>
        <w:rPr>
          <w:rFonts w:hint="eastAsia" w:ascii="Times New Roman" w:hAnsi="Times New Roman" w:eastAsia="PMingLiU"/>
          <w:sz w:val="24"/>
          <w:szCs w:val="24"/>
        </w:rPr>
        <w:t>將</w:t>
      </w:r>
      <w:r>
        <w:rPr>
          <w:rFonts w:ascii="Times New Roman" w:hAnsi="Times New Roman" w:eastAsia="PMingLiU"/>
          <w:sz w:val="24"/>
          <w:szCs w:val="24"/>
        </w:rPr>
        <w:t>錄得</w:t>
      </w:r>
      <w:r>
        <w:rPr>
          <w:rFonts w:hint="eastAsia" w:ascii="Times New Roman" w:hAnsi="Times New Roman" w:eastAsia="PMingLiU"/>
          <w:sz w:val="24"/>
          <w:szCs w:val="24"/>
        </w:rPr>
        <w:t>長足</w:t>
      </w:r>
      <w:r>
        <w:rPr>
          <w:rFonts w:ascii="Times New Roman" w:hAnsi="Times New Roman" w:eastAsia="PMingLiU"/>
          <w:sz w:val="24"/>
          <w:szCs w:val="24"/>
        </w:rPr>
        <w:t>升幅，導致華魯恒升協議項下的交易金額預期</w:t>
      </w:r>
      <w:r>
        <w:rPr>
          <w:rFonts w:hint="eastAsia" w:ascii="Times New Roman" w:hAnsi="Times New Roman" w:eastAsia="PMingLiU"/>
          <w:sz w:val="24"/>
          <w:szCs w:val="24"/>
        </w:rPr>
        <w:t>會</w:t>
      </w:r>
      <w:r>
        <w:rPr>
          <w:rFonts w:ascii="Times New Roman" w:hAnsi="Times New Roman" w:eastAsia="PMingLiU"/>
          <w:sz w:val="24"/>
          <w:szCs w:val="24"/>
        </w:rPr>
        <w:t>進一步上升人民幣3</w:t>
      </w:r>
      <w:r>
        <w:rPr>
          <w:rFonts w:hint="eastAsia" w:ascii="Times New Roman" w:hAnsi="Times New Roman"/>
          <w:sz w:val="24"/>
          <w:szCs w:val="24"/>
        </w:rPr>
        <w:t>,</w:t>
      </w:r>
      <w:r>
        <w:rPr>
          <w:rFonts w:ascii="Times New Roman" w:hAnsi="Times New Roman" w:eastAsia="PMingLiU"/>
          <w:sz w:val="24"/>
          <w:szCs w:val="24"/>
        </w:rPr>
        <w:t>000萬元</w:t>
      </w:r>
      <w:r>
        <w:rPr>
          <w:rFonts w:ascii="Times New Roman" w:hAnsi="Times New Roman" w:eastAsia="PMingLiU"/>
          <w:spacing w:val="4"/>
          <w:sz w:val="24"/>
          <w:szCs w:val="24"/>
        </w:rPr>
        <w:t>。</w:t>
      </w:r>
    </w:p>
    <w:p>
      <w:pPr>
        <w:widowControl w:val="0"/>
        <w:autoSpaceDE w:val="0"/>
        <w:autoSpaceDN w:val="0"/>
        <w:adjustRightInd w:val="0"/>
        <w:spacing w:after="120" w:line="240" w:lineRule="auto"/>
        <w:ind w:left="110" w:right="673"/>
        <w:jc w:val="both"/>
        <w:rPr>
          <w:rFonts w:ascii="Times New Roman" w:hAnsi="Times New Roman" w:eastAsia="PMingLiU"/>
          <w:b/>
          <w:bCs/>
          <w:spacing w:val="4"/>
          <w:sz w:val="24"/>
          <w:szCs w:val="24"/>
        </w:rPr>
      </w:pPr>
    </w:p>
    <w:p>
      <w:pPr>
        <w:widowControl w:val="0"/>
        <w:autoSpaceDE w:val="0"/>
        <w:autoSpaceDN w:val="0"/>
        <w:adjustRightInd w:val="0"/>
        <w:spacing w:after="120" w:line="240" w:lineRule="auto"/>
        <w:ind w:left="110" w:right="49"/>
        <w:jc w:val="both"/>
        <w:rPr>
          <w:rFonts w:ascii="Times New Roman" w:hAnsi="Times New Roman" w:eastAsia="PMingLiU"/>
          <w:bCs/>
          <w:spacing w:val="-4"/>
          <w:sz w:val="24"/>
          <w:szCs w:val="24"/>
        </w:rPr>
      </w:pPr>
      <w:r>
        <w:rPr>
          <w:rFonts w:ascii="Times New Roman" w:hAnsi="Times New Roman" w:eastAsia="PMingLiU"/>
          <w:bCs/>
          <w:spacing w:val="-4"/>
          <w:sz w:val="24"/>
          <w:szCs w:val="24"/>
        </w:rPr>
        <w:t>如通函所披露，通過訂立華魯恒升協議，本公司及</w:t>
      </w:r>
      <w:r>
        <w:rPr>
          <w:rFonts w:hint="eastAsia" w:ascii="PMingLiU" w:hAnsi="PMingLiU" w:eastAsia="PMingLiU" w:cs="PMingLiU"/>
          <w:bCs/>
          <w:spacing w:val="-4"/>
          <w:sz w:val="24"/>
          <w:szCs w:val="24"/>
        </w:rPr>
        <w:t>╱</w:t>
      </w:r>
      <w:r>
        <w:rPr>
          <w:rFonts w:ascii="Times New Roman" w:hAnsi="Times New Roman" w:eastAsia="PMingLiU"/>
          <w:bCs/>
          <w:spacing w:val="-4"/>
          <w:sz w:val="24"/>
          <w:szCs w:val="24"/>
        </w:rPr>
        <w:t>或其附屬公司可繼續確保從華魯恒升及</w:t>
      </w:r>
      <w:r>
        <w:rPr>
          <w:rFonts w:hint="eastAsia" w:ascii="PMingLiU" w:hAnsi="PMingLiU" w:eastAsia="PMingLiU" w:cs="PMingLiU"/>
          <w:bCs/>
          <w:spacing w:val="-4"/>
          <w:sz w:val="24"/>
          <w:szCs w:val="24"/>
        </w:rPr>
        <w:t>╱</w:t>
      </w:r>
      <w:r>
        <w:rPr>
          <w:rFonts w:ascii="Times New Roman" w:hAnsi="Times New Roman" w:eastAsia="PMingLiU"/>
          <w:bCs/>
          <w:spacing w:val="-4"/>
          <w:sz w:val="24"/>
          <w:szCs w:val="24"/>
        </w:rPr>
        <w:t>或其附屬公司獲得穩定的化工產品供應，避免產生透過其他人士採購該等產品引致的額外費用。</w:t>
      </w:r>
    </w:p>
    <w:p>
      <w:pPr>
        <w:widowControl w:val="0"/>
        <w:autoSpaceDE w:val="0"/>
        <w:autoSpaceDN w:val="0"/>
        <w:adjustRightInd w:val="0"/>
        <w:spacing w:after="120" w:line="240" w:lineRule="auto"/>
        <w:ind w:left="110" w:right="48"/>
        <w:jc w:val="both"/>
        <w:rPr>
          <w:rFonts w:ascii="Times New Roman" w:hAnsi="Times New Roman" w:eastAsia="PMingLiU"/>
          <w:b/>
          <w:bCs/>
          <w:spacing w:val="-4"/>
          <w:sz w:val="24"/>
          <w:szCs w:val="24"/>
        </w:rPr>
      </w:pPr>
    </w:p>
    <w:p>
      <w:pPr>
        <w:widowControl w:val="0"/>
        <w:autoSpaceDE w:val="0"/>
        <w:autoSpaceDN w:val="0"/>
        <w:adjustRightInd w:val="0"/>
        <w:spacing w:after="120" w:line="240" w:lineRule="auto"/>
        <w:ind w:left="110" w:right="48"/>
        <w:jc w:val="both"/>
        <w:rPr>
          <w:rFonts w:ascii="Times New Roman" w:hAnsi="Times New Roman" w:eastAsia="PMingLiU"/>
          <w:spacing w:val="4"/>
          <w:sz w:val="24"/>
          <w:szCs w:val="24"/>
        </w:rPr>
      </w:pPr>
      <w:r>
        <w:rPr>
          <w:rFonts w:hint="eastAsia" w:ascii="Times New Roman" w:hAnsi="Times New Roman" w:eastAsia="PMingLiU"/>
          <w:spacing w:val="4"/>
          <w:sz w:val="24"/>
          <w:szCs w:val="24"/>
        </w:rPr>
        <w:t>本公司</w:t>
      </w:r>
      <w:r>
        <w:rPr>
          <w:rFonts w:ascii="Times New Roman" w:hAnsi="Times New Roman" w:eastAsia="PMingLiU"/>
          <w:spacing w:val="4"/>
          <w:sz w:val="24"/>
          <w:szCs w:val="24"/>
        </w:rPr>
        <w:t>董事（包括獨立非執行董事）認為，</w:t>
      </w:r>
      <w:r>
        <w:rPr>
          <w:rFonts w:hint="eastAsia" w:ascii="Times New Roman" w:hAnsi="Times New Roman" w:eastAsia="PMingLiU"/>
          <w:spacing w:val="4"/>
          <w:sz w:val="24"/>
          <w:szCs w:val="24"/>
        </w:rPr>
        <w:t>截至二零一八年十二月三十一日止年度</w:t>
      </w:r>
      <w:r>
        <w:rPr>
          <w:rFonts w:ascii="Times New Roman" w:hAnsi="Times New Roman" w:eastAsia="PMingLiU"/>
          <w:sz w:val="24"/>
          <w:szCs w:val="24"/>
        </w:rPr>
        <w:t>華魯恒升協議</w:t>
      </w:r>
      <w:r>
        <w:rPr>
          <w:rFonts w:hint="eastAsia" w:ascii="Times New Roman" w:hAnsi="Times New Roman" w:eastAsia="PMingLiU"/>
          <w:sz w:val="24"/>
          <w:szCs w:val="24"/>
        </w:rPr>
        <w:t>項下持續關連交易的建議修訂年度上限屬公平合理，</w:t>
      </w:r>
      <w:r>
        <w:rPr>
          <w:rFonts w:ascii="Times New Roman" w:hAnsi="Times New Roman" w:eastAsia="PMingLiU"/>
          <w:spacing w:val="4"/>
          <w:sz w:val="24"/>
          <w:szCs w:val="24"/>
        </w:rPr>
        <w:t>於</w:t>
      </w:r>
      <w:r>
        <w:rPr>
          <w:rFonts w:hint="eastAsia" w:ascii="Times New Roman" w:hAnsi="Times New Roman" w:eastAsia="PMingLiU"/>
          <w:spacing w:val="4"/>
          <w:sz w:val="24"/>
          <w:szCs w:val="24"/>
        </w:rPr>
        <w:t>本公司</w:t>
      </w:r>
      <w:r>
        <w:rPr>
          <w:rFonts w:ascii="Times New Roman" w:hAnsi="Times New Roman" w:eastAsia="PMingLiU"/>
          <w:spacing w:val="4"/>
          <w:sz w:val="24"/>
          <w:szCs w:val="24"/>
        </w:rPr>
        <w:t>日常及一般業務過程中</w:t>
      </w:r>
      <w:r>
        <w:rPr>
          <w:rFonts w:hint="eastAsia" w:ascii="Times New Roman" w:hAnsi="Times New Roman" w:eastAsia="PMingLiU"/>
          <w:spacing w:val="4"/>
          <w:sz w:val="24"/>
          <w:szCs w:val="24"/>
        </w:rPr>
        <w:t>訂立</w:t>
      </w:r>
      <w:r>
        <w:rPr>
          <w:rFonts w:ascii="Times New Roman" w:hAnsi="Times New Roman" w:eastAsia="PMingLiU"/>
          <w:spacing w:val="4"/>
          <w:sz w:val="24"/>
          <w:szCs w:val="24"/>
        </w:rPr>
        <w:t>，按正常商業條款</w:t>
      </w:r>
      <w:r>
        <w:rPr>
          <w:rFonts w:hint="eastAsia" w:ascii="Times New Roman" w:hAnsi="Times New Roman" w:eastAsia="PMingLiU"/>
          <w:spacing w:val="4"/>
          <w:sz w:val="24"/>
          <w:szCs w:val="24"/>
        </w:rPr>
        <w:t>進行而且</w:t>
      </w:r>
      <w:r>
        <w:rPr>
          <w:rFonts w:ascii="Times New Roman" w:hAnsi="Times New Roman" w:eastAsia="PMingLiU"/>
          <w:spacing w:val="4"/>
          <w:sz w:val="24"/>
          <w:szCs w:val="24"/>
        </w:rPr>
        <w:t>符合本公司及其股東整體利益。</w:t>
      </w:r>
    </w:p>
    <w:p>
      <w:pPr>
        <w:widowControl w:val="0"/>
        <w:autoSpaceDE w:val="0"/>
        <w:autoSpaceDN w:val="0"/>
        <w:adjustRightInd w:val="0"/>
        <w:spacing w:after="120" w:line="240" w:lineRule="auto"/>
        <w:ind w:left="110" w:right="48"/>
        <w:jc w:val="both"/>
        <w:rPr>
          <w:rFonts w:ascii="Times New Roman" w:hAnsi="Times New Roman" w:eastAsia="PMingLiU"/>
          <w:spacing w:val="4"/>
          <w:sz w:val="24"/>
          <w:szCs w:val="24"/>
        </w:rPr>
      </w:pPr>
    </w:p>
    <w:p>
      <w:pPr>
        <w:widowControl w:val="0"/>
        <w:autoSpaceDE w:val="0"/>
        <w:autoSpaceDN w:val="0"/>
        <w:adjustRightInd w:val="0"/>
        <w:spacing w:after="120" w:line="240" w:lineRule="auto"/>
        <w:ind w:left="110" w:right="48"/>
        <w:jc w:val="both"/>
        <w:rPr>
          <w:rFonts w:ascii="Times New Roman" w:hAnsi="Times New Roman" w:eastAsia="PMingLiU"/>
          <w:bCs/>
          <w:spacing w:val="-4"/>
          <w:sz w:val="24"/>
          <w:szCs w:val="24"/>
        </w:rPr>
      </w:pPr>
      <w:r>
        <w:rPr>
          <w:rFonts w:hint="eastAsia" w:ascii="Times New Roman" w:hAnsi="Times New Roman" w:eastAsia="PMingLiU"/>
          <w:spacing w:val="4"/>
          <w:sz w:val="24"/>
          <w:szCs w:val="24"/>
        </w:rPr>
        <w:t>由於本公司董事張代銘先生、任福龍先生、徐列先生及趙斌先生各自於華魯控股及／或新華集團中任職董事或作為管理層，彼等已就董事會對建議修訂年度上限的決定放棄投票。除已於上述披露外，本公司董事會並不知悉任何其他董事於建議修訂年度上限中擁有重大權益。</w:t>
      </w:r>
    </w:p>
    <w:p>
      <w:pPr>
        <w:widowControl w:val="0"/>
        <w:autoSpaceDE w:val="0"/>
        <w:autoSpaceDN w:val="0"/>
        <w:adjustRightInd w:val="0"/>
        <w:spacing w:after="120" w:line="240" w:lineRule="auto"/>
        <w:ind w:left="110" w:right="673"/>
        <w:jc w:val="both"/>
        <w:rPr>
          <w:rFonts w:ascii="Times New Roman" w:hAnsi="Times New Roman" w:eastAsia="PMingLiU"/>
          <w:b/>
          <w:bCs/>
          <w:spacing w:val="4"/>
          <w:sz w:val="24"/>
          <w:szCs w:val="24"/>
        </w:rPr>
      </w:pPr>
    </w:p>
    <w:p>
      <w:pPr>
        <w:widowControl w:val="0"/>
        <w:autoSpaceDE w:val="0"/>
        <w:autoSpaceDN w:val="0"/>
        <w:adjustRightInd w:val="0"/>
        <w:spacing w:after="120" w:line="240" w:lineRule="auto"/>
        <w:ind w:left="110" w:right="673"/>
        <w:jc w:val="both"/>
        <w:rPr>
          <w:rFonts w:ascii="Times New Roman" w:hAnsi="Times New Roman" w:eastAsia="PMingLiU"/>
          <w:sz w:val="24"/>
          <w:szCs w:val="24"/>
        </w:rPr>
      </w:pPr>
      <w:r>
        <w:rPr>
          <w:rFonts w:ascii="Times New Roman" w:hAnsi="Times New Roman" w:eastAsia="PMingLiU"/>
          <w:b/>
          <w:bCs/>
          <w:sz w:val="24"/>
          <w:szCs w:val="24"/>
        </w:rPr>
        <w:t>上市規則</w:t>
      </w:r>
      <w:r>
        <w:rPr>
          <w:rFonts w:hint="eastAsia" w:ascii="Times New Roman" w:hAnsi="Times New Roman" w:eastAsia="PMingLiU"/>
          <w:b/>
          <w:bCs/>
          <w:sz w:val="24"/>
          <w:szCs w:val="24"/>
        </w:rPr>
        <w:t>下</w:t>
      </w:r>
      <w:r>
        <w:rPr>
          <w:rFonts w:ascii="Times New Roman" w:hAnsi="Times New Roman" w:eastAsia="PMingLiU"/>
          <w:b/>
          <w:bCs/>
          <w:sz w:val="24"/>
          <w:szCs w:val="24"/>
        </w:rPr>
        <w:t>的涵義</w:t>
      </w:r>
    </w:p>
    <w:p>
      <w:pPr>
        <w:widowControl w:val="0"/>
        <w:autoSpaceDE w:val="0"/>
        <w:autoSpaceDN w:val="0"/>
        <w:adjustRightInd w:val="0"/>
        <w:spacing w:after="120" w:line="240" w:lineRule="auto"/>
        <w:ind w:left="110"/>
        <w:jc w:val="both"/>
        <w:rPr>
          <w:rFonts w:ascii="Times New Roman" w:hAnsi="Times New Roman" w:eastAsia="PMingLiU"/>
          <w:spacing w:val="4"/>
          <w:sz w:val="24"/>
          <w:szCs w:val="24"/>
        </w:rPr>
      </w:pPr>
      <w:r>
        <w:rPr>
          <w:rFonts w:ascii="Times New Roman" w:hAnsi="Times New Roman" w:eastAsia="PMingLiU"/>
          <w:spacing w:val="4"/>
          <w:sz w:val="24"/>
          <w:szCs w:val="24"/>
        </w:rPr>
        <w:t>於本公告日期，華魯控股持有新華集團100%股份，</w:t>
      </w:r>
      <w:r>
        <w:rPr>
          <w:rFonts w:hint="eastAsia" w:ascii="Times New Roman" w:hAnsi="Times New Roman" w:eastAsia="PMingLiU"/>
          <w:spacing w:val="4"/>
          <w:sz w:val="24"/>
          <w:szCs w:val="24"/>
        </w:rPr>
        <w:t>而</w:t>
      </w:r>
      <w:r>
        <w:rPr>
          <w:rFonts w:ascii="Times New Roman" w:hAnsi="Times New Roman" w:eastAsia="PMingLiU"/>
          <w:spacing w:val="4"/>
          <w:sz w:val="24"/>
          <w:szCs w:val="24"/>
        </w:rPr>
        <w:t>新華集團持有本公司已發行股本總數的32.94%，為本公司</w:t>
      </w:r>
      <w:r>
        <w:rPr>
          <w:rFonts w:hint="eastAsia" w:ascii="Times New Roman" w:hAnsi="Times New Roman" w:eastAsia="PMingLiU"/>
          <w:spacing w:val="4"/>
          <w:sz w:val="24"/>
          <w:szCs w:val="24"/>
        </w:rPr>
        <w:t>單一</w:t>
      </w:r>
      <w:r>
        <w:rPr>
          <w:rFonts w:ascii="Times New Roman" w:hAnsi="Times New Roman" w:eastAsia="PMingLiU"/>
          <w:spacing w:val="4"/>
          <w:sz w:val="24"/>
          <w:szCs w:val="24"/>
        </w:rPr>
        <w:t>最大股東。華魯控股</w:t>
      </w:r>
      <w:r>
        <w:rPr>
          <w:rFonts w:hint="eastAsia" w:ascii="Times New Roman" w:hAnsi="Times New Roman" w:eastAsia="PMingLiU"/>
          <w:spacing w:val="4"/>
          <w:sz w:val="24"/>
          <w:szCs w:val="24"/>
        </w:rPr>
        <w:t>亦</w:t>
      </w:r>
      <w:r>
        <w:rPr>
          <w:rFonts w:ascii="Times New Roman" w:hAnsi="Times New Roman" w:eastAsia="PMingLiU"/>
          <w:spacing w:val="4"/>
          <w:sz w:val="24"/>
          <w:szCs w:val="24"/>
        </w:rPr>
        <w:t>持有恒升集團100%股份，</w:t>
      </w:r>
      <w:r>
        <w:rPr>
          <w:rFonts w:hint="eastAsia" w:ascii="Times New Roman" w:hAnsi="Times New Roman" w:eastAsia="PMingLiU"/>
          <w:spacing w:val="4"/>
          <w:sz w:val="24"/>
          <w:szCs w:val="24"/>
        </w:rPr>
        <w:t>而</w:t>
      </w:r>
      <w:r>
        <w:rPr>
          <w:rFonts w:ascii="Times New Roman" w:hAnsi="Times New Roman" w:eastAsia="PMingLiU"/>
          <w:spacing w:val="4"/>
          <w:sz w:val="24"/>
          <w:szCs w:val="24"/>
        </w:rPr>
        <w:t>恒升集團持有華魯恒升已發行股本總數32.32%，為華魯恒升最大股東。華魯恒升</w:t>
      </w:r>
      <w:r>
        <w:rPr>
          <w:rFonts w:hint="eastAsia" w:ascii="Times New Roman" w:hAnsi="Times New Roman" w:eastAsia="PMingLiU"/>
          <w:spacing w:val="4"/>
          <w:sz w:val="24"/>
          <w:szCs w:val="24"/>
        </w:rPr>
        <w:t>因而</w:t>
      </w:r>
      <w:r>
        <w:rPr>
          <w:rFonts w:ascii="Times New Roman" w:hAnsi="Times New Roman" w:eastAsia="PMingLiU"/>
          <w:spacing w:val="4"/>
          <w:sz w:val="24"/>
          <w:szCs w:val="24"/>
        </w:rPr>
        <w:t>是華魯控股的聯繫人</w:t>
      </w:r>
      <w:r>
        <w:rPr>
          <w:rFonts w:hint="eastAsia" w:ascii="Times New Roman" w:hAnsi="Times New Roman" w:eastAsia="PMingLiU"/>
          <w:spacing w:val="4"/>
          <w:sz w:val="24"/>
          <w:szCs w:val="24"/>
        </w:rPr>
        <w:t>及</w:t>
      </w:r>
      <w:r>
        <w:rPr>
          <w:rFonts w:ascii="Times New Roman" w:hAnsi="Times New Roman" w:eastAsia="PMingLiU"/>
          <w:spacing w:val="4"/>
          <w:sz w:val="24"/>
          <w:szCs w:val="24"/>
        </w:rPr>
        <w:t>本公司的關連人士</w:t>
      </w:r>
      <w:r>
        <w:rPr>
          <w:rFonts w:hint="eastAsia" w:ascii="Times New Roman" w:hAnsi="Times New Roman" w:eastAsia="PMingLiU"/>
          <w:spacing w:val="4"/>
          <w:sz w:val="24"/>
          <w:szCs w:val="24"/>
        </w:rPr>
        <w:t>。</w:t>
      </w:r>
      <w:r>
        <w:rPr>
          <w:rFonts w:ascii="Times New Roman" w:hAnsi="Times New Roman" w:eastAsia="PMingLiU"/>
          <w:spacing w:val="4"/>
          <w:sz w:val="24"/>
          <w:szCs w:val="24"/>
        </w:rPr>
        <w:t>根據上市規則第14A章，華魯恒升協議項下</w:t>
      </w:r>
      <w:r>
        <w:rPr>
          <w:rFonts w:hint="eastAsia" w:ascii="Times New Roman" w:hAnsi="Times New Roman" w:eastAsia="PMingLiU"/>
          <w:spacing w:val="4"/>
          <w:sz w:val="24"/>
          <w:szCs w:val="24"/>
        </w:rPr>
        <w:t>所訂立</w:t>
      </w:r>
      <w:r>
        <w:rPr>
          <w:rFonts w:ascii="Times New Roman" w:hAnsi="Times New Roman" w:eastAsia="PMingLiU"/>
          <w:spacing w:val="4"/>
          <w:sz w:val="24"/>
          <w:szCs w:val="24"/>
        </w:rPr>
        <w:t>的交易構成持續關連交易。</w:t>
      </w:r>
    </w:p>
    <w:p>
      <w:pPr>
        <w:widowControl w:val="0"/>
        <w:autoSpaceDE w:val="0"/>
        <w:autoSpaceDN w:val="0"/>
        <w:adjustRightInd w:val="0"/>
        <w:spacing w:after="120" w:line="240" w:lineRule="auto"/>
        <w:rPr>
          <w:rFonts w:ascii="Times New Roman" w:hAnsi="Times New Roman" w:eastAsia="PMingLiU"/>
          <w:spacing w:val="4"/>
          <w:sz w:val="24"/>
          <w:szCs w:val="24"/>
        </w:rPr>
      </w:pPr>
    </w:p>
    <w:p>
      <w:pPr>
        <w:widowControl w:val="0"/>
        <w:autoSpaceDE w:val="0"/>
        <w:autoSpaceDN w:val="0"/>
        <w:adjustRightInd w:val="0"/>
        <w:spacing w:after="120" w:line="240" w:lineRule="auto"/>
        <w:ind w:left="110"/>
        <w:jc w:val="both"/>
        <w:rPr>
          <w:rFonts w:ascii="Times New Roman" w:hAnsi="Times New Roman" w:eastAsia="PMingLiU"/>
          <w:sz w:val="24"/>
          <w:szCs w:val="24"/>
        </w:rPr>
      </w:pPr>
      <w:r>
        <w:rPr>
          <w:rFonts w:ascii="Times New Roman" w:hAnsi="Times New Roman" w:eastAsia="PMingLiU"/>
          <w:sz w:val="24"/>
          <w:szCs w:val="24"/>
        </w:rPr>
        <w:t>就華魯恒升協議項下</w:t>
      </w:r>
      <w:r>
        <w:rPr>
          <w:rFonts w:hint="eastAsia" w:ascii="Times New Roman" w:hAnsi="Times New Roman" w:eastAsia="PMingLiU"/>
          <w:sz w:val="24"/>
          <w:szCs w:val="24"/>
        </w:rPr>
        <w:t>交易二零一八年</w:t>
      </w:r>
      <w:r>
        <w:rPr>
          <w:rFonts w:ascii="Times New Roman" w:hAnsi="Times New Roman" w:eastAsia="PMingLiU"/>
          <w:sz w:val="24"/>
          <w:szCs w:val="24"/>
        </w:rPr>
        <w:t>年度上限</w:t>
      </w:r>
      <w:r>
        <w:rPr>
          <w:rFonts w:hint="eastAsia" w:ascii="Times New Roman" w:hAnsi="Times New Roman" w:eastAsia="PMingLiU"/>
          <w:sz w:val="24"/>
          <w:szCs w:val="24"/>
        </w:rPr>
        <w:t>的建議</w:t>
      </w:r>
      <w:r>
        <w:rPr>
          <w:rFonts w:ascii="Times New Roman" w:hAnsi="Times New Roman" w:eastAsia="PMingLiU"/>
          <w:sz w:val="24"/>
          <w:szCs w:val="24"/>
        </w:rPr>
        <w:t>修訂而言，</w:t>
      </w:r>
      <w:r>
        <w:rPr>
          <w:rFonts w:hint="eastAsia" w:ascii="Times New Roman" w:hAnsi="Times New Roman" w:eastAsia="PMingLiU"/>
          <w:sz w:val="24"/>
          <w:szCs w:val="24"/>
        </w:rPr>
        <w:t>由於一個或多個</w:t>
      </w:r>
      <w:r>
        <w:rPr>
          <w:rFonts w:ascii="Times New Roman" w:hAnsi="Times New Roman" w:eastAsia="PMingLiU"/>
          <w:sz w:val="24"/>
          <w:szCs w:val="24"/>
        </w:rPr>
        <w:t>適用百分比率（定義見上市規則第14A章）超過</w:t>
      </w:r>
      <w:r>
        <w:rPr>
          <w:rFonts w:ascii="Times New Roman" w:hAnsi="Times New Roman" w:eastAsia="PMingLiU"/>
          <w:bCs/>
          <w:spacing w:val="4"/>
          <w:sz w:val="24"/>
          <w:szCs w:val="24"/>
        </w:rPr>
        <w:t>5</w:t>
      </w:r>
      <w:r>
        <w:rPr>
          <w:rFonts w:ascii="Times New Roman" w:hAnsi="Times New Roman" w:eastAsia="PMingLiU"/>
          <w:sz w:val="24"/>
          <w:szCs w:val="24"/>
        </w:rPr>
        <w:t>%，</w:t>
      </w:r>
      <w:r>
        <w:rPr>
          <w:rFonts w:hint="eastAsia" w:ascii="Times New Roman" w:hAnsi="Times New Roman" w:eastAsia="PMingLiU"/>
          <w:sz w:val="24"/>
          <w:szCs w:val="24"/>
        </w:rPr>
        <w:t>建議</w:t>
      </w:r>
      <w:r>
        <w:rPr>
          <w:rFonts w:ascii="Times New Roman" w:hAnsi="Times New Roman" w:eastAsia="PMingLiU"/>
          <w:sz w:val="24"/>
          <w:szCs w:val="24"/>
        </w:rPr>
        <w:t>修訂年度上限須遵守香港上市規則第14A章項下的</w:t>
      </w:r>
      <w:r>
        <w:rPr>
          <w:rFonts w:hint="eastAsia" w:ascii="Times New Roman" w:hAnsi="Times New Roman" w:eastAsia="PMingLiU"/>
          <w:sz w:val="24"/>
          <w:szCs w:val="24"/>
        </w:rPr>
        <w:t>通</w:t>
      </w:r>
      <w:r>
        <w:rPr>
          <w:rFonts w:ascii="Times New Roman" w:hAnsi="Times New Roman" w:eastAsia="PMingLiU"/>
          <w:sz w:val="24"/>
          <w:szCs w:val="24"/>
        </w:rPr>
        <w:t>報、年度申報</w:t>
      </w:r>
      <w:r>
        <w:rPr>
          <w:rFonts w:hint="eastAsia" w:ascii="Times New Roman" w:hAnsi="Times New Roman" w:eastAsia="PMingLiU"/>
          <w:sz w:val="24"/>
          <w:szCs w:val="24"/>
        </w:rPr>
        <w:t>、</w:t>
      </w:r>
      <w:r>
        <w:rPr>
          <w:rFonts w:ascii="Times New Roman" w:hAnsi="Times New Roman" w:eastAsia="PMingLiU"/>
          <w:sz w:val="24"/>
          <w:szCs w:val="24"/>
        </w:rPr>
        <w:t>公告</w:t>
      </w:r>
      <w:r>
        <w:rPr>
          <w:rFonts w:hint="eastAsia" w:ascii="Times New Roman" w:hAnsi="Times New Roman" w:eastAsia="PMingLiU"/>
          <w:sz w:val="24"/>
          <w:szCs w:val="24"/>
        </w:rPr>
        <w:t>及無利益關係股東批准</w:t>
      </w:r>
      <w:r>
        <w:rPr>
          <w:rFonts w:ascii="Times New Roman" w:hAnsi="Times New Roman" w:eastAsia="PMingLiU"/>
          <w:sz w:val="24"/>
          <w:szCs w:val="24"/>
        </w:rPr>
        <w:t>的規定。</w:t>
      </w:r>
      <w:r>
        <w:rPr>
          <w:rFonts w:hint="eastAsia" w:ascii="Times New Roman" w:hAnsi="Times New Roman" w:eastAsia="PMingLiU"/>
          <w:sz w:val="24"/>
          <w:szCs w:val="24"/>
        </w:rPr>
        <w:t>同時，就上述交易的建議經修訂</w:t>
      </w:r>
      <w:r>
        <w:rPr>
          <w:rFonts w:ascii="Times New Roman" w:hAnsi="Times New Roman" w:eastAsia="PMingLiU"/>
          <w:sz w:val="24"/>
          <w:szCs w:val="24"/>
        </w:rPr>
        <w:t>2018</w:t>
      </w:r>
      <w:r>
        <w:rPr>
          <w:rFonts w:hint="eastAsia" w:ascii="Times New Roman" w:hAnsi="Times New Roman" w:eastAsia="PMingLiU"/>
          <w:sz w:val="24"/>
          <w:szCs w:val="24"/>
        </w:rPr>
        <w:t>年年度上限由於一個或多個</w:t>
      </w:r>
      <w:r>
        <w:rPr>
          <w:rFonts w:ascii="Times New Roman" w:hAnsi="Times New Roman" w:eastAsia="PMingLiU"/>
          <w:sz w:val="24"/>
          <w:szCs w:val="24"/>
        </w:rPr>
        <w:t>適用百分比率（定義見上市規則第14A章）超過</w:t>
      </w:r>
      <w:r>
        <w:rPr>
          <w:rFonts w:hint="eastAsia" w:ascii="Times New Roman" w:hAnsi="Times New Roman" w:eastAsia="PMingLiU"/>
          <w:sz w:val="24"/>
          <w:szCs w:val="24"/>
        </w:rPr>
        <w:t>5%但低於25%，有關交易因而亦構成本集團的須予披露交易</w:t>
      </w:r>
      <w:r>
        <w:rPr>
          <w:rFonts w:ascii="Times New Roman" w:hAnsi="Times New Roman" w:eastAsia="PMingLiU"/>
          <w:sz w:val="24"/>
          <w:szCs w:val="24"/>
        </w:rPr>
        <w:t>（定義見上市規則）</w:t>
      </w:r>
      <w:r>
        <w:rPr>
          <w:rFonts w:hint="eastAsia" w:ascii="Times New Roman" w:hAnsi="Times New Roman" w:eastAsia="PMingLiU"/>
          <w:sz w:val="24"/>
          <w:szCs w:val="24"/>
        </w:rPr>
        <w:t>。</w:t>
      </w:r>
    </w:p>
    <w:p>
      <w:pPr>
        <w:widowControl w:val="0"/>
        <w:autoSpaceDE w:val="0"/>
        <w:autoSpaceDN w:val="0"/>
        <w:adjustRightInd w:val="0"/>
        <w:spacing w:after="120" w:line="240" w:lineRule="auto"/>
        <w:ind w:left="110"/>
        <w:jc w:val="both"/>
        <w:rPr>
          <w:rFonts w:ascii="Times New Roman" w:hAnsi="Times New Roman" w:eastAsia="PMingLiU"/>
          <w:sz w:val="24"/>
          <w:szCs w:val="24"/>
        </w:rPr>
      </w:pPr>
    </w:p>
    <w:p>
      <w:pPr>
        <w:widowControl w:val="0"/>
        <w:autoSpaceDE w:val="0"/>
        <w:autoSpaceDN w:val="0"/>
        <w:adjustRightInd w:val="0"/>
        <w:spacing w:after="120" w:line="240" w:lineRule="auto"/>
        <w:ind w:left="110"/>
        <w:jc w:val="both"/>
        <w:rPr>
          <w:rFonts w:ascii="Times New Roman" w:hAnsi="Times New Roman" w:eastAsia="PMingLiU"/>
          <w:spacing w:val="4"/>
          <w:sz w:val="24"/>
          <w:szCs w:val="24"/>
        </w:rPr>
      </w:pPr>
      <w:r>
        <w:rPr>
          <w:rFonts w:hint="eastAsia" w:ascii="Times New Roman" w:hAnsi="Times New Roman" w:eastAsia="PMingLiU"/>
          <w:spacing w:val="4"/>
          <w:sz w:val="24"/>
          <w:szCs w:val="24"/>
        </w:rPr>
        <w:t>經一切合理查詢後，就董事所盡悉、深知及確信，本集團與</w:t>
      </w:r>
      <w:r>
        <w:rPr>
          <w:rFonts w:ascii="Times New Roman" w:hAnsi="Times New Roman" w:eastAsia="PMingLiU"/>
          <w:sz w:val="24"/>
          <w:szCs w:val="24"/>
        </w:rPr>
        <w:t>華魯恒升</w:t>
      </w:r>
      <w:r>
        <w:rPr>
          <w:rFonts w:hint="eastAsia" w:ascii="Times New Roman" w:hAnsi="Times New Roman" w:eastAsia="PMingLiU"/>
          <w:sz w:val="24"/>
          <w:szCs w:val="24"/>
        </w:rPr>
        <w:t>及其最終實益擁有人或相關人士於本公告日期起十二個月內概無訂立其他交易，其須連同對華魯恒升協議項下交易二零一八年年度上限的建議修訂於上市規則第14A.81條項下被視為一系列交易及猶如彼等構成同一項交易。</w:t>
      </w:r>
    </w:p>
    <w:p>
      <w:pPr>
        <w:widowControl w:val="0"/>
        <w:autoSpaceDE w:val="0"/>
        <w:autoSpaceDN w:val="0"/>
        <w:adjustRightInd w:val="0"/>
        <w:spacing w:after="120" w:line="240" w:lineRule="auto"/>
        <w:ind w:left="110" w:right="49"/>
        <w:jc w:val="both"/>
        <w:rPr>
          <w:rFonts w:ascii="Times New Roman" w:hAnsi="Times New Roman" w:eastAsia="PMingLiU"/>
          <w:b/>
          <w:bCs/>
          <w:spacing w:val="-4"/>
          <w:sz w:val="24"/>
          <w:szCs w:val="24"/>
        </w:rPr>
      </w:pPr>
    </w:p>
    <w:p>
      <w:pPr>
        <w:widowControl w:val="0"/>
        <w:autoSpaceDE w:val="0"/>
        <w:autoSpaceDN w:val="0"/>
        <w:adjustRightInd w:val="0"/>
        <w:spacing w:after="120" w:line="240" w:lineRule="auto"/>
        <w:ind w:left="110"/>
        <w:rPr>
          <w:rFonts w:ascii="Times New Roman" w:hAnsi="Times New Roman" w:eastAsia="PMingLiU"/>
          <w:sz w:val="24"/>
          <w:szCs w:val="24"/>
        </w:rPr>
      </w:pPr>
      <w:r>
        <w:rPr>
          <w:rFonts w:ascii="Times New Roman" w:hAnsi="Times New Roman" w:eastAsia="PMingLiU"/>
          <w:b/>
          <w:bCs/>
          <w:spacing w:val="-4"/>
          <w:sz w:val="24"/>
          <w:szCs w:val="24"/>
        </w:rPr>
        <w:t>有關華魯恒升的資料</w:t>
      </w:r>
    </w:p>
    <w:p>
      <w:pPr>
        <w:widowControl w:val="0"/>
        <w:autoSpaceDE w:val="0"/>
        <w:autoSpaceDN w:val="0"/>
        <w:adjustRightInd w:val="0"/>
        <w:spacing w:after="120" w:line="240" w:lineRule="auto"/>
        <w:ind w:left="110"/>
        <w:rPr>
          <w:rFonts w:ascii="Times New Roman" w:hAnsi="Times New Roman" w:eastAsia="PMingLiU"/>
          <w:sz w:val="24"/>
          <w:szCs w:val="24"/>
        </w:rPr>
      </w:pPr>
      <w:r>
        <w:rPr>
          <w:rFonts w:ascii="Times New Roman" w:hAnsi="Times New Roman" w:eastAsia="PMingLiU"/>
          <w:spacing w:val="4"/>
          <w:sz w:val="24"/>
          <w:szCs w:val="24"/>
        </w:rPr>
        <w:t>華魯恒升主要從事化工產品的生產</w:t>
      </w:r>
      <w:r>
        <w:rPr>
          <w:rFonts w:hint="eastAsia" w:ascii="Times New Roman" w:hAnsi="Times New Roman" w:eastAsia="PMingLiU"/>
          <w:spacing w:val="4"/>
          <w:sz w:val="24"/>
          <w:szCs w:val="24"/>
        </w:rPr>
        <w:t>及</w:t>
      </w:r>
      <w:r>
        <w:rPr>
          <w:rFonts w:ascii="Times New Roman" w:hAnsi="Times New Roman" w:eastAsia="PMingLiU"/>
          <w:spacing w:val="4"/>
          <w:sz w:val="24"/>
          <w:szCs w:val="24"/>
        </w:rPr>
        <w:t>銷售。</w:t>
      </w:r>
    </w:p>
    <w:p>
      <w:pPr>
        <w:widowControl w:val="0"/>
        <w:autoSpaceDE w:val="0"/>
        <w:autoSpaceDN w:val="0"/>
        <w:adjustRightInd w:val="0"/>
        <w:spacing w:after="120" w:line="240" w:lineRule="auto"/>
        <w:rPr>
          <w:rFonts w:ascii="Times New Roman" w:hAnsi="Times New Roman" w:eastAsia="PMingLiU"/>
          <w:sz w:val="24"/>
          <w:szCs w:val="24"/>
        </w:rPr>
      </w:pPr>
    </w:p>
    <w:p>
      <w:pPr>
        <w:widowControl w:val="0"/>
        <w:autoSpaceDE w:val="0"/>
        <w:autoSpaceDN w:val="0"/>
        <w:adjustRightInd w:val="0"/>
        <w:spacing w:after="120" w:line="240" w:lineRule="auto"/>
        <w:ind w:left="110" w:right="49"/>
        <w:jc w:val="both"/>
        <w:rPr>
          <w:rFonts w:ascii="Times New Roman" w:hAnsi="Times New Roman" w:eastAsia="PMingLiU"/>
          <w:b/>
          <w:bCs/>
          <w:spacing w:val="-4"/>
          <w:sz w:val="24"/>
          <w:szCs w:val="24"/>
        </w:rPr>
      </w:pPr>
      <w:r>
        <w:rPr>
          <w:rFonts w:ascii="Times New Roman" w:hAnsi="Times New Roman" w:eastAsia="PMingLiU"/>
          <w:b/>
          <w:bCs/>
          <w:spacing w:val="-4"/>
          <w:sz w:val="24"/>
          <w:szCs w:val="24"/>
        </w:rPr>
        <w:t>有關本集團的資料</w:t>
      </w:r>
    </w:p>
    <w:p>
      <w:pPr>
        <w:widowControl w:val="0"/>
        <w:autoSpaceDE w:val="0"/>
        <w:autoSpaceDN w:val="0"/>
        <w:adjustRightInd w:val="0"/>
        <w:spacing w:after="120" w:line="240" w:lineRule="auto"/>
        <w:ind w:left="110" w:right="49"/>
        <w:jc w:val="both"/>
        <w:rPr>
          <w:rFonts w:ascii="Times New Roman" w:hAnsi="Times New Roman" w:eastAsia="PMingLiU"/>
          <w:bCs/>
          <w:spacing w:val="-4"/>
          <w:sz w:val="24"/>
          <w:szCs w:val="24"/>
        </w:rPr>
      </w:pPr>
      <w:r>
        <w:rPr>
          <w:rFonts w:ascii="Times New Roman" w:hAnsi="Times New Roman" w:eastAsia="PMingLiU"/>
          <w:bCs/>
          <w:spacing w:val="-4"/>
          <w:sz w:val="24"/>
          <w:szCs w:val="24"/>
        </w:rPr>
        <w:t>本公司為根據中國法律成立的股份有限公司，其H股及A股分別於香港聯交所主板及深交所上市。</w:t>
      </w:r>
      <w:r>
        <w:rPr>
          <w:rFonts w:hint="eastAsia" w:ascii="Times New Roman" w:hAnsi="Times New Roman" w:eastAsia="PMingLiU"/>
          <w:bCs/>
          <w:spacing w:val="-4"/>
          <w:sz w:val="24"/>
          <w:szCs w:val="24"/>
        </w:rPr>
        <w:t>本集團主要從事化學原料藥、製劑及化學產品之開發、製造及銷售。</w:t>
      </w:r>
    </w:p>
    <w:p>
      <w:pPr>
        <w:widowControl w:val="0"/>
        <w:autoSpaceDE w:val="0"/>
        <w:autoSpaceDN w:val="0"/>
        <w:adjustRightInd w:val="0"/>
        <w:spacing w:after="120" w:line="240" w:lineRule="auto"/>
        <w:ind w:left="110" w:right="49"/>
        <w:jc w:val="both"/>
        <w:rPr>
          <w:rFonts w:ascii="Times New Roman" w:hAnsi="Times New Roman" w:eastAsia="PMingLiU"/>
          <w:bCs/>
          <w:spacing w:val="-4"/>
          <w:sz w:val="24"/>
          <w:szCs w:val="24"/>
        </w:rPr>
      </w:pPr>
    </w:p>
    <w:p>
      <w:pPr>
        <w:widowControl w:val="0"/>
        <w:autoSpaceDE w:val="0"/>
        <w:autoSpaceDN w:val="0"/>
        <w:adjustRightInd w:val="0"/>
        <w:spacing w:after="120" w:line="240" w:lineRule="auto"/>
        <w:ind w:left="110" w:right="49"/>
        <w:jc w:val="both"/>
        <w:rPr>
          <w:rFonts w:ascii="Times New Roman" w:hAnsi="Times New Roman" w:eastAsia="PMingLiU"/>
          <w:b/>
          <w:spacing w:val="4"/>
          <w:sz w:val="24"/>
          <w:szCs w:val="24"/>
        </w:rPr>
      </w:pPr>
      <w:r>
        <w:rPr>
          <w:rFonts w:ascii="Times New Roman" w:hAnsi="Times New Roman" w:eastAsia="PMingLiU"/>
          <w:b/>
          <w:spacing w:val="4"/>
          <w:sz w:val="24"/>
          <w:szCs w:val="24"/>
        </w:rPr>
        <w:t>一般資料</w:t>
      </w:r>
    </w:p>
    <w:p>
      <w:pPr>
        <w:widowControl w:val="0"/>
        <w:autoSpaceDE w:val="0"/>
        <w:autoSpaceDN w:val="0"/>
        <w:adjustRightInd w:val="0"/>
        <w:spacing w:after="120" w:line="240" w:lineRule="auto"/>
        <w:ind w:left="110" w:right="49"/>
        <w:jc w:val="both"/>
        <w:rPr>
          <w:rFonts w:ascii="Times New Roman" w:hAnsi="Times New Roman" w:eastAsia="PMingLiU"/>
          <w:spacing w:val="4"/>
          <w:sz w:val="24"/>
          <w:szCs w:val="24"/>
        </w:rPr>
      </w:pPr>
      <w:r>
        <w:rPr>
          <w:rFonts w:hint="eastAsia" w:ascii="Times New Roman" w:hAnsi="Times New Roman" w:eastAsia="PMingLiU"/>
          <w:bCs/>
          <w:spacing w:val="-4"/>
          <w:sz w:val="24"/>
          <w:szCs w:val="24"/>
        </w:rPr>
        <w:t>本公司將召開並舉行股東大會，議題包括以</w:t>
      </w:r>
      <w:r>
        <w:rPr>
          <w:rFonts w:hint="eastAsia" w:ascii="Times New Roman" w:hAnsi="Times New Roman" w:eastAsia="PMingLiU"/>
          <w:sz w:val="24"/>
          <w:szCs w:val="24"/>
        </w:rPr>
        <w:t>就</w:t>
      </w:r>
      <w:r>
        <w:rPr>
          <w:rFonts w:ascii="Times New Roman" w:hAnsi="Times New Roman" w:eastAsia="PMingLiU"/>
          <w:sz w:val="24"/>
          <w:szCs w:val="24"/>
        </w:rPr>
        <w:t>華魯恒升協議</w:t>
      </w:r>
      <w:r>
        <w:rPr>
          <w:rFonts w:hint="eastAsia" w:ascii="Times New Roman" w:hAnsi="Times New Roman" w:eastAsia="PMingLiU"/>
          <w:sz w:val="24"/>
          <w:szCs w:val="24"/>
        </w:rPr>
        <w:t>項下交易建議修訂二零一八年年度上限</w:t>
      </w:r>
      <w:r>
        <w:rPr>
          <w:rFonts w:hint="eastAsia" w:ascii="Times New Roman" w:hAnsi="Times New Roman" w:eastAsia="PMingLiU"/>
          <w:bCs/>
          <w:spacing w:val="-4"/>
          <w:sz w:val="24"/>
          <w:szCs w:val="24"/>
        </w:rPr>
        <w:t>尋求</w:t>
      </w:r>
      <w:r>
        <w:rPr>
          <w:rFonts w:hint="eastAsia" w:ascii="Times New Roman" w:hAnsi="Times New Roman" w:eastAsia="PMingLiU"/>
          <w:sz w:val="24"/>
          <w:szCs w:val="24"/>
        </w:rPr>
        <w:t>無利益關係股東批准。</w:t>
      </w:r>
      <w:r>
        <w:rPr>
          <w:rFonts w:hint="eastAsia" w:ascii="Times New Roman" w:hAnsi="Times New Roman" w:eastAsia="PMingLiU"/>
          <w:spacing w:val="4"/>
          <w:sz w:val="24"/>
          <w:szCs w:val="24"/>
        </w:rPr>
        <w:t>新華集團及維斌有限公司（截至本公告日期分別為華魯控股的直接及間接附屬公司並分別持有本公司已發行股份的</w:t>
      </w:r>
      <w:r>
        <w:rPr>
          <w:rFonts w:ascii="Times New Roman" w:hAnsi="Times New Roman"/>
          <w:color w:val="231F20"/>
          <w:spacing w:val="4"/>
        </w:rPr>
        <w:t>32.94%</w:t>
      </w:r>
      <w:r>
        <w:rPr>
          <w:rFonts w:hint="eastAsia" w:ascii="Times New Roman" w:hAnsi="Times New Roman"/>
          <w:color w:val="231F20"/>
          <w:spacing w:val="4"/>
        </w:rPr>
        <w:t>及2.86%</w:t>
      </w:r>
      <w:r>
        <w:rPr>
          <w:rFonts w:hint="eastAsia" w:ascii="Times New Roman" w:hAnsi="Times New Roman" w:eastAsia="PMingLiU"/>
          <w:spacing w:val="4"/>
          <w:sz w:val="24"/>
          <w:szCs w:val="24"/>
        </w:rPr>
        <w:t>）須就有關上述建議修訂年度上限棄權投票。</w:t>
      </w:r>
    </w:p>
    <w:p>
      <w:pPr>
        <w:widowControl w:val="0"/>
        <w:autoSpaceDE w:val="0"/>
        <w:autoSpaceDN w:val="0"/>
        <w:adjustRightInd w:val="0"/>
        <w:spacing w:after="120" w:line="240" w:lineRule="auto"/>
        <w:ind w:left="110" w:right="49"/>
        <w:jc w:val="both"/>
        <w:rPr>
          <w:rFonts w:ascii="Times New Roman" w:hAnsi="Times New Roman" w:eastAsia="PMingLiU"/>
          <w:spacing w:val="4"/>
          <w:sz w:val="24"/>
          <w:szCs w:val="24"/>
        </w:rPr>
      </w:pPr>
    </w:p>
    <w:p>
      <w:pPr>
        <w:widowControl w:val="0"/>
        <w:autoSpaceDE w:val="0"/>
        <w:autoSpaceDN w:val="0"/>
        <w:adjustRightInd w:val="0"/>
        <w:spacing w:after="120" w:line="240" w:lineRule="auto"/>
        <w:ind w:left="110" w:right="49"/>
        <w:jc w:val="both"/>
        <w:rPr>
          <w:rFonts w:ascii="Times New Roman" w:hAnsi="Times New Roman" w:eastAsia="PMingLiU"/>
          <w:spacing w:val="4"/>
          <w:sz w:val="24"/>
          <w:szCs w:val="24"/>
        </w:rPr>
      </w:pPr>
      <w:r>
        <w:rPr>
          <w:rFonts w:hint="eastAsia" w:ascii="Times New Roman" w:hAnsi="Times New Roman" w:eastAsia="PMingLiU"/>
          <w:spacing w:val="4"/>
          <w:sz w:val="24"/>
          <w:szCs w:val="24"/>
        </w:rPr>
        <w:t>董事會將委任由獨立非執行董事組成的獨立董事委員會，以就上述事項向無利</w:t>
      </w:r>
      <w:r>
        <w:rPr>
          <w:rFonts w:hint="eastAsia" w:ascii="Times New Roman" w:hAnsi="Times New Roman" w:eastAsia="PMingLiU"/>
          <w:sz w:val="24"/>
          <w:szCs w:val="24"/>
        </w:rPr>
        <w:t>益</w:t>
      </w:r>
      <w:r>
        <w:rPr>
          <w:rFonts w:hint="eastAsia" w:ascii="Times New Roman" w:hAnsi="Times New Roman" w:eastAsia="PMingLiU"/>
          <w:spacing w:val="4"/>
          <w:sz w:val="24"/>
          <w:szCs w:val="24"/>
        </w:rPr>
        <w:t>關係股東提出考慮及建議。</w:t>
      </w:r>
    </w:p>
    <w:p>
      <w:pPr>
        <w:widowControl w:val="0"/>
        <w:autoSpaceDE w:val="0"/>
        <w:autoSpaceDN w:val="0"/>
        <w:adjustRightInd w:val="0"/>
        <w:spacing w:after="120" w:line="240" w:lineRule="auto"/>
        <w:ind w:left="110" w:right="49"/>
        <w:jc w:val="both"/>
        <w:rPr>
          <w:rFonts w:ascii="Times New Roman" w:hAnsi="Times New Roman" w:eastAsia="PMingLiU"/>
          <w:bCs/>
          <w:spacing w:val="-4"/>
          <w:sz w:val="24"/>
          <w:szCs w:val="24"/>
        </w:rPr>
      </w:pPr>
    </w:p>
    <w:p>
      <w:pPr>
        <w:widowControl w:val="0"/>
        <w:autoSpaceDE w:val="0"/>
        <w:autoSpaceDN w:val="0"/>
        <w:adjustRightInd w:val="0"/>
        <w:spacing w:after="120" w:line="240" w:lineRule="auto"/>
        <w:ind w:left="110" w:right="49"/>
        <w:jc w:val="both"/>
        <w:rPr>
          <w:rFonts w:ascii="Times New Roman" w:hAnsi="Times New Roman" w:eastAsia="PMingLiU"/>
          <w:sz w:val="24"/>
          <w:szCs w:val="24"/>
        </w:rPr>
      </w:pPr>
      <w:r>
        <w:rPr>
          <w:rFonts w:hint="eastAsia" w:ascii="Times New Roman" w:hAnsi="Times New Roman" w:eastAsia="PMingLiU"/>
          <w:sz w:val="24"/>
          <w:szCs w:val="24"/>
        </w:rPr>
        <w:t>本公司將委任獨立財務顧問，以就</w:t>
      </w:r>
      <w:r>
        <w:rPr>
          <w:rFonts w:ascii="Times New Roman" w:hAnsi="Times New Roman" w:eastAsia="PMingLiU"/>
          <w:sz w:val="24"/>
          <w:szCs w:val="24"/>
        </w:rPr>
        <w:t>華魯恒升協議</w:t>
      </w:r>
      <w:r>
        <w:rPr>
          <w:rFonts w:hint="eastAsia" w:ascii="Times New Roman" w:hAnsi="Times New Roman" w:eastAsia="PMingLiU"/>
          <w:sz w:val="24"/>
          <w:szCs w:val="24"/>
        </w:rPr>
        <w:t>項下交易的二零一八年年度上限建議修訂向獨立董事委員會及</w:t>
      </w:r>
      <w:r>
        <w:rPr>
          <w:rFonts w:hint="eastAsia" w:ascii="Times New Roman" w:hAnsi="Times New Roman" w:eastAsia="PMingLiU"/>
          <w:spacing w:val="4"/>
          <w:sz w:val="24"/>
          <w:szCs w:val="24"/>
        </w:rPr>
        <w:t>無</w:t>
      </w:r>
      <w:r>
        <w:rPr>
          <w:rFonts w:hint="eastAsia" w:ascii="Times New Roman" w:hAnsi="Times New Roman" w:eastAsia="PMingLiU"/>
          <w:sz w:val="24"/>
          <w:szCs w:val="24"/>
        </w:rPr>
        <w:t>利益關係股東作出建議。</w:t>
      </w:r>
    </w:p>
    <w:p>
      <w:pPr>
        <w:widowControl w:val="0"/>
        <w:autoSpaceDE w:val="0"/>
        <w:autoSpaceDN w:val="0"/>
        <w:adjustRightInd w:val="0"/>
        <w:spacing w:after="120" w:line="240" w:lineRule="auto"/>
        <w:ind w:left="110" w:right="49"/>
        <w:jc w:val="both"/>
        <w:rPr>
          <w:rFonts w:ascii="Times New Roman" w:hAnsi="Times New Roman" w:eastAsia="PMingLiU"/>
          <w:sz w:val="24"/>
          <w:szCs w:val="24"/>
        </w:rPr>
      </w:pPr>
    </w:p>
    <w:p>
      <w:pPr>
        <w:widowControl w:val="0"/>
        <w:autoSpaceDE w:val="0"/>
        <w:autoSpaceDN w:val="0"/>
        <w:adjustRightInd w:val="0"/>
        <w:spacing w:after="120" w:line="240" w:lineRule="auto"/>
        <w:ind w:left="110" w:right="49"/>
        <w:jc w:val="both"/>
        <w:rPr>
          <w:rFonts w:ascii="Times New Roman" w:hAnsi="Times New Roman" w:eastAsia="PMingLiU"/>
          <w:sz w:val="24"/>
          <w:szCs w:val="24"/>
        </w:rPr>
      </w:pPr>
      <w:r>
        <w:rPr>
          <w:rFonts w:hint="eastAsia" w:ascii="Times New Roman" w:hAnsi="Times New Roman" w:eastAsia="PMingLiU"/>
          <w:sz w:val="24"/>
          <w:szCs w:val="24"/>
        </w:rPr>
        <w:t>一份載有包括 (</w:t>
      </w:r>
      <w:r>
        <w:rPr>
          <w:rFonts w:ascii="Times New Roman" w:hAnsi="Times New Roman" w:eastAsia="PMingLiU"/>
          <w:sz w:val="24"/>
          <w:szCs w:val="24"/>
        </w:rPr>
        <w:t>i)</w:t>
      </w:r>
      <w:r>
        <w:rPr>
          <w:rFonts w:hint="eastAsia" w:ascii="Times New Roman" w:hAnsi="Times New Roman" w:eastAsia="PMingLiU"/>
          <w:sz w:val="24"/>
          <w:szCs w:val="24"/>
        </w:rPr>
        <w:t>就</w:t>
      </w:r>
      <w:r>
        <w:rPr>
          <w:rFonts w:ascii="Times New Roman" w:hAnsi="Times New Roman" w:eastAsia="PMingLiU"/>
          <w:sz w:val="24"/>
          <w:szCs w:val="24"/>
        </w:rPr>
        <w:t>華魯恒升協議</w:t>
      </w:r>
      <w:r>
        <w:rPr>
          <w:rFonts w:hint="eastAsia" w:ascii="Times New Roman" w:hAnsi="Times New Roman" w:eastAsia="PMingLiU"/>
          <w:sz w:val="24"/>
          <w:szCs w:val="24"/>
        </w:rPr>
        <w:t>項下交易二零一八年年度上限的建議修訂； (</w:t>
      </w:r>
      <w:r>
        <w:rPr>
          <w:rFonts w:ascii="Times New Roman" w:hAnsi="Times New Roman" w:eastAsia="PMingLiU"/>
          <w:sz w:val="24"/>
          <w:szCs w:val="24"/>
        </w:rPr>
        <w:t>ii)</w:t>
      </w:r>
      <w:r>
        <w:rPr>
          <w:rFonts w:hint="eastAsia" w:ascii="Times New Roman" w:hAnsi="Times New Roman" w:eastAsia="PMingLiU"/>
          <w:sz w:val="24"/>
          <w:szCs w:val="24"/>
        </w:rPr>
        <w:t>獨立董事委員會致</w:t>
      </w:r>
      <w:r>
        <w:rPr>
          <w:rFonts w:hint="eastAsia" w:ascii="Times New Roman" w:hAnsi="Times New Roman" w:eastAsia="PMingLiU"/>
          <w:spacing w:val="4"/>
          <w:sz w:val="24"/>
          <w:szCs w:val="24"/>
        </w:rPr>
        <w:t>無</w:t>
      </w:r>
      <w:r>
        <w:rPr>
          <w:rFonts w:hint="eastAsia" w:ascii="Times New Roman" w:hAnsi="Times New Roman" w:eastAsia="PMingLiU"/>
          <w:sz w:val="24"/>
          <w:szCs w:val="24"/>
        </w:rPr>
        <w:t>利益關係股東信函；以及</w:t>
      </w:r>
      <w:r>
        <w:rPr>
          <w:rFonts w:ascii="Times New Roman" w:hAnsi="Times New Roman" w:eastAsia="PMingLiU"/>
          <w:sz w:val="24"/>
          <w:szCs w:val="24"/>
        </w:rPr>
        <w:t xml:space="preserve"> </w:t>
      </w:r>
      <w:r>
        <w:rPr>
          <w:rFonts w:hint="eastAsia" w:ascii="Times New Roman" w:hAnsi="Times New Roman" w:eastAsia="PMingLiU"/>
          <w:sz w:val="24"/>
          <w:szCs w:val="24"/>
        </w:rPr>
        <w:t>(iii)獨立財務顧問的推薦意見的通函由於預期將亦包括除年度交易上限修訂以外將於股東大會中一併審議的其它事宜，預期將於二零一八年六月八日或之前寄發予H股股東。</w:t>
      </w:r>
    </w:p>
    <w:p>
      <w:pPr>
        <w:widowControl w:val="0"/>
        <w:autoSpaceDE w:val="0"/>
        <w:autoSpaceDN w:val="0"/>
        <w:adjustRightInd w:val="0"/>
        <w:spacing w:after="120" w:line="240" w:lineRule="auto"/>
        <w:ind w:left="110" w:right="49"/>
        <w:jc w:val="both"/>
        <w:rPr>
          <w:rFonts w:ascii="Times New Roman" w:hAnsi="Times New Roman" w:eastAsia="PMingLiU"/>
          <w:sz w:val="24"/>
          <w:szCs w:val="24"/>
        </w:rPr>
      </w:pPr>
    </w:p>
    <w:p>
      <w:pPr>
        <w:widowControl w:val="0"/>
        <w:autoSpaceDE w:val="0"/>
        <w:autoSpaceDN w:val="0"/>
        <w:adjustRightInd w:val="0"/>
        <w:spacing w:after="120" w:line="240" w:lineRule="auto"/>
        <w:ind w:left="110" w:right="49"/>
        <w:jc w:val="both"/>
        <w:rPr>
          <w:rFonts w:ascii="Times New Roman" w:hAnsi="Times New Roman" w:eastAsia="PMingLiU"/>
          <w:bCs/>
          <w:spacing w:val="-4"/>
          <w:sz w:val="24"/>
          <w:szCs w:val="24"/>
        </w:rPr>
      </w:pPr>
      <w:r>
        <w:rPr>
          <w:rFonts w:hint="eastAsia" w:ascii="Times New Roman" w:hAnsi="Times New Roman" w:eastAsia="PMingLiU"/>
          <w:bCs/>
          <w:spacing w:val="-4"/>
          <w:sz w:val="24"/>
          <w:szCs w:val="24"/>
        </w:rPr>
        <w:t>股東及投資者須注意，本公告所載列均不能解讀為本集團對未來收益的保證或預測。</w:t>
      </w:r>
    </w:p>
    <w:p>
      <w:pPr>
        <w:widowControl w:val="0"/>
        <w:autoSpaceDE w:val="0"/>
        <w:autoSpaceDN w:val="0"/>
        <w:adjustRightInd w:val="0"/>
        <w:spacing w:after="120" w:line="240" w:lineRule="auto"/>
        <w:ind w:left="110" w:right="47"/>
        <w:jc w:val="both"/>
        <w:rPr>
          <w:rFonts w:ascii="Times New Roman" w:hAnsi="Times New Roman" w:eastAsia="PMingLiU"/>
          <w:sz w:val="24"/>
          <w:szCs w:val="24"/>
        </w:rPr>
      </w:pPr>
    </w:p>
    <w:p>
      <w:pPr>
        <w:widowControl w:val="0"/>
        <w:autoSpaceDE w:val="0"/>
        <w:autoSpaceDN w:val="0"/>
        <w:adjustRightInd w:val="0"/>
        <w:spacing w:after="120" w:line="240" w:lineRule="auto"/>
        <w:rPr>
          <w:rFonts w:ascii="Times New Roman" w:hAnsi="Times New Roman" w:eastAsia="PMingLiU"/>
          <w:sz w:val="24"/>
          <w:szCs w:val="24"/>
        </w:rPr>
      </w:pPr>
    </w:p>
    <w:p>
      <w:pPr>
        <w:widowControl w:val="0"/>
        <w:autoSpaceDE w:val="0"/>
        <w:autoSpaceDN w:val="0"/>
        <w:adjustRightInd w:val="0"/>
        <w:spacing w:after="120" w:line="240" w:lineRule="auto"/>
        <w:rPr>
          <w:rFonts w:ascii="Times New Roman" w:hAnsi="Times New Roman" w:eastAsia="PMingLiU"/>
          <w:sz w:val="24"/>
          <w:szCs w:val="24"/>
        </w:rPr>
      </w:pPr>
    </w:p>
    <w:p>
      <w:pPr>
        <w:widowControl w:val="0"/>
        <w:autoSpaceDE w:val="0"/>
        <w:autoSpaceDN w:val="0"/>
        <w:adjustRightInd w:val="0"/>
        <w:spacing w:after="120" w:line="240" w:lineRule="auto"/>
        <w:rPr>
          <w:rFonts w:ascii="Times New Roman" w:hAnsi="Times New Roman" w:eastAsia="PMingLiU"/>
          <w:sz w:val="24"/>
          <w:szCs w:val="24"/>
        </w:rPr>
      </w:pPr>
    </w:p>
    <w:p>
      <w:pPr>
        <w:pStyle w:val="14"/>
        <w:tabs>
          <w:tab w:val="center" w:pos="3969"/>
          <w:tab w:val="center" w:pos="5839"/>
          <w:tab w:val="left" w:pos="6930"/>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spacing w:after="120" w:line="240" w:lineRule="auto"/>
        <w:ind w:left="110" w:right="960"/>
        <w:jc w:val="right"/>
        <w:rPr>
          <w:rFonts w:ascii="Times New Roman" w:hAnsi="Times New Roman" w:eastAsia="PMingLiU"/>
          <w:color w:val="auto"/>
          <w:sz w:val="24"/>
          <w:szCs w:val="24"/>
          <w:lang w:eastAsia="zh-TW"/>
        </w:rPr>
      </w:pPr>
      <w:r>
        <w:rPr>
          <w:rFonts w:hint="eastAsia" w:ascii="Times New Roman" w:hAnsi="Times New Roman" w:eastAsia="PMingLiU"/>
          <w:color w:val="auto"/>
          <w:sz w:val="24"/>
          <w:szCs w:val="24"/>
          <w:lang w:eastAsia="zh-TW"/>
        </w:rPr>
        <w:t>　　</w:t>
      </w:r>
      <w:r>
        <w:rPr>
          <w:rFonts w:hint="eastAsia" w:ascii="Times New Roman" w:hAnsi="Times New Roman" w:eastAsia="PMingLiU"/>
          <w:color w:val="auto"/>
          <w:sz w:val="24"/>
          <w:szCs w:val="24"/>
          <w:lang w:eastAsia="zh-TW"/>
        </w:rPr>
        <w:tab/>
      </w:r>
      <w:r>
        <w:rPr>
          <w:rFonts w:ascii="Times New Roman" w:hAnsi="Times New Roman" w:eastAsia="PMingLiU"/>
          <w:color w:val="auto"/>
          <w:sz w:val="24"/>
          <w:szCs w:val="24"/>
          <w:lang w:eastAsia="zh-TW"/>
        </w:rPr>
        <w:t>承董事會命</w:t>
      </w:r>
    </w:p>
    <w:p>
      <w:pPr>
        <w:pStyle w:val="14"/>
        <w:tabs>
          <w:tab w:val="center" w:pos="3969"/>
          <w:tab w:val="center" w:pos="5839"/>
        </w:tabs>
        <w:spacing w:after="120" w:line="240" w:lineRule="auto"/>
        <w:ind w:left="110"/>
        <w:jc w:val="right"/>
        <w:rPr>
          <w:rFonts w:ascii="Times New Roman" w:hAnsi="Times New Roman" w:eastAsia="PMingLiU"/>
          <w:b/>
          <w:color w:val="auto"/>
          <w:sz w:val="24"/>
          <w:szCs w:val="24"/>
          <w:lang w:eastAsia="zh-TW"/>
        </w:rPr>
      </w:pPr>
      <w:r>
        <w:rPr>
          <w:rFonts w:ascii="Times New Roman" w:hAnsi="Times New Roman" w:eastAsia="PMingLiU"/>
          <w:b/>
          <w:color w:val="auto"/>
          <w:sz w:val="24"/>
          <w:szCs w:val="24"/>
          <w:lang w:eastAsia="zh-TW"/>
        </w:rPr>
        <w:t>山東新華製藥股份有限公司</w:t>
      </w:r>
    </w:p>
    <w:p>
      <w:pPr>
        <w:pStyle w:val="14"/>
        <w:tabs>
          <w:tab w:val="center" w:pos="3969"/>
          <w:tab w:val="center" w:pos="5839"/>
          <w:tab w:val="left" w:pos="7110"/>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spacing w:after="120" w:line="240" w:lineRule="auto"/>
        <w:ind w:left="110" w:right="960"/>
        <w:jc w:val="center"/>
        <w:rPr>
          <w:rFonts w:ascii="Times New Roman" w:hAnsi="Times New Roman" w:eastAsia="PMingLiU"/>
          <w:b/>
          <w:color w:val="auto"/>
          <w:sz w:val="24"/>
          <w:szCs w:val="24"/>
          <w:lang w:eastAsia="zh-TW"/>
        </w:rPr>
      </w:pPr>
      <w:r>
        <w:rPr>
          <w:rFonts w:ascii="Times New Roman" w:hAnsi="Times New Roman" w:eastAsia="PMingLiU"/>
          <w:b/>
          <w:color w:val="auto"/>
          <w:sz w:val="24"/>
          <w:szCs w:val="24"/>
          <w:lang w:eastAsia="zh-TW"/>
        </w:rPr>
        <w:tab/>
      </w:r>
      <w:r>
        <w:rPr>
          <w:rFonts w:hint="eastAsia" w:ascii="Times New Roman" w:hAnsi="Times New Roman" w:eastAsia="PMingLiU"/>
          <w:b/>
          <w:color w:val="auto"/>
          <w:sz w:val="24"/>
          <w:szCs w:val="24"/>
          <w:lang w:eastAsia="zh-TW"/>
        </w:rPr>
        <w:tab/>
      </w:r>
      <w:r>
        <w:rPr>
          <w:rFonts w:hint="eastAsia" w:ascii="Times New Roman" w:hAnsi="Times New Roman" w:eastAsia="PMingLiU"/>
          <w:b/>
          <w:color w:val="auto"/>
          <w:sz w:val="24"/>
          <w:szCs w:val="24"/>
          <w:lang w:eastAsia="zh-TW"/>
        </w:rPr>
        <w:tab/>
      </w:r>
      <w:r>
        <w:rPr>
          <w:rFonts w:ascii="Times New Roman" w:hAnsi="Times New Roman" w:eastAsia="PMingLiU"/>
          <w:b/>
          <w:color w:val="auto"/>
          <w:sz w:val="24"/>
          <w:szCs w:val="24"/>
          <w:lang w:eastAsia="zh-TW"/>
        </w:rPr>
        <w:t>張代銘</w:t>
      </w:r>
    </w:p>
    <w:p>
      <w:pPr>
        <w:pStyle w:val="14"/>
        <w:tabs>
          <w:tab w:val="center" w:pos="3969"/>
          <w:tab w:val="center" w:pos="5839"/>
          <w:tab w:val="left" w:pos="7110"/>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spacing w:after="120" w:line="240" w:lineRule="auto"/>
        <w:ind w:left="110" w:right="960"/>
        <w:jc w:val="center"/>
        <w:rPr>
          <w:rFonts w:ascii="Times New Roman" w:hAnsi="Times New Roman" w:eastAsia="PMingLiU"/>
          <w:b/>
          <w:color w:val="auto"/>
          <w:sz w:val="24"/>
          <w:szCs w:val="24"/>
          <w:lang w:eastAsia="zh-TW"/>
        </w:rPr>
      </w:pPr>
      <w:r>
        <w:rPr>
          <w:rFonts w:ascii="Times New Roman" w:hAnsi="Times New Roman" w:eastAsia="PMingLiU"/>
          <w:b/>
          <w:color w:val="auto"/>
          <w:sz w:val="24"/>
          <w:szCs w:val="24"/>
          <w:lang w:eastAsia="zh-TW"/>
        </w:rPr>
        <w:tab/>
      </w:r>
      <w:r>
        <w:rPr>
          <w:rFonts w:hint="eastAsia" w:ascii="Times New Roman" w:hAnsi="Times New Roman" w:eastAsia="PMingLiU"/>
          <w:b/>
          <w:color w:val="auto"/>
          <w:sz w:val="24"/>
          <w:szCs w:val="24"/>
          <w:lang w:eastAsia="zh-TW"/>
        </w:rPr>
        <w:tab/>
      </w:r>
      <w:r>
        <w:rPr>
          <w:rFonts w:ascii="Times New Roman" w:hAnsi="Times New Roman" w:eastAsia="PMingLiU"/>
          <w:b/>
          <w:color w:val="auto"/>
          <w:sz w:val="24"/>
          <w:szCs w:val="24"/>
          <w:lang w:eastAsia="zh-TW"/>
        </w:rPr>
        <w:tab/>
      </w:r>
      <w:r>
        <w:rPr>
          <w:rFonts w:hint="eastAsia" w:ascii="Times New Roman" w:hAnsi="Times New Roman" w:eastAsia="PMingLiU"/>
          <w:b/>
          <w:color w:val="auto"/>
          <w:sz w:val="24"/>
          <w:szCs w:val="24"/>
          <w:lang w:eastAsia="zh-TW"/>
        </w:rPr>
        <w:t>董事長</w:t>
      </w:r>
    </w:p>
    <w:p>
      <w:pPr>
        <w:pStyle w:val="14"/>
        <w:tabs>
          <w:tab w:val="center" w:pos="3969"/>
          <w:tab w:val="center" w:pos="5839"/>
          <w:tab w:val="left" w:pos="6930"/>
          <w:tab w:val="left" w:pos="7200"/>
          <w:tab w:val="clear" w:pos="6800"/>
        </w:tabs>
        <w:spacing w:after="120" w:line="240" w:lineRule="auto"/>
        <w:ind w:left="110" w:right="1200"/>
        <w:jc w:val="right"/>
        <w:rPr>
          <w:rFonts w:ascii="Times New Roman" w:hAnsi="Times New Roman" w:eastAsia="PMingLiU"/>
          <w:b/>
          <w:color w:val="auto"/>
          <w:sz w:val="24"/>
          <w:szCs w:val="24"/>
          <w:lang w:eastAsia="zh-TW"/>
        </w:rPr>
      </w:pPr>
      <w:r>
        <w:rPr>
          <w:rFonts w:hint="eastAsia" w:ascii="Times New Roman" w:hAnsi="Times New Roman" w:eastAsia="PMingLiU"/>
          <w:b/>
          <w:color w:val="auto"/>
          <w:sz w:val="24"/>
          <w:szCs w:val="24"/>
          <w:lang w:eastAsia="zh-TW"/>
        </w:rPr>
        <w:t>　　　　　</w:t>
      </w:r>
      <w:r>
        <w:rPr>
          <w:rFonts w:hint="eastAsia" w:ascii="Times New Roman" w:hAnsi="Times New Roman" w:eastAsia="PMingLiU"/>
          <w:b/>
          <w:color w:val="auto"/>
          <w:sz w:val="24"/>
          <w:szCs w:val="24"/>
          <w:lang w:eastAsia="zh-TW"/>
        </w:rPr>
        <w:tab/>
      </w:r>
      <w:r>
        <w:rPr>
          <w:rFonts w:ascii="Times New Roman" w:hAnsi="Times New Roman" w:eastAsia="PMingLiU"/>
          <w:b/>
          <w:color w:val="auto"/>
          <w:sz w:val="24"/>
          <w:szCs w:val="24"/>
          <w:lang w:eastAsia="zh-TW"/>
        </w:rPr>
        <w:tab/>
      </w:r>
      <w:r>
        <w:rPr>
          <w:rFonts w:hint="eastAsia" w:ascii="Times New Roman" w:hAnsi="Times New Roman" w:eastAsia="PMingLiU"/>
          <w:b/>
          <w:color w:val="auto"/>
          <w:sz w:val="24"/>
          <w:szCs w:val="24"/>
          <w:lang w:eastAsia="zh-TW"/>
        </w:rPr>
        <w:tab/>
      </w:r>
      <w:r>
        <w:rPr>
          <w:rFonts w:ascii="Times New Roman" w:hAnsi="Times New Roman" w:eastAsia="PMingLiU"/>
          <w:b/>
          <w:color w:val="auto"/>
          <w:sz w:val="24"/>
          <w:szCs w:val="24"/>
          <w:lang w:eastAsia="zh-TW"/>
        </w:rPr>
        <w:tab/>
      </w:r>
      <w:r>
        <w:rPr>
          <w:rFonts w:hint="eastAsia" w:ascii="Times New Roman" w:hAnsi="Times New Roman" w:eastAsia="PMingLiU"/>
          <w:b/>
          <w:color w:val="auto"/>
          <w:sz w:val="24"/>
          <w:szCs w:val="24"/>
          <w:lang w:eastAsia="zh-TW"/>
        </w:rPr>
        <w:tab/>
      </w:r>
    </w:p>
    <w:p>
      <w:pPr>
        <w:pStyle w:val="14"/>
        <w:tabs>
          <w:tab w:val="center" w:pos="3969"/>
          <w:tab w:val="center" w:pos="5839"/>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spacing w:after="120" w:line="240" w:lineRule="auto"/>
        <w:ind w:left="110"/>
        <w:jc w:val="left"/>
        <w:rPr>
          <w:rFonts w:ascii="Times New Roman" w:hAnsi="Times New Roman" w:eastAsia="PMingLiU"/>
          <w:b/>
          <w:color w:val="auto"/>
          <w:sz w:val="24"/>
          <w:szCs w:val="24"/>
          <w:lang w:eastAsia="zh-TW"/>
        </w:rPr>
      </w:pPr>
    </w:p>
    <w:p>
      <w:pPr>
        <w:pStyle w:val="14"/>
        <w:spacing w:after="120" w:line="240" w:lineRule="auto"/>
        <w:ind w:left="110"/>
        <w:rPr>
          <w:rFonts w:ascii="Times New Roman" w:hAnsi="Times New Roman" w:eastAsia="PMingLiU"/>
          <w:bCs/>
          <w:iCs/>
          <w:color w:val="auto"/>
          <w:sz w:val="24"/>
          <w:szCs w:val="24"/>
          <w:lang w:eastAsia="zh-TW"/>
        </w:rPr>
      </w:pPr>
      <w:r>
        <w:rPr>
          <w:rFonts w:ascii="Times New Roman" w:hAnsi="Times New Roman" w:eastAsia="PMingLiU"/>
          <w:bCs/>
          <w:iCs/>
          <w:color w:val="auto"/>
          <w:sz w:val="24"/>
          <w:szCs w:val="24"/>
          <w:lang w:eastAsia="zh-TW"/>
        </w:rPr>
        <w:t>中華人民共和國，淄博，二零一</w:t>
      </w:r>
      <w:r>
        <w:rPr>
          <w:rFonts w:hint="eastAsia" w:ascii="Times New Roman" w:hAnsi="Times New Roman" w:eastAsia="PMingLiU"/>
          <w:bCs/>
          <w:iCs/>
          <w:color w:val="auto"/>
          <w:sz w:val="24"/>
          <w:szCs w:val="24"/>
          <w:lang w:eastAsia="zh-TW"/>
        </w:rPr>
        <w:t>八</w:t>
      </w:r>
      <w:r>
        <w:rPr>
          <w:rFonts w:ascii="Times New Roman" w:hAnsi="Times New Roman" w:eastAsia="PMingLiU"/>
          <w:bCs/>
          <w:iCs/>
          <w:color w:val="auto"/>
          <w:sz w:val="24"/>
          <w:szCs w:val="24"/>
          <w:lang w:eastAsia="zh-TW"/>
        </w:rPr>
        <w:t>年</w:t>
      </w:r>
      <w:r>
        <w:rPr>
          <w:rFonts w:hint="eastAsia" w:ascii="Times New Roman" w:hAnsi="Times New Roman" w:eastAsia="PMingLiU"/>
          <w:color w:val="auto"/>
          <w:spacing w:val="4"/>
          <w:sz w:val="24"/>
          <w:szCs w:val="24"/>
          <w:lang w:eastAsia="zh-TW"/>
        </w:rPr>
        <w:t>四月二十日</w:t>
      </w:r>
    </w:p>
    <w:p>
      <w:pPr>
        <w:pStyle w:val="14"/>
        <w:spacing w:after="120" w:line="240" w:lineRule="auto"/>
        <w:ind w:left="110"/>
        <w:rPr>
          <w:rFonts w:ascii="Times New Roman" w:hAnsi="Times New Roman" w:eastAsia="PMingLiU"/>
          <w:color w:val="auto"/>
          <w:spacing w:val="4"/>
          <w:sz w:val="24"/>
          <w:szCs w:val="24"/>
          <w:lang w:eastAsia="zh-TW"/>
        </w:rPr>
      </w:pPr>
    </w:p>
    <w:p>
      <w:pPr>
        <w:pStyle w:val="14"/>
        <w:spacing w:after="120" w:line="240" w:lineRule="auto"/>
        <w:ind w:left="110"/>
        <w:rPr>
          <w:rFonts w:ascii="Times New Roman" w:hAnsi="Times New Roman" w:eastAsia="PMingLiU"/>
          <w:color w:val="auto"/>
          <w:spacing w:val="4"/>
          <w:sz w:val="24"/>
          <w:szCs w:val="24"/>
          <w:lang w:eastAsia="zh-TW"/>
        </w:rPr>
      </w:pPr>
      <w:r>
        <w:rPr>
          <w:rFonts w:ascii="Times New Roman" w:hAnsi="Times New Roman" w:eastAsia="PMingLiU"/>
          <w:color w:val="auto"/>
          <w:spacing w:val="4"/>
          <w:sz w:val="24"/>
          <w:szCs w:val="24"/>
          <w:lang w:eastAsia="zh-TW"/>
        </w:rPr>
        <w:t>於本公告日期，董事會成員包括：</w:t>
      </w:r>
    </w:p>
    <w:p>
      <w:pPr>
        <w:snapToGrid w:val="0"/>
        <w:spacing w:after="120" w:line="240" w:lineRule="auto"/>
        <w:jc w:val="both"/>
        <w:rPr>
          <w:rFonts w:ascii="Times New Roman" w:hAnsi="Times New Roman" w:eastAsia="PMingLiU"/>
          <w:spacing w:val="4"/>
          <w:sz w:val="24"/>
          <w:szCs w:val="24"/>
          <w:u w:val="single"/>
        </w:rPr>
      </w:pPr>
    </w:p>
    <w:tbl>
      <w:tblPr>
        <w:tblW w:w="9096" w:type="dxa"/>
        <w:tblInd w:w="1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548"/>
        <w:gridCol w:w="4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48" w:type="dxa"/>
            <w:vAlign w:val="top"/>
          </w:tcPr>
          <w:p>
            <w:pPr>
              <w:snapToGrid w:val="0"/>
              <w:spacing w:after="120" w:line="240" w:lineRule="auto"/>
              <w:jc w:val="both"/>
              <w:rPr>
                <w:rFonts w:ascii="Times New Roman" w:hAnsi="Times New Roman" w:eastAsia="PMingLiU"/>
                <w:spacing w:val="4"/>
                <w:sz w:val="24"/>
                <w:szCs w:val="24"/>
                <w:u w:val="single"/>
                <w:lang w:eastAsia="zh-CN"/>
              </w:rPr>
            </w:pPr>
            <w:r>
              <w:rPr>
                <w:rFonts w:ascii="Times New Roman" w:hAnsi="Times New Roman" w:eastAsia="PMingLiU"/>
                <w:spacing w:val="4"/>
                <w:sz w:val="24"/>
                <w:szCs w:val="24"/>
                <w:u w:val="single"/>
                <w:lang w:eastAsia="zh-CN"/>
              </w:rPr>
              <w:t>執行董事：</w:t>
            </w:r>
          </w:p>
        </w:tc>
        <w:tc>
          <w:tcPr>
            <w:tcW w:w="4548" w:type="dxa"/>
            <w:vAlign w:val="top"/>
          </w:tcPr>
          <w:p>
            <w:pPr>
              <w:snapToGrid w:val="0"/>
              <w:spacing w:after="120" w:line="240" w:lineRule="auto"/>
              <w:jc w:val="both"/>
              <w:rPr>
                <w:rFonts w:ascii="Times New Roman" w:hAnsi="Times New Roman" w:eastAsia="PMingLiU"/>
                <w:spacing w:val="4"/>
                <w:sz w:val="24"/>
                <w:szCs w:val="24"/>
                <w:u w:val="single"/>
                <w:lang w:eastAsia="zh-CN"/>
              </w:rPr>
            </w:pPr>
            <w:r>
              <w:rPr>
                <w:rFonts w:ascii="Times New Roman" w:hAnsi="Times New Roman" w:eastAsia="PMingLiU"/>
                <w:spacing w:val="4"/>
                <w:sz w:val="24"/>
                <w:szCs w:val="24"/>
                <w:u w:val="single"/>
                <w:lang w:eastAsia="zh-CN"/>
              </w:rPr>
              <w:t>獨立非執行董事：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48" w:type="dxa"/>
            <w:vAlign w:val="top"/>
          </w:tcPr>
          <w:p>
            <w:pPr>
              <w:snapToGrid w:val="0"/>
              <w:spacing w:after="120" w:line="240" w:lineRule="auto"/>
              <w:jc w:val="both"/>
              <w:rPr>
                <w:rFonts w:ascii="Times New Roman" w:hAnsi="Times New Roman" w:eastAsia="PMingLiU"/>
                <w:spacing w:val="4"/>
                <w:sz w:val="24"/>
                <w:szCs w:val="24"/>
              </w:rPr>
            </w:pPr>
            <w:r>
              <w:rPr>
                <w:rFonts w:ascii="Times New Roman" w:hAnsi="Times New Roman" w:eastAsia="PMingLiU"/>
                <w:spacing w:val="4"/>
                <w:sz w:val="24"/>
                <w:szCs w:val="24"/>
              </w:rPr>
              <w:t>張代銘先生（董事長）</w:t>
            </w:r>
          </w:p>
        </w:tc>
        <w:tc>
          <w:tcPr>
            <w:tcW w:w="4548" w:type="dxa"/>
            <w:vAlign w:val="top"/>
          </w:tcPr>
          <w:p>
            <w:pPr>
              <w:snapToGrid w:val="0"/>
              <w:spacing w:after="120" w:line="240" w:lineRule="auto"/>
              <w:jc w:val="both"/>
              <w:rPr>
                <w:rFonts w:ascii="Times New Roman" w:hAnsi="Times New Roman" w:eastAsia="PMingLiU"/>
                <w:spacing w:val="4"/>
                <w:sz w:val="24"/>
                <w:szCs w:val="24"/>
                <w:lang w:eastAsia="zh-CN"/>
              </w:rPr>
            </w:pPr>
            <w:r>
              <w:rPr>
                <w:rFonts w:ascii="Times New Roman" w:hAnsi="Times New Roman" w:eastAsia="PMingLiU"/>
                <w:spacing w:val="4"/>
                <w:sz w:val="24"/>
                <w:szCs w:val="24"/>
                <w:lang w:eastAsia="zh-CN"/>
              </w:rPr>
              <w:t>李文明先生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48" w:type="dxa"/>
            <w:vAlign w:val="top"/>
          </w:tcPr>
          <w:p>
            <w:pPr>
              <w:snapToGrid w:val="0"/>
              <w:spacing w:after="120" w:line="240" w:lineRule="auto"/>
              <w:jc w:val="both"/>
              <w:rPr>
                <w:rFonts w:ascii="Times New Roman" w:hAnsi="Times New Roman" w:eastAsia="PMingLiU"/>
                <w:spacing w:val="4"/>
                <w:sz w:val="24"/>
                <w:szCs w:val="24"/>
                <w:lang w:eastAsia="zh-CN"/>
              </w:rPr>
            </w:pPr>
            <w:r>
              <w:rPr>
                <w:rFonts w:ascii="Times New Roman" w:hAnsi="Times New Roman" w:eastAsia="PMingLiU"/>
                <w:spacing w:val="4"/>
                <w:sz w:val="24"/>
                <w:szCs w:val="24"/>
                <w:lang w:eastAsia="zh-CN"/>
              </w:rPr>
              <w:t>杜德平先生</w:t>
            </w:r>
          </w:p>
        </w:tc>
        <w:tc>
          <w:tcPr>
            <w:tcW w:w="4548" w:type="dxa"/>
            <w:vAlign w:val="top"/>
          </w:tcPr>
          <w:p>
            <w:pPr>
              <w:snapToGrid w:val="0"/>
              <w:spacing w:after="120" w:line="240" w:lineRule="auto"/>
              <w:jc w:val="both"/>
              <w:rPr>
                <w:rFonts w:ascii="Times New Roman" w:hAnsi="Times New Roman" w:eastAsia="PMingLiU"/>
                <w:spacing w:val="4"/>
                <w:sz w:val="24"/>
                <w:szCs w:val="24"/>
                <w:lang w:eastAsia="zh-CN"/>
              </w:rPr>
            </w:pPr>
            <w:r>
              <w:rPr>
                <w:rFonts w:ascii="Times New Roman" w:hAnsi="Times New Roman" w:eastAsia="PMingLiU"/>
                <w:spacing w:val="4"/>
                <w:sz w:val="24"/>
                <w:szCs w:val="24"/>
                <w:lang w:eastAsia="zh-CN"/>
              </w:rPr>
              <w:t>杜冠華先生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48" w:type="dxa"/>
            <w:vAlign w:val="top"/>
          </w:tcPr>
          <w:p>
            <w:pPr>
              <w:snapToGrid w:val="0"/>
              <w:spacing w:after="120" w:line="240" w:lineRule="auto"/>
              <w:jc w:val="both"/>
              <w:rPr>
                <w:rFonts w:ascii="Times New Roman" w:hAnsi="Times New Roman" w:eastAsia="PMingLiU"/>
                <w:spacing w:val="4"/>
                <w:sz w:val="24"/>
                <w:szCs w:val="24"/>
                <w:u w:val="single"/>
                <w:lang w:eastAsia="zh-CN"/>
              </w:rPr>
            </w:pPr>
          </w:p>
        </w:tc>
        <w:tc>
          <w:tcPr>
            <w:tcW w:w="4548" w:type="dxa"/>
            <w:vAlign w:val="top"/>
          </w:tcPr>
          <w:p>
            <w:pPr>
              <w:snapToGrid w:val="0"/>
              <w:spacing w:after="120" w:line="240" w:lineRule="auto"/>
              <w:jc w:val="both"/>
              <w:rPr>
                <w:rFonts w:ascii="Times New Roman" w:hAnsi="Times New Roman" w:eastAsia="PMingLiU"/>
                <w:spacing w:val="4"/>
                <w:sz w:val="24"/>
                <w:szCs w:val="24"/>
                <w:lang w:eastAsia="zh-CN"/>
              </w:rPr>
            </w:pPr>
            <w:r>
              <w:rPr>
                <w:rFonts w:ascii="Times New Roman" w:hAnsi="Times New Roman" w:eastAsia="PMingLiU"/>
                <w:spacing w:val="4"/>
                <w:sz w:val="24"/>
                <w:szCs w:val="24"/>
                <w:lang w:eastAsia="zh-CN"/>
              </w:rPr>
              <w:t>陳仲戟先生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48" w:type="dxa"/>
            <w:vAlign w:val="top"/>
          </w:tcPr>
          <w:p>
            <w:pPr>
              <w:snapToGrid w:val="0"/>
              <w:spacing w:after="120" w:line="240" w:lineRule="auto"/>
              <w:jc w:val="both"/>
              <w:rPr>
                <w:rFonts w:ascii="Times New Roman" w:hAnsi="Times New Roman" w:eastAsia="PMingLiU"/>
                <w:spacing w:val="4"/>
                <w:sz w:val="24"/>
                <w:szCs w:val="24"/>
                <w:u w:val="single"/>
                <w:lang w:eastAsia="zh-CN"/>
              </w:rPr>
            </w:pPr>
            <w:r>
              <w:rPr>
                <w:rFonts w:ascii="Times New Roman" w:hAnsi="Times New Roman" w:eastAsia="PMingLiU"/>
                <w:spacing w:val="4"/>
                <w:sz w:val="24"/>
                <w:szCs w:val="24"/>
                <w:u w:val="single"/>
                <w:lang w:eastAsia="zh-CN"/>
              </w:rPr>
              <w:t>非執行董事：</w:t>
            </w:r>
          </w:p>
        </w:tc>
        <w:tc>
          <w:tcPr>
            <w:tcW w:w="4548" w:type="dxa"/>
            <w:vAlign w:val="top"/>
          </w:tcPr>
          <w:p>
            <w:pPr>
              <w:snapToGrid w:val="0"/>
              <w:spacing w:after="120" w:line="240" w:lineRule="auto"/>
              <w:jc w:val="both"/>
              <w:rPr>
                <w:rFonts w:ascii="Times New Roman" w:hAnsi="Times New Roman" w:eastAsia="PMingLiU"/>
                <w:spacing w:val="4"/>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48" w:type="dxa"/>
            <w:vAlign w:val="top"/>
          </w:tcPr>
          <w:p>
            <w:pPr>
              <w:snapToGrid w:val="0"/>
              <w:spacing w:after="120" w:line="240" w:lineRule="auto"/>
              <w:jc w:val="both"/>
              <w:rPr>
                <w:rFonts w:ascii="Times New Roman" w:hAnsi="Times New Roman" w:eastAsia="PMingLiU"/>
                <w:spacing w:val="4"/>
                <w:sz w:val="24"/>
                <w:szCs w:val="24"/>
                <w:lang w:eastAsia="zh-CN"/>
              </w:rPr>
            </w:pPr>
            <w:r>
              <w:rPr>
                <w:rFonts w:ascii="Times New Roman" w:hAnsi="Times New Roman" w:eastAsia="PMingLiU"/>
                <w:spacing w:val="4"/>
                <w:sz w:val="24"/>
                <w:szCs w:val="24"/>
                <w:lang w:eastAsia="zh-CN"/>
              </w:rPr>
              <w:t>任福龍先生</w:t>
            </w:r>
          </w:p>
        </w:tc>
        <w:tc>
          <w:tcPr>
            <w:tcW w:w="4548" w:type="dxa"/>
            <w:vAlign w:val="top"/>
          </w:tcPr>
          <w:p>
            <w:pPr>
              <w:snapToGrid w:val="0"/>
              <w:spacing w:after="120" w:line="240" w:lineRule="auto"/>
              <w:jc w:val="both"/>
              <w:rPr>
                <w:rFonts w:ascii="Times New Roman" w:hAnsi="Times New Roman" w:eastAsia="PMingLiU"/>
                <w:spacing w:val="4"/>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48" w:type="dxa"/>
            <w:vAlign w:val="top"/>
          </w:tcPr>
          <w:p>
            <w:pPr>
              <w:snapToGrid w:val="0"/>
              <w:spacing w:after="120" w:line="240" w:lineRule="auto"/>
              <w:jc w:val="both"/>
              <w:rPr>
                <w:rFonts w:ascii="Times New Roman" w:hAnsi="Times New Roman" w:eastAsia="PMingLiU"/>
                <w:spacing w:val="4"/>
                <w:sz w:val="24"/>
                <w:szCs w:val="24"/>
                <w:lang w:eastAsia="zh-CN"/>
              </w:rPr>
            </w:pPr>
            <w:r>
              <w:rPr>
                <w:rFonts w:ascii="Times New Roman" w:hAnsi="Times New Roman" w:eastAsia="PMingLiU"/>
                <w:spacing w:val="4"/>
                <w:sz w:val="24"/>
                <w:szCs w:val="24"/>
                <w:lang w:eastAsia="zh-CN"/>
              </w:rPr>
              <w:t>徐 列先生</w:t>
            </w:r>
          </w:p>
        </w:tc>
        <w:tc>
          <w:tcPr>
            <w:tcW w:w="4548" w:type="dxa"/>
            <w:vAlign w:val="top"/>
          </w:tcPr>
          <w:p>
            <w:pPr>
              <w:snapToGrid w:val="0"/>
              <w:spacing w:after="120" w:line="240" w:lineRule="auto"/>
              <w:jc w:val="both"/>
              <w:rPr>
                <w:rFonts w:ascii="Times New Roman" w:hAnsi="Times New Roman" w:eastAsia="PMingLiU"/>
                <w:spacing w:val="4"/>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48" w:type="dxa"/>
            <w:vAlign w:val="top"/>
          </w:tcPr>
          <w:p>
            <w:pPr>
              <w:snapToGrid w:val="0"/>
              <w:spacing w:after="120" w:line="240" w:lineRule="auto"/>
              <w:jc w:val="both"/>
              <w:rPr>
                <w:rFonts w:ascii="Times New Roman" w:hAnsi="Times New Roman" w:eastAsia="PMingLiU"/>
                <w:spacing w:val="4"/>
                <w:sz w:val="24"/>
                <w:szCs w:val="24"/>
                <w:lang w:eastAsia="zh-CN"/>
              </w:rPr>
            </w:pPr>
            <w:r>
              <w:rPr>
                <w:rFonts w:ascii="Times New Roman" w:hAnsi="Times New Roman" w:eastAsia="PMingLiU"/>
                <w:spacing w:val="4"/>
                <w:sz w:val="24"/>
                <w:szCs w:val="24"/>
                <w:lang w:eastAsia="zh-CN"/>
              </w:rPr>
              <w:t>趙 斌先生</w:t>
            </w:r>
          </w:p>
        </w:tc>
        <w:tc>
          <w:tcPr>
            <w:tcW w:w="4548" w:type="dxa"/>
            <w:vAlign w:val="top"/>
          </w:tcPr>
          <w:p>
            <w:pPr>
              <w:snapToGrid w:val="0"/>
              <w:spacing w:after="120" w:line="240" w:lineRule="auto"/>
              <w:jc w:val="both"/>
              <w:rPr>
                <w:rFonts w:ascii="Times New Roman" w:hAnsi="Times New Roman" w:eastAsia="PMingLiU"/>
                <w:spacing w:val="4"/>
                <w:sz w:val="24"/>
                <w:szCs w:val="24"/>
                <w:lang w:eastAsia="zh-CN"/>
              </w:rPr>
            </w:pPr>
          </w:p>
        </w:tc>
      </w:tr>
    </w:tbl>
    <w:p>
      <w:pPr>
        <w:pStyle w:val="13"/>
        <w:spacing w:after="120" w:line="240" w:lineRule="auto"/>
        <w:ind w:left="110"/>
        <w:rPr>
          <w:rFonts w:ascii="Times New Roman" w:hAnsi="Times New Roman" w:eastAsia="PMingLiU"/>
          <w:i/>
          <w:spacing w:val="4"/>
          <w:sz w:val="24"/>
          <w:szCs w:val="24"/>
        </w:rPr>
      </w:pPr>
    </w:p>
    <w:p>
      <w:pPr>
        <w:pStyle w:val="13"/>
        <w:spacing w:after="120" w:line="240" w:lineRule="auto"/>
        <w:ind w:left="110"/>
        <w:rPr>
          <w:rFonts w:ascii="Times New Roman" w:hAnsi="Times New Roman" w:eastAsia="PMingLiU"/>
          <w:i/>
          <w:spacing w:val="4"/>
          <w:sz w:val="24"/>
          <w:szCs w:val="24"/>
          <w:lang w:eastAsia="zh-TW"/>
        </w:rPr>
      </w:pPr>
      <w:r>
        <w:rPr>
          <w:rFonts w:hint="eastAsia" w:ascii="Times New Roman" w:hAnsi="Times New Roman" w:eastAsia="PMingLiU"/>
          <w:i/>
          <w:spacing w:val="4"/>
          <w:sz w:val="24"/>
          <w:szCs w:val="24"/>
          <w:lang w:eastAsia="zh-TW"/>
        </w:rPr>
        <w:t>本公司</w:t>
      </w:r>
      <w:r>
        <w:rPr>
          <w:rFonts w:ascii="Times New Roman" w:hAnsi="Times New Roman" w:eastAsia="PMingLiU"/>
          <w:i/>
          <w:spacing w:val="4"/>
          <w:sz w:val="24"/>
          <w:szCs w:val="24"/>
          <w:lang w:eastAsia="zh-TW"/>
        </w:rPr>
        <w:t>董事就本公告所載資料的準確性共同及個別承擔全部責任，並在作出一切合理查詢後確認，就彼等所深知，本公告內所發表的意見乃經審慎周詳考慮後始行作出，而本公告並無遺漏其他事實，致使本公告內的任何</w:t>
      </w:r>
      <w:r>
        <w:rPr>
          <w:rFonts w:hint="eastAsia" w:ascii="Times New Roman" w:hAnsi="Times New Roman" w:eastAsia="PMingLiU"/>
          <w:i/>
          <w:spacing w:val="4"/>
          <w:sz w:val="24"/>
          <w:szCs w:val="24"/>
          <w:lang w:eastAsia="zh-TW"/>
        </w:rPr>
        <w:t>陳述</w:t>
      </w:r>
      <w:r>
        <w:rPr>
          <w:rFonts w:ascii="Times New Roman" w:hAnsi="Times New Roman" w:eastAsia="PMingLiU"/>
          <w:i/>
          <w:spacing w:val="4"/>
          <w:sz w:val="24"/>
          <w:szCs w:val="24"/>
          <w:lang w:eastAsia="zh-TW"/>
        </w:rPr>
        <w:t>產生誤導。</w:t>
      </w:r>
    </w:p>
    <w:p>
      <w:pPr>
        <w:widowControl w:val="0"/>
        <w:autoSpaceDE w:val="0"/>
        <w:autoSpaceDN w:val="0"/>
        <w:adjustRightInd w:val="0"/>
        <w:spacing w:after="120" w:line="240" w:lineRule="auto"/>
        <w:ind w:left="110" w:right="1207"/>
        <w:jc w:val="center"/>
        <w:rPr>
          <w:rFonts w:ascii="Times New Roman" w:hAnsi="Times New Roman" w:eastAsia="PMingLiU"/>
          <w:sz w:val="24"/>
          <w:szCs w:val="24"/>
        </w:rPr>
      </w:pPr>
    </w:p>
    <w:p>
      <w:pPr>
        <w:widowControl w:val="0"/>
        <w:autoSpaceDE w:val="0"/>
        <w:autoSpaceDN w:val="0"/>
        <w:adjustRightInd w:val="0"/>
        <w:spacing w:after="120" w:line="240" w:lineRule="auto"/>
        <w:ind w:left="110" w:right="49"/>
        <w:jc w:val="both"/>
        <w:rPr>
          <w:rFonts w:ascii="Times New Roman" w:hAnsi="Times New Roman" w:eastAsia="PMingLiU"/>
          <w:b/>
          <w:bCs/>
          <w:spacing w:val="-4"/>
          <w:sz w:val="24"/>
          <w:szCs w:val="24"/>
        </w:rPr>
      </w:pPr>
    </w:p>
    <w:sectPr>
      <w:headerReference r:id="rId4" w:type="default"/>
      <w:footerReference r:id="rId5" w:type="default"/>
      <w:pgSz w:w="11920" w:h="15880"/>
      <w:pgMar w:top="1440" w:right="1440" w:bottom="1440" w:left="1440" w:header="0" w:footer="384" w:gutter="0"/>
      <w:cols w:space="720" w:num="1"/>
      <w:docGrid w:linePitch="2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Times">
    <w:altName w:val="Times New Roman"/>
    <w:panose1 w:val="02020603050405020304"/>
    <w:charset w:val="00"/>
    <w:family w:val="auto"/>
    <w:pitch w:val="default"/>
    <w:sig w:usb0="E0002AFF" w:usb1="C0007841" w:usb2="00000009" w:usb3="00000000" w:csb0="000001F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autoSpaceDE w:val="0"/>
      <w:autoSpaceDN w:val="0"/>
      <w:adjustRightInd w:val="0"/>
      <w:spacing w:after="0" w:line="240" w:lineRule="auto"/>
      <w:rPr>
        <w:rFonts w:ascii="Times New Roman" w:hAnsi="Times New Roman"/>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96885209">
    <w:nsid w:val="652469D9"/>
    <w:multiLevelType w:val="multilevel"/>
    <w:tmpl w:val="652469D9"/>
    <w:lvl w:ilvl="0" w:tentative="1">
      <w:start w:val="1"/>
      <w:numFmt w:val="lowerLetter"/>
      <w:lvlText w:val="(%1)"/>
      <w:lvlJc w:val="left"/>
      <w:pPr>
        <w:ind w:left="470" w:hanging="360"/>
      </w:pPr>
      <w:rPr>
        <w:rFonts w:hint="default" w:cs="Times New Roman"/>
      </w:rPr>
    </w:lvl>
    <w:lvl w:ilvl="1" w:tentative="1">
      <w:start w:val="1"/>
      <w:numFmt w:val="lowerLetter"/>
      <w:lvlText w:val="%2."/>
      <w:lvlJc w:val="left"/>
      <w:pPr>
        <w:ind w:left="1190" w:hanging="360"/>
      </w:pPr>
      <w:rPr>
        <w:rFonts w:cs="Times New Roman"/>
      </w:rPr>
    </w:lvl>
    <w:lvl w:ilvl="2" w:tentative="1">
      <w:start w:val="1"/>
      <w:numFmt w:val="lowerRoman"/>
      <w:lvlText w:val="%3."/>
      <w:lvlJc w:val="right"/>
      <w:pPr>
        <w:ind w:left="1910" w:hanging="180"/>
      </w:pPr>
      <w:rPr>
        <w:rFonts w:cs="Times New Roman"/>
      </w:rPr>
    </w:lvl>
    <w:lvl w:ilvl="3" w:tentative="1">
      <w:start w:val="1"/>
      <w:numFmt w:val="decimal"/>
      <w:lvlText w:val="%4."/>
      <w:lvlJc w:val="left"/>
      <w:pPr>
        <w:ind w:left="2630" w:hanging="360"/>
      </w:pPr>
      <w:rPr>
        <w:rFonts w:cs="Times New Roman"/>
      </w:rPr>
    </w:lvl>
    <w:lvl w:ilvl="4" w:tentative="1">
      <w:start w:val="1"/>
      <w:numFmt w:val="lowerLetter"/>
      <w:lvlText w:val="%5."/>
      <w:lvlJc w:val="left"/>
      <w:pPr>
        <w:ind w:left="3350" w:hanging="360"/>
      </w:pPr>
      <w:rPr>
        <w:rFonts w:cs="Times New Roman"/>
      </w:rPr>
    </w:lvl>
    <w:lvl w:ilvl="5" w:tentative="1">
      <w:start w:val="1"/>
      <w:numFmt w:val="lowerRoman"/>
      <w:lvlText w:val="%6."/>
      <w:lvlJc w:val="right"/>
      <w:pPr>
        <w:ind w:left="4070" w:hanging="180"/>
      </w:pPr>
      <w:rPr>
        <w:rFonts w:cs="Times New Roman"/>
      </w:rPr>
    </w:lvl>
    <w:lvl w:ilvl="6" w:tentative="1">
      <w:start w:val="1"/>
      <w:numFmt w:val="decimal"/>
      <w:lvlText w:val="%7."/>
      <w:lvlJc w:val="left"/>
      <w:pPr>
        <w:ind w:left="4790" w:hanging="360"/>
      </w:pPr>
      <w:rPr>
        <w:rFonts w:cs="Times New Roman"/>
      </w:rPr>
    </w:lvl>
    <w:lvl w:ilvl="7" w:tentative="1">
      <w:start w:val="1"/>
      <w:numFmt w:val="lowerLetter"/>
      <w:lvlText w:val="%8."/>
      <w:lvlJc w:val="left"/>
      <w:pPr>
        <w:ind w:left="5510" w:hanging="360"/>
      </w:pPr>
      <w:rPr>
        <w:rFonts w:cs="Times New Roman"/>
      </w:rPr>
    </w:lvl>
    <w:lvl w:ilvl="8" w:tentative="1">
      <w:start w:val="1"/>
      <w:numFmt w:val="lowerRoman"/>
      <w:lvlText w:val="%9."/>
      <w:lvlJc w:val="right"/>
      <w:pPr>
        <w:ind w:left="6230" w:hanging="180"/>
      </w:pPr>
      <w:rPr>
        <w:rFonts w:cs="Times New Roman"/>
      </w:rPr>
    </w:lvl>
  </w:abstractNum>
  <w:abstractNum w:abstractNumId="157888987">
    <w:nsid w:val="096931DB"/>
    <w:multiLevelType w:val="multilevel"/>
    <w:tmpl w:val="096931DB"/>
    <w:lvl w:ilvl="0" w:tentative="1">
      <w:start w:val="1"/>
      <w:numFmt w:val="lowerLetter"/>
      <w:lvlText w:val="(%1)"/>
      <w:lvlJc w:val="left"/>
      <w:pPr>
        <w:ind w:left="470" w:hanging="360"/>
      </w:pPr>
      <w:rPr>
        <w:rFonts w:hint="default" w:cs="Times New Roman"/>
      </w:rPr>
    </w:lvl>
    <w:lvl w:ilvl="1" w:tentative="1">
      <w:start w:val="1"/>
      <w:numFmt w:val="lowerLetter"/>
      <w:lvlText w:val="%2."/>
      <w:lvlJc w:val="left"/>
      <w:pPr>
        <w:ind w:left="1190" w:hanging="360"/>
      </w:pPr>
      <w:rPr>
        <w:rFonts w:cs="Times New Roman"/>
      </w:rPr>
    </w:lvl>
    <w:lvl w:ilvl="2" w:tentative="1">
      <w:start w:val="1"/>
      <w:numFmt w:val="lowerRoman"/>
      <w:lvlText w:val="%3."/>
      <w:lvlJc w:val="right"/>
      <w:pPr>
        <w:ind w:left="1910" w:hanging="180"/>
      </w:pPr>
      <w:rPr>
        <w:rFonts w:cs="Times New Roman"/>
      </w:rPr>
    </w:lvl>
    <w:lvl w:ilvl="3" w:tentative="1">
      <w:start w:val="1"/>
      <w:numFmt w:val="decimal"/>
      <w:lvlText w:val="%4."/>
      <w:lvlJc w:val="left"/>
      <w:pPr>
        <w:ind w:left="2630" w:hanging="360"/>
      </w:pPr>
      <w:rPr>
        <w:rFonts w:cs="Times New Roman"/>
      </w:rPr>
    </w:lvl>
    <w:lvl w:ilvl="4" w:tentative="1">
      <w:start w:val="1"/>
      <w:numFmt w:val="lowerLetter"/>
      <w:lvlText w:val="%5."/>
      <w:lvlJc w:val="left"/>
      <w:pPr>
        <w:ind w:left="3350" w:hanging="360"/>
      </w:pPr>
      <w:rPr>
        <w:rFonts w:cs="Times New Roman"/>
      </w:rPr>
    </w:lvl>
    <w:lvl w:ilvl="5" w:tentative="1">
      <w:start w:val="1"/>
      <w:numFmt w:val="lowerRoman"/>
      <w:lvlText w:val="%6."/>
      <w:lvlJc w:val="right"/>
      <w:pPr>
        <w:ind w:left="4070" w:hanging="180"/>
      </w:pPr>
      <w:rPr>
        <w:rFonts w:cs="Times New Roman"/>
      </w:rPr>
    </w:lvl>
    <w:lvl w:ilvl="6" w:tentative="1">
      <w:start w:val="1"/>
      <w:numFmt w:val="decimal"/>
      <w:lvlText w:val="%7."/>
      <w:lvlJc w:val="left"/>
      <w:pPr>
        <w:ind w:left="4790" w:hanging="360"/>
      </w:pPr>
      <w:rPr>
        <w:rFonts w:cs="Times New Roman"/>
      </w:rPr>
    </w:lvl>
    <w:lvl w:ilvl="7" w:tentative="1">
      <w:start w:val="1"/>
      <w:numFmt w:val="lowerLetter"/>
      <w:lvlText w:val="%8."/>
      <w:lvlJc w:val="left"/>
      <w:pPr>
        <w:ind w:left="5510" w:hanging="360"/>
      </w:pPr>
      <w:rPr>
        <w:rFonts w:cs="Times New Roman"/>
      </w:rPr>
    </w:lvl>
    <w:lvl w:ilvl="8" w:tentative="1">
      <w:start w:val="1"/>
      <w:numFmt w:val="lowerRoman"/>
      <w:lvlText w:val="%9."/>
      <w:lvlJc w:val="right"/>
      <w:pPr>
        <w:ind w:left="6230" w:hanging="180"/>
      </w:pPr>
      <w:rPr>
        <w:rFonts w:cs="Times New Roman"/>
      </w:rPr>
    </w:lvl>
  </w:abstractNum>
  <w:num w:numId="1">
    <w:abstractNumId w:val="157888987"/>
  </w:num>
  <w:num w:numId="2">
    <w:abstractNumId w:val="16968852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720"/>
  <w:drawingGridHorizontalSpacing w:val="0"/>
  <w:drawingGridVerticalSpacing w:val="120"/>
  <w:displayHorizontalDrawingGridEvery w:val="0"/>
  <w:displayVerticalDrawingGridEvery w:val="3"/>
  <w:doNotUseMarginsForDrawingGridOrigin w:val="1"/>
  <w:drawingGridHorizontalOrigin w:val="0"/>
  <w:drawingGridVerticalOrigin w:val="0"/>
  <w:doNotShadeFormData w:val="1"/>
  <w:characterSpacingControl w:val="doNotCompress"/>
  <w:compat>
    <w:spaceForUL/>
    <w:doNotLeaveBackslashAlone/>
    <w:ulTrailSpace/>
    <w:splitPgBreakAndParaMark/>
    <w:doNotExpandShiftReturn/>
    <w:adjustLineHeightInTable/>
    <w:doNotUseHTMLParagraphAutoSpacing/>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99"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spacing w:after="200" w:line="276" w:lineRule="auto"/>
    </w:pPr>
    <w:rPr>
      <w:rFonts w:ascii="Calibri" w:hAnsi="Calibri" w:eastAsia="宋体" w:cs="Times New Roman"/>
      <w:sz w:val="22"/>
      <w:szCs w:val="22"/>
      <w:lang w:val="en-US" w:eastAsia="zh-TW" w:bidi="ar-SA"/>
    </w:rPr>
  </w:style>
  <w:style w:type="character" w:default="1" w:styleId="8">
    <w:name w:val="Default Paragraph Font"/>
    <w:semiHidden/>
    <w:unhideWhenUsed/>
    <w:uiPriority w:val="1"/>
  </w:style>
  <w:style w:type="paragraph" w:styleId="2">
    <w:name w:val="annotation subject"/>
    <w:basedOn w:val="3"/>
    <w:next w:val="3"/>
    <w:link w:val="22"/>
    <w:semiHidden/>
    <w:unhideWhenUsed/>
    <w:uiPriority w:val="99"/>
    <w:pPr>
      <w:spacing w:line="240" w:lineRule="auto"/>
    </w:pPr>
    <w:rPr>
      <w:b/>
      <w:bCs/>
      <w:sz w:val="20"/>
      <w:szCs w:val="20"/>
    </w:rPr>
  </w:style>
  <w:style w:type="paragraph" w:styleId="3">
    <w:name w:val="annotation text"/>
    <w:basedOn w:val="1"/>
    <w:link w:val="21"/>
    <w:unhideWhenUsed/>
    <w:uiPriority w:val="99"/>
  </w:style>
  <w:style w:type="paragraph" w:styleId="4">
    <w:name w:val="Plain Text"/>
    <w:basedOn w:val="1"/>
    <w:link w:val="19"/>
    <w:semiHidden/>
    <w:uiPriority w:val="99"/>
    <w:pPr>
      <w:widowControl w:val="0"/>
      <w:spacing w:after="0" w:line="240" w:lineRule="auto"/>
      <w:jc w:val="both"/>
    </w:pPr>
    <w:rPr>
      <w:rFonts w:ascii="宋体" w:hAnsi="Courier New"/>
      <w:kern w:val="2"/>
      <w:sz w:val="21"/>
      <w:szCs w:val="20"/>
      <w:lang w:eastAsia="zh-CN"/>
    </w:rPr>
  </w:style>
  <w:style w:type="paragraph" w:styleId="5">
    <w:name w:val="Balloon Text"/>
    <w:basedOn w:val="1"/>
    <w:link w:val="20"/>
    <w:semiHidden/>
    <w:unhideWhenUsed/>
    <w:uiPriority w:val="99"/>
    <w:pPr>
      <w:spacing w:after="0" w:line="240" w:lineRule="auto"/>
    </w:pPr>
    <w:rPr>
      <w:rFonts w:ascii="Tahoma" w:hAnsi="Tahoma" w:cs="Tahoma"/>
      <w:sz w:val="16"/>
      <w:szCs w:val="16"/>
    </w:rPr>
  </w:style>
  <w:style w:type="paragraph" w:styleId="6">
    <w:name w:val="footer"/>
    <w:basedOn w:val="1"/>
    <w:link w:val="18"/>
    <w:unhideWhenUsed/>
    <w:uiPriority w:val="99"/>
    <w:pPr>
      <w:tabs>
        <w:tab w:val="center" w:pos="4513"/>
        <w:tab w:val="right" w:pos="9026"/>
      </w:tabs>
    </w:pPr>
  </w:style>
  <w:style w:type="paragraph" w:styleId="7">
    <w:name w:val="header"/>
    <w:basedOn w:val="1"/>
    <w:link w:val="17"/>
    <w:unhideWhenUsed/>
    <w:uiPriority w:val="99"/>
    <w:pPr>
      <w:tabs>
        <w:tab w:val="center" w:pos="4513"/>
        <w:tab w:val="right" w:pos="9026"/>
      </w:tabs>
    </w:pPr>
  </w:style>
  <w:style w:type="character" w:styleId="9">
    <w:name w:val="page number"/>
    <w:basedOn w:val="8"/>
    <w:semiHidden/>
    <w:unhideWhenUsed/>
    <w:uiPriority w:val="0"/>
    <w:rPr/>
  </w:style>
  <w:style w:type="character" w:styleId="10">
    <w:name w:val="Hyperlink"/>
    <w:unhideWhenUsed/>
    <w:uiPriority w:val="99"/>
    <w:rPr>
      <w:rFonts w:cs="Times New Roman"/>
      <w:color w:val="0000FF"/>
      <w:u w:val="single"/>
    </w:rPr>
  </w:style>
  <w:style w:type="character" w:styleId="11">
    <w:name w:val="annotation reference"/>
    <w:unhideWhenUsed/>
    <w:uiPriority w:val="99"/>
    <w:rPr>
      <w:sz w:val="18"/>
      <w:szCs w:val="18"/>
    </w:rPr>
  </w:style>
  <w:style w:type="paragraph" w:customStyle="1" w:styleId="12">
    <w:name w:val="Leading 12"/>
    <w:uiPriority w:val="0"/>
    <w:pPr>
      <w:widowControl w:val="0"/>
      <w:tabs>
        <w:tab w:val="left" w:pos="340"/>
        <w:tab w:val="left" w:pos="680"/>
        <w:tab w:val="left" w:pos="1020"/>
        <w:tab w:val="left" w:pos="1361"/>
      </w:tabs>
      <w:autoSpaceDE w:val="0"/>
      <w:autoSpaceDN w:val="0"/>
      <w:adjustRightInd w:val="0"/>
      <w:spacing w:line="182" w:lineRule="atLeast"/>
      <w:jc w:val="both"/>
    </w:pPr>
    <w:rPr>
      <w:rFonts w:ascii="Times" w:hAnsi="Times"/>
      <w:sz w:val="10"/>
      <w:szCs w:val="10"/>
      <w:lang w:val="en-US" w:eastAsia="zh-CN"/>
    </w:rPr>
  </w:style>
  <w:style w:type="paragraph" w:customStyle="1" w:styleId="13">
    <w:name w:val="Leading 06"/>
    <w:uiPriority w:val="0"/>
    <w:pPr>
      <w:widowControl w:val="0"/>
      <w:tabs>
        <w:tab w:val="left" w:pos="340"/>
        <w:tab w:val="left" w:pos="680"/>
        <w:tab w:val="left" w:pos="1020"/>
        <w:tab w:val="left" w:pos="1361"/>
      </w:tabs>
      <w:autoSpaceDE w:val="0"/>
      <w:autoSpaceDN w:val="0"/>
      <w:adjustRightInd w:val="0"/>
      <w:spacing w:line="180" w:lineRule="atLeast"/>
      <w:jc w:val="both"/>
    </w:pPr>
    <w:rPr>
      <w:rFonts w:ascii="Times" w:hAnsi="Times"/>
      <w:sz w:val="10"/>
      <w:szCs w:val="10"/>
      <w:lang w:val="en-US" w:eastAsia="zh-CN"/>
    </w:rPr>
  </w:style>
  <w:style w:type="paragraph" w:customStyle="1" w:styleId="14">
    <w:name w:val="Body Text1"/>
    <w:uiPriority w:val="0"/>
    <w:pPr>
      <w:widowControl w:val="0"/>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line="200" w:lineRule="atLeast"/>
      <w:ind w:left="340"/>
      <w:jc w:val="both"/>
    </w:pPr>
    <w:rPr>
      <w:rFonts w:ascii="Times" w:hAnsi="Times"/>
      <w:color w:val="000000"/>
      <w:sz w:val="17"/>
      <w:szCs w:val="17"/>
      <w:lang w:val="en-US" w:eastAsia="zh-CN"/>
    </w:rPr>
  </w:style>
  <w:style w:type="paragraph" w:customStyle="1" w:styleId="15">
    <w:name w:val="List Paragraph1"/>
    <w:basedOn w:val="1"/>
    <w:qFormat/>
    <w:uiPriority w:val="34"/>
    <w:pPr>
      <w:ind w:left="720"/>
    </w:pPr>
  </w:style>
  <w:style w:type="paragraph" w:customStyle="1" w:styleId="16">
    <w:name w:val="Revision1"/>
    <w:hidden/>
    <w:semiHidden/>
    <w:uiPriority w:val="99"/>
    <w:rPr>
      <w:lang w:val="en-US" w:eastAsia="zh-CN"/>
    </w:rPr>
  </w:style>
  <w:style w:type="character" w:customStyle="1" w:styleId="17">
    <w:name w:val="Header Char"/>
    <w:link w:val="7"/>
    <w:locked/>
    <w:uiPriority w:val="99"/>
    <w:rPr>
      <w:rFonts w:cs="Times New Roman"/>
    </w:rPr>
  </w:style>
  <w:style w:type="character" w:customStyle="1" w:styleId="18">
    <w:name w:val="Footer Char"/>
    <w:link w:val="6"/>
    <w:locked/>
    <w:uiPriority w:val="99"/>
    <w:rPr>
      <w:rFonts w:cs="Times New Roman"/>
    </w:rPr>
  </w:style>
  <w:style w:type="character" w:customStyle="1" w:styleId="19">
    <w:name w:val="Plain Text Char"/>
    <w:link w:val="4"/>
    <w:semiHidden/>
    <w:locked/>
    <w:uiPriority w:val="99"/>
    <w:rPr>
      <w:rFonts w:ascii="宋体" w:hAnsi="Courier New" w:eastAsia="宋体" w:cs="Times New Roman"/>
      <w:kern w:val="2"/>
      <w:sz w:val="20"/>
      <w:szCs w:val="20"/>
      <w:lang w:eastAsia="zh-CN"/>
    </w:rPr>
  </w:style>
  <w:style w:type="character" w:customStyle="1" w:styleId="20">
    <w:name w:val="Balloon Text Char"/>
    <w:link w:val="5"/>
    <w:semiHidden/>
    <w:locked/>
    <w:uiPriority w:val="99"/>
    <w:rPr>
      <w:rFonts w:ascii="Tahoma" w:hAnsi="Tahoma" w:cs="Tahoma"/>
      <w:sz w:val="16"/>
      <w:szCs w:val="16"/>
    </w:rPr>
  </w:style>
  <w:style w:type="character" w:customStyle="1" w:styleId="21">
    <w:name w:val="Comment Text Char"/>
    <w:basedOn w:val="8"/>
    <w:link w:val="3"/>
    <w:uiPriority w:val="99"/>
    <w:rPr/>
  </w:style>
  <w:style w:type="character" w:customStyle="1" w:styleId="22">
    <w:name w:val="Comment Subject Char"/>
    <w:link w:val="2"/>
    <w:semiHidden/>
    <w:uiPriority w:val="99"/>
    <w:rPr>
      <w:b/>
      <w:bCs/>
      <w:sz w:val="20"/>
      <w:szCs w:val="2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579</Words>
  <Characters>3305</Characters>
  <Lines>27</Lines>
  <Paragraphs>7</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2018-04-06T04:26:00Z</dcterms:created>
  <dc:creator>Kin Ng</dc:creator>
  <cp:lastModifiedBy>曹长求</cp:lastModifiedBy>
  <cp:lastPrinted>2018-04-18T04:37:00Z</cp:lastPrinted>
  <dcterms:modified xsi:type="dcterms:W3CDTF">2018-04-18T06:09:59Z</dcterms:modified>
  <dc:title>香港交易及結算所有限公司及香港聯合交易所有限公司對本公告的內容概不負責，對其準確性或完整性亦不發表任何聲明，並明確表示，概不就因本公告全部或任何部分內容而產生或因依賴該等內容而引致的任何損失承擔任何責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