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rFonts w:ascii="宋体"/>
          <w:color w:val="231F20"/>
          <w:kern w:val="0"/>
          <w:sz w:val="28"/>
          <w:szCs w:val="28"/>
          <w:lang w:eastAsia="zh-TW"/>
        </w:rPr>
      </w:pPr>
      <w:r>
        <w:rPr>
          <w:rFonts w:hint="eastAsia" w:eastAsia="PMingLiU" w:cs="PMingLiU"/>
          <w:i/>
          <w:iCs/>
          <w:sz w:val="20"/>
          <w:szCs w:val="20"/>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rPr>
          <w:rFonts w:ascii="宋体"/>
          <w:color w:val="231F20"/>
          <w:kern w:val="0"/>
          <w:sz w:val="28"/>
          <w:szCs w:val="28"/>
          <w:lang w:eastAsia="zh-TW"/>
        </w:rPr>
      </w:pPr>
      <w:r>
        <w:rPr>
          <w:rFonts w:ascii="Times New Roman" w:hAnsi="Times New Roman" w:eastAsia="宋体" w:cs="Times New Roman"/>
          <w:kern w:val="2"/>
          <w:sz w:val="21"/>
          <w:szCs w:val="21"/>
          <w:lang w:val="en-US" w:eastAsia="zh-CN" w:bidi="ar-SA"/>
        </w:rPr>
        <w:pict>
          <v:shape id="Picture 2" o:spid="_x0000_s1026" type="#_x0000_t75" style="position:absolute;left:0;margin-left:216.7pt;margin-top:6.5pt;height:48pt;width:42pt;rotation:0f;z-index:251658240;"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autoSpaceDE w:val="0"/>
        <w:autoSpaceDN w:val="0"/>
        <w:adjustRightInd w:val="0"/>
        <w:rPr>
          <w:rFonts w:ascii="宋体"/>
          <w:color w:val="231F20"/>
          <w:kern w:val="0"/>
          <w:sz w:val="28"/>
          <w:szCs w:val="28"/>
          <w:lang w:eastAsia="zh-TW"/>
        </w:rPr>
      </w:pPr>
    </w:p>
    <w:p>
      <w:pPr>
        <w:autoSpaceDE w:val="0"/>
        <w:autoSpaceDN w:val="0"/>
        <w:adjustRightInd w:val="0"/>
        <w:jc w:val="center"/>
        <w:rPr>
          <w:rFonts w:ascii="宋体"/>
          <w:b/>
          <w:bCs/>
          <w:color w:val="231F20"/>
          <w:kern w:val="0"/>
          <w:sz w:val="24"/>
          <w:szCs w:val="24"/>
          <w:lang w:eastAsia="zh-TW"/>
        </w:rPr>
      </w:pPr>
    </w:p>
    <w:p>
      <w:pPr>
        <w:autoSpaceDE w:val="0"/>
        <w:autoSpaceDN w:val="0"/>
        <w:adjustRightInd w:val="0"/>
        <w:spacing w:beforeLines="20" w:afterLines="10"/>
        <w:jc w:val="center"/>
        <w:rPr>
          <w:rFonts w:ascii="宋体" w:hAnsi="宋体" w:eastAsia="PMingLiU"/>
          <w:b/>
          <w:bCs/>
          <w:color w:val="211E1E"/>
          <w:kern w:val="0"/>
          <w:sz w:val="24"/>
          <w:szCs w:val="24"/>
          <w:lang w:eastAsia="zh-TW"/>
        </w:rPr>
      </w:pPr>
      <w:r>
        <w:rPr>
          <w:rFonts w:hint="eastAsia" w:ascii="宋体" w:hAnsi="宋体" w:eastAsia="PMingLiU" w:cs="PMingLiU"/>
          <w:b/>
          <w:bCs/>
          <w:color w:val="211E1E"/>
          <w:kern w:val="0"/>
          <w:sz w:val="24"/>
          <w:szCs w:val="24"/>
          <w:lang w:eastAsia="zh-TW"/>
        </w:rPr>
        <w:t>山東新華製藥股份有限公司</w:t>
      </w:r>
    </w:p>
    <w:p>
      <w:pPr>
        <w:autoSpaceDE w:val="0"/>
        <w:autoSpaceDN w:val="0"/>
        <w:adjustRightInd w:val="0"/>
        <w:spacing w:beforeLines="20" w:afterLines="10"/>
        <w:jc w:val="center"/>
        <w:rPr>
          <w:rFonts w:ascii="宋体" w:hAnsi="宋体" w:eastAsia="PMingLiU"/>
          <w:b/>
          <w:bCs/>
          <w:color w:val="211E1E"/>
          <w:kern w:val="0"/>
          <w:sz w:val="24"/>
          <w:szCs w:val="24"/>
          <w:lang w:eastAsia="zh-TW"/>
        </w:rPr>
      </w:pPr>
      <w:r>
        <w:rPr>
          <w:rFonts w:ascii="宋体" w:hAnsi="宋体" w:eastAsia="PMingLiU" w:cs="宋体"/>
          <w:b/>
          <w:bCs/>
          <w:color w:val="211E1E"/>
          <w:kern w:val="0"/>
          <w:sz w:val="24"/>
          <w:szCs w:val="24"/>
          <w:lang w:eastAsia="zh-TW"/>
        </w:rPr>
        <w:t>Shandong Xinhua Pharmaceutical Company Limited</w:t>
      </w:r>
    </w:p>
    <w:p>
      <w:pPr>
        <w:autoSpaceDE w:val="0"/>
        <w:autoSpaceDN w:val="0"/>
        <w:adjustRightInd w:val="0"/>
        <w:spacing w:beforeLines="20" w:afterLines="10"/>
        <w:jc w:val="center"/>
        <w:rPr>
          <w:rFonts w:ascii="宋体" w:hAnsi="宋体" w:eastAsia="PMingLiU"/>
          <w:kern w:val="0"/>
          <w:sz w:val="24"/>
          <w:szCs w:val="24"/>
          <w:lang w:eastAsia="zh-TW"/>
        </w:rPr>
      </w:pPr>
      <w:r>
        <w:rPr>
          <w:rFonts w:hint="eastAsia" w:ascii="宋体" w:hAnsi="宋体" w:eastAsia="PMingLiU" w:cs="PMingLiU"/>
          <w:color w:val="211E1E"/>
          <w:kern w:val="0"/>
          <w:sz w:val="24"/>
          <w:szCs w:val="24"/>
          <w:lang w:eastAsia="zh-TW"/>
        </w:rPr>
        <w:t>（</w:t>
      </w:r>
      <w:r>
        <w:rPr>
          <w:rFonts w:hint="eastAsia" w:ascii="宋体" w:hAnsi="宋体" w:eastAsia="PMingLiU" w:cs="PMingLiU"/>
          <w:kern w:val="0"/>
          <w:sz w:val="24"/>
          <w:szCs w:val="24"/>
          <w:lang w:eastAsia="zh-TW"/>
        </w:rPr>
        <w:t>於中華人民共和國註冊成立之股份有限公司）</w:t>
      </w:r>
    </w:p>
    <w:p>
      <w:pPr>
        <w:autoSpaceDE w:val="0"/>
        <w:autoSpaceDN w:val="0"/>
        <w:adjustRightInd w:val="0"/>
        <w:spacing w:beforeLines="50" w:afterLines="10"/>
        <w:jc w:val="center"/>
        <w:rPr>
          <w:rFonts w:ascii="宋体" w:hAnsi="宋体" w:eastAsia="PMingLiU"/>
          <w:kern w:val="0"/>
          <w:sz w:val="24"/>
          <w:szCs w:val="24"/>
          <w:lang w:eastAsia="zh-TW"/>
        </w:rPr>
      </w:pPr>
      <w:r>
        <w:rPr>
          <w:rFonts w:hint="eastAsia" w:ascii="宋体" w:hAnsi="宋体" w:eastAsia="PMingLiU" w:cs="PMingLiU"/>
          <w:kern w:val="0"/>
          <w:sz w:val="24"/>
          <w:szCs w:val="24"/>
          <w:lang w:eastAsia="zh-TW"/>
        </w:rPr>
        <w:t>（股份代碼：</w:t>
      </w:r>
      <w:r>
        <w:rPr>
          <w:rFonts w:ascii="宋体" w:hAnsi="宋体" w:eastAsia="PMingLiU" w:cs="宋体"/>
          <w:kern w:val="0"/>
          <w:sz w:val="24"/>
          <w:szCs w:val="24"/>
          <w:lang w:eastAsia="zh-TW"/>
        </w:rPr>
        <w:t>0719</w:t>
      </w:r>
      <w:r>
        <w:rPr>
          <w:rFonts w:hint="eastAsia" w:ascii="宋体" w:hAnsi="宋体" w:eastAsia="PMingLiU" w:cs="PMingLiU"/>
          <w:kern w:val="0"/>
          <w:sz w:val="24"/>
          <w:szCs w:val="24"/>
          <w:lang w:eastAsia="zh-TW"/>
        </w:rPr>
        <w:t>）</w:t>
      </w:r>
    </w:p>
    <w:p>
      <w:pPr>
        <w:pStyle w:val="10"/>
        <w:spacing w:beforeLines="50" w:afterLines="10"/>
        <w:jc w:val="center"/>
        <w:rPr>
          <w:rFonts w:ascii="宋体" w:hAnsi="宋体" w:eastAsia="宋体" w:cs="Times New Roman"/>
          <w:b/>
          <w:bCs/>
          <w:color w:val="auto"/>
        </w:rPr>
      </w:pPr>
      <w:r>
        <w:rPr>
          <w:rFonts w:hint="eastAsia" w:ascii="宋体" w:hAnsi="宋体" w:eastAsia="宋体" w:cs="宋体"/>
          <w:b/>
          <w:bCs/>
          <w:color w:val="auto"/>
        </w:rPr>
        <w:t>2018</w:t>
      </w:r>
      <w:r>
        <w:rPr>
          <w:rFonts w:hint="eastAsia" w:ascii="宋体" w:hAnsi="宋体" w:eastAsia="PMingLiU" w:cs="PMingLiU"/>
          <w:b/>
          <w:bCs/>
          <w:color w:val="auto"/>
          <w:lang w:eastAsia="zh-TW"/>
        </w:rPr>
        <w:t>年第一季度業績</w:t>
      </w:r>
    </w:p>
    <w:p>
      <w:pPr>
        <w:pStyle w:val="10"/>
        <w:spacing w:beforeLines="20" w:afterLines="10"/>
        <w:jc w:val="center"/>
        <w:rPr>
          <w:rFonts w:ascii="宋体" w:hAnsi="宋体" w:eastAsia="PMingLiU" w:cs="Times New Roman"/>
          <w:color w:val="auto"/>
          <w:lang w:eastAsia="zh-TW"/>
        </w:rPr>
      </w:pPr>
      <w:r>
        <w:rPr>
          <w:rFonts w:hint="eastAsia" w:ascii="宋体" w:hAnsi="宋体" w:eastAsia="PMingLiU" w:cs="PMingLiU"/>
          <w:color w:val="auto"/>
          <w:lang w:eastAsia="zh-TW"/>
        </w:rPr>
        <w:t>（本報告期由</w:t>
      </w:r>
      <w:r>
        <w:rPr>
          <w:rFonts w:hint="eastAsia" w:ascii="宋体" w:hAnsi="宋体" w:eastAsia="宋体" w:cs="宋体"/>
          <w:color w:val="auto"/>
          <w:lang w:eastAsia="zh-TW"/>
        </w:rPr>
        <w:t>2018</w:t>
      </w:r>
      <w:r>
        <w:rPr>
          <w:rFonts w:hint="eastAsia" w:ascii="宋体" w:hAnsi="宋体" w:eastAsia="PMingLiU" w:cs="PMingLiU"/>
          <w:color w:val="auto"/>
          <w:lang w:eastAsia="zh-TW"/>
        </w:rPr>
        <w:t>年</w:t>
      </w:r>
      <w:r>
        <w:rPr>
          <w:rFonts w:ascii="宋体" w:hAnsi="宋体" w:eastAsia="PMingLiU" w:cs="宋体"/>
          <w:color w:val="auto"/>
          <w:lang w:eastAsia="zh-TW"/>
        </w:rPr>
        <w:t>1</w:t>
      </w:r>
      <w:r>
        <w:rPr>
          <w:rFonts w:hint="eastAsia" w:ascii="宋体" w:hAnsi="宋体" w:eastAsia="PMingLiU" w:cs="PMingLiU"/>
          <w:color w:val="auto"/>
          <w:lang w:eastAsia="zh-TW"/>
        </w:rPr>
        <w:t>月</w:t>
      </w:r>
      <w:r>
        <w:rPr>
          <w:rFonts w:ascii="宋体" w:hAnsi="宋体" w:eastAsia="PMingLiU" w:cs="宋体"/>
          <w:color w:val="auto"/>
          <w:lang w:eastAsia="zh-TW"/>
        </w:rPr>
        <w:t>1</w:t>
      </w:r>
      <w:r>
        <w:rPr>
          <w:rFonts w:hint="eastAsia" w:ascii="宋体" w:hAnsi="宋体" w:eastAsia="PMingLiU" w:cs="PMingLiU"/>
          <w:color w:val="auto"/>
          <w:lang w:eastAsia="zh-TW"/>
        </w:rPr>
        <w:t>日至</w:t>
      </w:r>
      <w:r>
        <w:rPr>
          <w:rFonts w:hint="eastAsia" w:ascii="宋体" w:hAnsi="宋体" w:eastAsia="宋体" w:cs="宋体"/>
          <w:color w:val="auto"/>
          <w:lang w:eastAsia="zh-TW"/>
        </w:rPr>
        <w:t>2018</w:t>
      </w:r>
      <w:r>
        <w:rPr>
          <w:rFonts w:hint="eastAsia" w:ascii="宋体" w:hAnsi="宋体" w:eastAsia="PMingLiU" w:cs="PMingLiU"/>
          <w:color w:val="auto"/>
          <w:lang w:eastAsia="zh-TW"/>
        </w:rPr>
        <w:t>年</w:t>
      </w:r>
      <w:r>
        <w:rPr>
          <w:rFonts w:ascii="宋体" w:hAnsi="宋体" w:eastAsia="PMingLiU" w:cs="宋体"/>
          <w:color w:val="auto"/>
          <w:lang w:eastAsia="zh-TW"/>
        </w:rPr>
        <w:t>3</w:t>
      </w:r>
      <w:r>
        <w:rPr>
          <w:rFonts w:hint="eastAsia" w:ascii="宋体" w:hAnsi="宋体" w:eastAsia="PMingLiU" w:cs="PMingLiU"/>
          <w:color w:val="auto"/>
          <w:lang w:eastAsia="zh-TW"/>
        </w:rPr>
        <w:t>月</w:t>
      </w:r>
      <w:r>
        <w:rPr>
          <w:rFonts w:ascii="宋体" w:hAnsi="宋体" w:eastAsia="PMingLiU" w:cs="宋体"/>
          <w:color w:val="auto"/>
          <w:lang w:eastAsia="zh-TW"/>
        </w:rPr>
        <w:t>31</w:t>
      </w:r>
      <w:r>
        <w:rPr>
          <w:rFonts w:hint="eastAsia" w:ascii="宋体" w:hAnsi="宋体" w:eastAsia="PMingLiU" w:cs="PMingLiU"/>
          <w:color w:val="auto"/>
          <w:lang w:eastAsia="zh-TW"/>
        </w:rPr>
        <w:t>日止）</w:t>
      </w:r>
    </w:p>
    <w:p>
      <w:pPr>
        <w:pStyle w:val="10"/>
        <w:spacing w:beforeLines="20" w:afterLines="10"/>
        <w:jc w:val="center"/>
        <w:rPr>
          <w:rFonts w:ascii="宋体" w:hAnsi="宋体" w:eastAsia="PMingLiU" w:cs="Times New Roman"/>
          <w:color w:val="auto"/>
          <w:sz w:val="21"/>
          <w:szCs w:val="21"/>
          <w:lang w:eastAsia="zh-TW"/>
        </w:rPr>
      </w:pPr>
    </w:p>
    <w:p>
      <w:pPr>
        <w:widowControl/>
        <w:autoSpaceDE w:val="0"/>
        <w:autoSpaceDN w:val="0"/>
        <w:adjustRightInd w:val="0"/>
        <w:jc w:val="left"/>
        <w:rPr>
          <w:rFonts w:ascii="宋体" w:hAnsi="宋体" w:eastAsia="PMingLiU"/>
          <w:lang w:eastAsia="zh-TW"/>
        </w:rPr>
      </w:pPr>
      <w:r>
        <w:rPr>
          <w:rFonts w:hint="eastAsia" w:ascii="宋体" w:hAnsi="宋体" w:eastAsia="PMingLiU" w:cs="PMingLiU"/>
          <w:lang w:eastAsia="zh-TW"/>
        </w:rPr>
        <w:t>本公告乃根據香港聯合交易所有限公司證券上市規則（「</w:t>
      </w:r>
      <w:r>
        <w:rPr>
          <w:rFonts w:hint="eastAsia" w:ascii="宋体" w:hAnsi="宋体" w:eastAsia="PMingLiU" w:cs="PMingLiU"/>
          <w:b/>
          <w:bCs/>
          <w:lang w:eastAsia="zh-TW"/>
        </w:rPr>
        <w:t>上市規則</w:t>
      </w:r>
      <w:r>
        <w:rPr>
          <w:rFonts w:hint="eastAsia" w:ascii="宋体" w:hAnsi="宋体" w:eastAsia="PMingLiU" w:cs="PMingLiU"/>
          <w:lang w:eastAsia="zh-TW"/>
        </w:rPr>
        <w:t>」）第</w:t>
      </w:r>
      <w:r>
        <w:rPr>
          <w:rFonts w:ascii="宋体" w:hAnsi="宋体" w:eastAsia="PMingLiU" w:cs="宋体"/>
          <w:lang w:eastAsia="zh-TW"/>
        </w:rPr>
        <w:t>13.09</w:t>
      </w:r>
      <w:r>
        <w:rPr>
          <w:rFonts w:hint="eastAsia" w:ascii="宋体" w:hAnsi="宋体" w:eastAsia="PMingLiU" w:cs="PMingLiU"/>
          <w:lang w:eastAsia="zh-TW"/>
        </w:rPr>
        <w:t>條及第</w:t>
      </w:r>
      <w:r>
        <w:rPr>
          <w:rFonts w:ascii="宋体" w:hAnsi="宋体" w:eastAsia="PMingLiU" w:cs="宋体"/>
          <w:lang w:eastAsia="zh-TW"/>
        </w:rPr>
        <w:t>13.10B</w:t>
      </w:r>
      <w:r>
        <w:rPr>
          <w:rFonts w:hint="eastAsia" w:ascii="宋体" w:hAnsi="宋体" w:eastAsia="PMingLiU" w:cs="PMingLiU"/>
          <w:lang w:eastAsia="zh-TW"/>
        </w:rPr>
        <w:t>條及證券及期貨條例（香港法例第</w:t>
      </w:r>
      <w:r>
        <w:rPr>
          <w:rFonts w:ascii="宋体" w:hAnsi="宋体" w:eastAsia="PMingLiU" w:cs="宋体"/>
          <w:lang w:eastAsia="zh-TW"/>
        </w:rPr>
        <w:t>571</w:t>
      </w:r>
      <w:r>
        <w:rPr>
          <w:rFonts w:hint="eastAsia" w:ascii="宋体" w:hAnsi="宋体" w:eastAsia="PMingLiU" w:cs="PMingLiU"/>
          <w:lang w:eastAsia="zh-TW"/>
        </w:rPr>
        <w:t>章）第</w:t>
      </w:r>
      <w:r>
        <w:rPr>
          <w:rFonts w:ascii="宋体" w:hAnsi="宋体" w:eastAsia="PMingLiU" w:cs="宋体"/>
          <w:lang w:eastAsia="zh-TW"/>
        </w:rPr>
        <w:t>XIVA</w:t>
      </w:r>
      <w:r>
        <w:rPr>
          <w:rFonts w:hint="eastAsia" w:ascii="宋体" w:hAnsi="宋体" w:eastAsia="PMingLiU" w:cs="PMingLiU"/>
          <w:lang w:eastAsia="zh-TW"/>
        </w:rPr>
        <w:t>部項下的內幕消息條文（定義見上市規則）而作出。</w:t>
      </w:r>
    </w:p>
    <w:p>
      <w:pPr>
        <w:pStyle w:val="10"/>
        <w:spacing w:beforeLines="20" w:afterLines="10"/>
        <w:rPr>
          <w:rFonts w:ascii="宋体" w:hAnsi="宋体" w:eastAsia="宋体" w:cs="Times New Roman"/>
          <w:color w:val="auto"/>
          <w:sz w:val="21"/>
          <w:szCs w:val="21"/>
          <w:lang w:eastAsia="zh-TW"/>
        </w:rPr>
      </w:pPr>
    </w:p>
    <w:p>
      <w:pPr>
        <w:pStyle w:val="10"/>
        <w:spacing w:beforeLines="20" w:afterLines="10"/>
        <w:rPr>
          <w:rFonts w:ascii="宋体" w:hAnsi="宋体" w:eastAsia="宋体" w:cs="PMingLiU"/>
          <w:color w:val="auto"/>
          <w:sz w:val="21"/>
          <w:szCs w:val="21"/>
          <w:lang w:eastAsia="zh-TW"/>
        </w:rPr>
      </w:pPr>
      <w:r>
        <w:rPr>
          <w:rFonts w:hint="eastAsia" w:ascii="宋体" w:hAnsi="宋体" w:eastAsia="PMingLiU" w:cs="PMingLiU"/>
          <w:color w:val="auto"/>
          <w:sz w:val="21"/>
          <w:szCs w:val="21"/>
          <w:lang w:eastAsia="zh-TW"/>
        </w:rPr>
        <w:t>山東新華製藥股份有限公司（「</w:t>
      </w:r>
      <w:r>
        <w:rPr>
          <w:rFonts w:hint="eastAsia" w:ascii="宋体" w:hAnsi="宋体" w:eastAsia="PMingLiU" w:cs="PMingLiU"/>
          <w:b/>
          <w:color w:val="auto"/>
          <w:sz w:val="21"/>
          <w:szCs w:val="21"/>
          <w:lang w:eastAsia="zh-TW"/>
        </w:rPr>
        <w:t>本公司</w:t>
      </w:r>
      <w:r>
        <w:rPr>
          <w:rFonts w:hint="eastAsia" w:ascii="宋体" w:hAnsi="宋体" w:eastAsia="PMingLiU" w:cs="PMingLiU"/>
          <w:color w:val="auto"/>
          <w:sz w:val="21"/>
          <w:szCs w:val="21"/>
          <w:lang w:eastAsia="zh-TW"/>
        </w:rPr>
        <w:t>」）董事會（「</w:t>
      </w:r>
      <w:r>
        <w:rPr>
          <w:rFonts w:hint="eastAsia" w:ascii="宋体" w:hAnsi="宋体" w:eastAsia="PMingLiU" w:cs="PMingLiU"/>
          <w:b/>
          <w:color w:val="auto"/>
          <w:sz w:val="21"/>
          <w:szCs w:val="21"/>
          <w:lang w:eastAsia="zh-TW"/>
        </w:rPr>
        <w:t>董事會</w:t>
      </w:r>
      <w:r>
        <w:rPr>
          <w:rFonts w:hint="eastAsia" w:ascii="宋体" w:hAnsi="宋体" w:eastAsia="PMingLiU" w:cs="PMingLiU"/>
          <w:color w:val="auto"/>
          <w:sz w:val="21"/>
          <w:szCs w:val="21"/>
          <w:lang w:eastAsia="zh-TW"/>
        </w:rPr>
        <w:t>」）謹此宣佈本公司及其附屬公司（「</w:t>
      </w:r>
      <w:r>
        <w:rPr>
          <w:rFonts w:hint="eastAsia" w:ascii="宋体" w:hAnsi="宋体" w:eastAsia="PMingLiU" w:cs="PMingLiU"/>
          <w:b/>
          <w:color w:val="auto"/>
          <w:sz w:val="21"/>
          <w:szCs w:val="21"/>
          <w:lang w:eastAsia="zh-TW"/>
        </w:rPr>
        <w:t>本集團</w:t>
      </w:r>
      <w:r>
        <w:rPr>
          <w:rFonts w:hint="eastAsia" w:ascii="宋体" w:hAnsi="宋体" w:eastAsia="PMingLiU" w:cs="PMingLiU"/>
          <w:color w:val="auto"/>
          <w:sz w:val="21"/>
          <w:szCs w:val="21"/>
          <w:lang w:eastAsia="zh-TW"/>
        </w:rPr>
        <w:t>」）截至</w:t>
      </w:r>
      <w:r>
        <w:rPr>
          <w:rFonts w:hint="eastAsia" w:ascii="宋体" w:hAnsi="宋体" w:eastAsia="宋体" w:cs="宋体"/>
          <w:color w:val="auto"/>
          <w:sz w:val="21"/>
          <w:szCs w:val="21"/>
          <w:lang w:eastAsia="zh-TW"/>
        </w:rPr>
        <w:t>2018</w:t>
      </w:r>
      <w:r>
        <w:rPr>
          <w:rFonts w:hint="eastAsia" w:ascii="宋体" w:hAnsi="宋体" w:eastAsia="PMingLiU" w:cs="PMingLiU"/>
          <w:color w:val="auto"/>
          <w:sz w:val="21"/>
          <w:szCs w:val="21"/>
          <w:lang w:eastAsia="zh-TW"/>
        </w:rPr>
        <w:t>年</w:t>
      </w:r>
      <w:r>
        <w:rPr>
          <w:rFonts w:ascii="宋体" w:hAnsi="宋体" w:eastAsia="PMingLiU" w:cs="宋体"/>
          <w:color w:val="auto"/>
          <w:sz w:val="21"/>
          <w:szCs w:val="21"/>
          <w:lang w:eastAsia="zh-TW"/>
        </w:rPr>
        <w:t>3</w:t>
      </w:r>
      <w:r>
        <w:rPr>
          <w:rFonts w:hint="eastAsia" w:ascii="宋体" w:hAnsi="宋体" w:eastAsia="PMingLiU" w:cs="PMingLiU"/>
          <w:color w:val="auto"/>
          <w:sz w:val="21"/>
          <w:szCs w:val="21"/>
          <w:lang w:eastAsia="zh-TW"/>
        </w:rPr>
        <w:t>月</w:t>
      </w:r>
      <w:r>
        <w:rPr>
          <w:rFonts w:ascii="宋体" w:hAnsi="宋体" w:eastAsia="PMingLiU" w:cs="宋体"/>
          <w:color w:val="auto"/>
          <w:sz w:val="21"/>
          <w:szCs w:val="21"/>
          <w:lang w:eastAsia="zh-TW"/>
        </w:rPr>
        <w:t>31</w:t>
      </w:r>
      <w:r>
        <w:rPr>
          <w:rFonts w:hint="eastAsia" w:ascii="宋体" w:hAnsi="宋体" w:eastAsia="PMingLiU" w:cs="PMingLiU"/>
          <w:color w:val="auto"/>
          <w:sz w:val="21"/>
          <w:szCs w:val="21"/>
          <w:lang w:eastAsia="zh-TW"/>
        </w:rPr>
        <w:t>日止三個月未經審核的綜合業績。本公告所載之財務資料均按照《中國企業會計準則》（定義見上市規則）編製而且已經董事會審核委員會審視並核准。</w:t>
      </w:r>
    </w:p>
    <w:p>
      <w:pPr>
        <w:pStyle w:val="10"/>
        <w:spacing w:beforeLines="20" w:afterLines="10"/>
        <w:rPr>
          <w:rFonts w:ascii="宋体" w:hAnsi="宋体" w:eastAsia="宋体" w:cs="Times New Roman"/>
          <w:color w:val="auto"/>
          <w:sz w:val="21"/>
          <w:szCs w:val="21"/>
          <w:lang w:eastAsia="zh-TW"/>
        </w:rPr>
      </w:pPr>
    </w:p>
    <w:p>
      <w:pPr>
        <w:pStyle w:val="10"/>
        <w:spacing w:beforeLines="20" w:afterLines="10"/>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本公告分別以中文及英文編製，若中、英文版有任何差異，概以中文為准。</w:t>
      </w:r>
    </w:p>
    <w:p>
      <w:pPr>
        <w:pStyle w:val="10"/>
        <w:spacing w:beforeLines="20" w:afterLines="10"/>
        <w:rPr>
          <w:rFonts w:ascii="宋体" w:hAnsi="宋体" w:eastAsia="PMingLiU" w:cs="宋体"/>
          <w:b/>
          <w:bCs/>
          <w:color w:val="auto"/>
          <w:sz w:val="21"/>
          <w:szCs w:val="21"/>
          <w:lang w:eastAsia="zh-TW"/>
        </w:rPr>
      </w:pPr>
      <w:r>
        <w:rPr>
          <w:rFonts w:ascii="宋体" w:hAnsi="宋体" w:eastAsia="宋体" w:cs="宋体"/>
          <w:b/>
          <w:bCs/>
          <w:color w:val="auto"/>
          <w:sz w:val="21"/>
          <w:szCs w:val="21"/>
          <w:lang w:eastAsia="zh-TW"/>
        </w:rPr>
        <w:br w:type="page"/>
      </w:r>
      <w:r>
        <w:rPr>
          <w:rFonts w:ascii="宋体" w:hAnsi="宋体" w:eastAsia="宋体" w:cs="宋体"/>
          <w:b/>
          <w:bCs/>
          <w:color w:val="auto"/>
          <w:sz w:val="21"/>
          <w:szCs w:val="21"/>
          <w:lang w:eastAsia="zh-TW"/>
        </w:rPr>
        <w:t xml:space="preserve">A. </w:t>
      </w:r>
      <w:r>
        <w:rPr>
          <w:rFonts w:hint="eastAsia" w:ascii="宋体" w:hAnsi="宋体" w:eastAsia="PMingLiU" w:cs="宋体"/>
          <w:b/>
          <w:bCs/>
          <w:color w:val="auto"/>
          <w:sz w:val="21"/>
          <w:szCs w:val="21"/>
          <w:lang w:eastAsia="zh-TW"/>
        </w:rPr>
        <w:t>報告期內未經審核業績</w:t>
      </w:r>
    </w:p>
    <w:p>
      <w:pPr>
        <w:pStyle w:val="10"/>
        <w:spacing w:beforeLines="20" w:afterLines="10"/>
        <w:rPr>
          <w:rFonts w:ascii="宋体" w:hAnsi="宋体" w:eastAsia="宋体" w:cs="Times New Roman"/>
          <w:b/>
          <w:bCs/>
          <w:color w:val="auto"/>
          <w:sz w:val="21"/>
          <w:szCs w:val="21"/>
          <w:lang w:eastAsia="zh-TW"/>
        </w:rPr>
      </w:pPr>
      <w:r>
        <w:rPr>
          <w:rFonts w:ascii="宋体" w:hAnsi="宋体" w:eastAsia="PMingLiU" w:cs="宋体"/>
          <w:b/>
          <w:bCs/>
          <w:color w:val="auto"/>
          <w:sz w:val="21"/>
          <w:szCs w:val="21"/>
          <w:lang w:eastAsia="zh-TW"/>
        </w:rPr>
        <w:t>1</w:t>
      </w:r>
      <w:r>
        <w:rPr>
          <w:rFonts w:hint="eastAsia" w:ascii="宋体" w:hAnsi="宋体" w:eastAsia="PMingLiU" w:cs="PMingLiU"/>
          <w:b/>
          <w:bCs/>
          <w:color w:val="auto"/>
          <w:sz w:val="21"/>
          <w:szCs w:val="21"/>
          <w:lang w:eastAsia="zh-TW"/>
        </w:rPr>
        <w:t>、主要會計資料及財務指標</w:t>
      </w:r>
    </w:p>
    <w:tbl>
      <w:tblPr>
        <w:tblW w:w="998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156"/>
        <w:gridCol w:w="2168"/>
        <w:gridCol w:w="2490"/>
        <w:gridCol w:w="2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30" w:hRule="atLeast"/>
        </w:trPr>
        <w:tc>
          <w:tcPr>
            <w:tcW w:w="3156" w:type="dxa"/>
            <w:vAlign w:val="top"/>
          </w:tcPr>
          <w:p>
            <w:pPr>
              <w:pStyle w:val="10"/>
              <w:spacing w:beforeLines="20" w:afterLines="20"/>
              <w:jc w:val="both"/>
              <w:rPr>
                <w:rFonts w:ascii="宋体" w:hAnsi="宋体" w:eastAsia="PMingLiU" w:cs="Times New Roman"/>
                <w:b/>
                <w:bCs/>
                <w:color w:val="auto"/>
                <w:kern w:val="32"/>
                <w:sz w:val="21"/>
                <w:szCs w:val="21"/>
                <w:lang w:eastAsia="zh-TW"/>
              </w:rPr>
            </w:pPr>
          </w:p>
        </w:tc>
        <w:tc>
          <w:tcPr>
            <w:tcW w:w="2168" w:type="dxa"/>
            <w:vAlign w:val="top"/>
          </w:tcPr>
          <w:p>
            <w:pPr>
              <w:pStyle w:val="10"/>
              <w:spacing w:beforeLines="20" w:afterLines="20"/>
              <w:jc w:val="right"/>
              <w:rPr>
                <w:rFonts w:ascii="宋体" w:hAnsi="宋体" w:eastAsia="PMingLiU" w:cs="Times New Roman"/>
                <w:b/>
                <w:bCs/>
                <w:color w:val="auto"/>
                <w:sz w:val="21"/>
                <w:szCs w:val="21"/>
                <w:lang w:eastAsia="zh-TW"/>
              </w:rPr>
            </w:pPr>
            <w:r>
              <w:rPr>
                <w:rFonts w:hint="eastAsia" w:ascii="宋体" w:hAnsi="宋体" w:eastAsia="PMingLiU" w:cs="PMingLiU"/>
                <w:b/>
                <w:bCs/>
                <w:color w:val="auto"/>
                <w:sz w:val="21"/>
                <w:szCs w:val="21"/>
                <w:lang w:eastAsia="zh-TW"/>
              </w:rPr>
              <w:t>於</w:t>
            </w:r>
            <w:r>
              <w:rPr>
                <w:rFonts w:hint="eastAsia" w:ascii="宋体" w:hAnsi="宋体" w:eastAsia="宋体" w:cs="宋体"/>
                <w:b/>
                <w:bCs/>
                <w:color w:val="auto"/>
                <w:sz w:val="21"/>
                <w:szCs w:val="21"/>
                <w:lang w:eastAsia="zh-TW"/>
              </w:rPr>
              <w:t>2018</w:t>
            </w:r>
            <w:r>
              <w:rPr>
                <w:rFonts w:hint="eastAsia" w:ascii="宋体" w:hAnsi="宋体" w:eastAsia="PMingLiU" w:cs="PMingLiU"/>
                <w:b/>
                <w:bCs/>
                <w:color w:val="auto"/>
                <w:sz w:val="21"/>
                <w:szCs w:val="21"/>
                <w:lang w:eastAsia="zh-TW"/>
              </w:rPr>
              <w:t>年</w:t>
            </w:r>
            <w:r>
              <w:rPr>
                <w:rFonts w:ascii="宋体" w:hAnsi="宋体" w:eastAsia="PMingLiU" w:cs="宋体"/>
                <w:b/>
                <w:bCs/>
                <w:color w:val="auto"/>
                <w:sz w:val="21"/>
                <w:szCs w:val="21"/>
                <w:lang w:eastAsia="zh-TW"/>
              </w:rPr>
              <w:t>3</w:t>
            </w:r>
            <w:r>
              <w:rPr>
                <w:rFonts w:hint="eastAsia" w:ascii="宋体" w:hAnsi="宋体" w:eastAsia="PMingLiU" w:cs="PMingLiU"/>
                <w:b/>
                <w:bCs/>
                <w:color w:val="auto"/>
                <w:sz w:val="21"/>
                <w:szCs w:val="21"/>
                <w:lang w:eastAsia="zh-TW"/>
              </w:rPr>
              <w:t>月</w:t>
            </w:r>
            <w:r>
              <w:rPr>
                <w:rFonts w:ascii="宋体" w:hAnsi="宋体" w:eastAsia="PMingLiU" w:cs="宋体"/>
                <w:b/>
                <w:bCs/>
                <w:color w:val="auto"/>
                <w:sz w:val="21"/>
                <w:szCs w:val="21"/>
                <w:lang w:eastAsia="zh-TW"/>
              </w:rPr>
              <w:t>31</w:t>
            </w:r>
            <w:r>
              <w:rPr>
                <w:rFonts w:hint="eastAsia" w:ascii="宋体" w:hAnsi="宋体" w:eastAsia="PMingLiU" w:cs="PMingLiU"/>
                <w:b/>
                <w:bCs/>
                <w:color w:val="auto"/>
                <w:sz w:val="21"/>
                <w:szCs w:val="21"/>
                <w:lang w:eastAsia="zh-TW"/>
              </w:rPr>
              <w:t>日</w:t>
            </w:r>
          </w:p>
          <w:p>
            <w:pPr>
              <w:pStyle w:val="10"/>
              <w:spacing w:beforeLines="20" w:afterLines="20"/>
              <w:jc w:val="right"/>
              <w:rPr>
                <w:rFonts w:ascii="宋体" w:hAnsi="宋体" w:eastAsia="PMingLiU" w:cs="Times New Roman"/>
                <w:b/>
                <w:bCs/>
                <w:color w:val="auto"/>
                <w:sz w:val="21"/>
                <w:szCs w:val="21"/>
                <w:lang w:eastAsia="zh-TW"/>
              </w:rPr>
            </w:pPr>
            <w:r>
              <w:rPr>
                <w:rFonts w:hint="eastAsia" w:ascii="宋体" w:hAnsi="宋体" w:eastAsia="PMingLiU" w:cs="PMingLiU"/>
                <w:b/>
                <w:bCs/>
                <w:color w:val="auto"/>
                <w:sz w:val="21"/>
                <w:szCs w:val="21"/>
                <w:lang w:eastAsia="zh-TW"/>
              </w:rPr>
              <w:t>（未經審核）</w:t>
            </w:r>
          </w:p>
          <w:p>
            <w:pPr>
              <w:pStyle w:val="10"/>
              <w:spacing w:beforeLines="20" w:afterLines="20"/>
              <w:jc w:val="right"/>
              <w:rPr>
                <w:rFonts w:ascii="宋体" w:hAnsi="宋体" w:eastAsia="PMingLiU" w:cs="Times New Roman"/>
                <w:b/>
                <w:bCs/>
                <w:color w:val="auto"/>
                <w:sz w:val="21"/>
                <w:szCs w:val="21"/>
                <w:lang w:eastAsia="zh-TW"/>
              </w:rPr>
            </w:pPr>
            <w:r>
              <w:rPr>
                <w:rFonts w:hint="eastAsia" w:ascii="宋体" w:hAnsi="宋体" w:eastAsia="PMingLiU" w:cs="PMingLiU"/>
                <w:b/>
                <w:bCs/>
                <w:color w:val="auto"/>
                <w:sz w:val="21"/>
                <w:szCs w:val="21"/>
                <w:lang w:eastAsia="zh-TW"/>
              </w:rPr>
              <w:t>人民幣元</w:t>
            </w:r>
          </w:p>
        </w:tc>
        <w:tc>
          <w:tcPr>
            <w:tcW w:w="2490" w:type="dxa"/>
            <w:vAlign w:val="top"/>
          </w:tcPr>
          <w:p>
            <w:pPr>
              <w:pStyle w:val="10"/>
              <w:spacing w:beforeLines="20" w:afterLines="2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於</w:t>
            </w:r>
            <w:r>
              <w:rPr>
                <w:rFonts w:hint="eastAsia" w:ascii="宋体" w:hAnsi="宋体" w:eastAsia="宋体" w:cs="宋体"/>
                <w:color w:val="auto"/>
                <w:sz w:val="21"/>
                <w:szCs w:val="21"/>
                <w:lang w:eastAsia="zh-TW"/>
              </w:rPr>
              <w:t>2017</w:t>
            </w:r>
            <w:r>
              <w:rPr>
                <w:rFonts w:hint="eastAsia" w:ascii="宋体" w:hAnsi="宋体" w:eastAsia="PMingLiU" w:cs="PMingLiU"/>
                <w:color w:val="auto"/>
                <w:sz w:val="21"/>
                <w:szCs w:val="21"/>
                <w:lang w:eastAsia="zh-TW"/>
              </w:rPr>
              <w:t>年</w:t>
            </w:r>
            <w:r>
              <w:rPr>
                <w:rFonts w:ascii="宋体" w:hAnsi="宋体" w:eastAsia="PMingLiU" w:cs="宋体"/>
                <w:color w:val="auto"/>
                <w:sz w:val="21"/>
                <w:szCs w:val="21"/>
                <w:lang w:eastAsia="zh-TW"/>
              </w:rPr>
              <w:t>12</w:t>
            </w:r>
            <w:r>
              <w:rPr>
                <w:rFonts w:hint="eastAsia" w:ascii="宋体" w:hAnsi="宋体" w:eastAsia="PMingLiU" w:cs="PMingLiU"/>
                <w:color w:val="auto"/>
                <w:sz w:val="21"/>
                <w:szCs w:val="21"/>
                <w:lang w:eastAsia="zh-TW"/>
              </w:rPr>
              <w:t>月</w:t>
            </w:r>
            <w:r>
              <w:rPr>
                <w:rFonts w:ascii="宋体" w:hAnsi="宋体" w:eastAsia="PMingLiU" w:cs="宋体"/>
                <w:color w:val="auto"/>
                <w:sz w:val="21"/>
                <w:szCs w:val="21"/>
                <w:lang w:eastAsia="zh-TW"/>
              </w:rPr>
              <w:t>31</w:t>
            </w:r>
            <w:r>
              <w:rPr>
                <w:rFonts w:hint="eastAsia" w:ascii="宋体" w:hAnsi="宋体" w:eastAsia="PMingLiU" w:cs="PMingLiU"/>
                <w:color w:val="auto"/>
                <w:sz w:val="21"/>
                <w:szCs w:val="21"/>
                <w:lang w:eastAsia="zh-TW"/>
              </w:rPr>
              <w:t>日</w:t>
            </w:r>
          </w:p>
          <w:p>
            <w:pPr>
              <w:pStyle w:val="10"/>
              <w:spacing w:beforeLines="20" w:afterLines="2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（經審核）</w:t>
            </w:r>
          </w:p>
          <w:p>
            <w:pPr>
              <w:pStyle w:val="10"/>
              <w:spacing w:beforeLines="20" w:afterLines="2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人民幣元</w:t>
            </w:r>
          </w:p>
        </w:tc>
        <w:tc>
          <w:tcPr>
            <w:tcW w:w="2168" w:type="dxa"/>
            <w:vAlign w:val="top"/>
          </w:tcPr>
          <w:p>
            <w:pPr>
              <w:pStyle w:val="10"/>
              <w:spacing w:beforeLines="20" w:afterLines="2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增減</w:t>
            </w:r>
          </w:p>
          <w:p>
            <w:pPr>
              <w:pStyle w:val="10"/>
              <w:spacing w:beforeLines="20" w:afterLines="20"/>
              <w:jc w:val="right"/>
              <w:rPr>
                <w:rFonts w:ascii="宋体" w:hAnsi="宋体" w:eastAsia="PMingLiU" w:cs="Times New Roman"/>
                <w:color w:val="auto"/>
                <w:kern w:val="2"/>
                <w:sz w:val="21"/>
                <w:szCs w:val="21"/>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156" w:type="dxa"/>
            <w:shd w:val="clear" w:color="auto" w:fill="auto"/>
            <w:vAlign w:val="bottom"/>
          </w:tcPr>
          <w:p>
            <w:pPr>
              <w:pStyle w:val="10"/>
              <w:spacing w:beforeLines="20" w:afterLines="2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總資產</w:t>
            </w:r>
          </w:p>
        </w:tc>
        <w:tc>
          <w:tcPr>
            <w:tcW w:w="2168" w:type="dxa"/>
            <w:shd w:val="clear" w:color="auto" w:fill="auto"/>
            <w:vAlign w:val="center"/>
          </w:tcPr>
          <w:p>
            <w:pPr>
              <w:jc w:val="right"/>
              <w:rPr>
                <w:b/>
                <w:bCs/>
                <w:szCs w:val="24"/>
              </w:rPr>
            </w:pPr>
            <w:r>
              <w:rPr>
                <w:rFonts w:hint="eastAsia"/>
                <w:b/>
                <w:bCs/>
                <w:sz w:val="18"/>
              </w:rPr>
              <w:t>5,422,254,249.93</w:t>
            </w:r>
          </w:p>
        </w:tc>
        <w:tc>
          <w:tcPr>
            <w:tcW w:w="2490" w:type="dxa"/>
            <w:shd w:val="clear" w:color="auto" w:fill="FFFFFF"/>
            <w:vAlign w:val="center"/>
          </w:tcPr>
          <w:p>
            <w:pPr>
              <w:jc w:val="right"/>
              <w:rPr>
                <w:szCs w:val="24"/>
              </w:rPr>
            </w:pPr>
            <w:r>
              <w:rPr>
                <w:rFonts w:hint="eastAsia"/>
                <w:sz w:val="18"/>
              </w:rPr>
              <w:t>5,273,647,124.63</w:t>
            </w:r>
          </w:p>
        </w:tc>
        <w:tc>
          <w:tcPr>
            <w:tcW w:w="2168" w:type="dxa"/>
            <w:shd w:val="clear" w:color="auto" w:fill="FFFFFF"/>
            <w:vAlign w:val="center"/>
          </w:tcPr>
          <w:p>
            <w:pPr>
              <w:jc w:val="right"/>
            </w:pPr>
            <w:r>
              <w:rPr>
                <w:rFonts w:hint="eastAsia"/>
                <w:sz w:val="18"/>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3156" w:type="dxa"/>
            <w:shd w:val="clear" w:color="auto" w:fill="auto"/>
            <w:vAlign w:val="bottom"/>
          </w:tcPr>
          <w:p>
            <w:pPr>
              <w:pStyle w:val="10"/>
              <w:spacing w:beforeLines="20" w:afterLines="2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歸屬於上市公司股東的淨資產</w:t>
            </w:r>
          </w:p>
        </w:tc>
        <w:tc>
          <w:tcPr>
            <w:tcW w:w="2168" w:type="dxa"/>
            <w:shd w:val="clear" w:color="auto" w:fill="auto"/>
            <w:vAlign w:val="center"/>
          </w:tcPr>
          <w:p>
            <w:pPr>
              <w:jc w:val="right"/>
              <w:rPr>
                <w:b/>
                <w:bCs/>
              </w:rPr>
            </w:pPr>
            <w:r>
              <w:rPr>
                <w:rFonts w:hint="eastAsia"/>
                <w:b/>
                <w:bCs/>
                <w:sz w:val="18"/>
              </w:rPr>
              <w:t>2,514,624,527.68</w:t>
            </w:r>
          </w:p>
        </w:tc>
        <w:tc>
          <w:tcPr>
            <w:tcW w:w="2490" w:type="dxa"/>
            <w:shd w:val="clear" w:color="auto" w:fill="FFFFFF"/>
            <w:vAlign w:val="center"/>
          </w:tcPr>
          <w:p>
            <w:pPr>
              <w:jc w:val="right"/>
            </w:pPr>
            <w:r>
              <w:rPr>
                <w:rFonts w:hint="eastAsia"/>
                <w:sz w:val="18"/>
              </w:rPr>
              <w:t>2,480,023,776.59</w:t>
            </w:r>
          </w:p>
        </w:tc>
        <w:tc>
          <w:tcPr>
            <w:tcW w:w="2168" w:type="dxa"/>
            <w:shd w:val="clear" w:color="auto" w:fill="FFFFFF"/>
            <w:vAlign w:val="center"/>
          </w:tcPr>
          <w:p>
            <w:pPr>
              <w:jc w:val="right"/>
            </w:pPr>
            <w:r>
              <w:rPr>
                <w:rFonts w:hint="eastAsia"/>
                <w:sz w:val="18"/>
              </w:rPr>
              <w:t>1.40%</w:t>
            </w:r>
          </w:p>
        </w:tc>
      </w:tr>
    </w:tbl>
    <w:p>
      <w:pPr>
        <w:pStyle w:val="10"/>
        <w:spacing w:beforeLines="20" w:afterLines="20"/>
        <w:rPr>
          <w:rFonts w:ascii="宋体" w:hAnsi="宋体" w:eastAsia="宋体" w:cs="Times New Roman"/>
          <w:color w:val="auto"/>
          <w:sz w:val="21"/>
          <w:szCs w:val="21"/>
        </w:rPr>
      </w:pPr>
    </w:p>
    <w:tbl>
      <w:tblPr>
        <w:tblW w:w="973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250"/>
        <w:gridCol w:w="1820"/>
        <w:gridCol w:w="2551"/>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485" w:hRule="atLeast"/>
        </w:trPr>
        <w:tc>
          <w:tcPr>
            <w:tcW w:w="3250" w:type="dxa"/>
            <w:vAlign w:val="top"/>
          </w:tcPr>
          <w:p>
            <w:pPr>
              <w:pStyle w:val="10"/>
              <w:spacing w:beforeLines="20" w:afterLines="20"/>
              <w:jc w:val="both"/>
              <w:rPr>
                <w:rFonts w:ascii="宋体" w:hAnsi="宋体" w:eastAsia="PMingLiU" w:cs="Times New Roman"/>
                <w:color w:val="auto"/>
                <w:sz w:val="21"/>
                <w:szCs w:val="21"/>
                <w:lang w:eastAsia="zh-TW"/>
              </w:rPr>
            </w:pPr>
          </w:p>
        </w:tc>
        <w:tc>
          <w:tcPr>
            <w:tcW w:w="1820" w:type="dxa"/>
            <w:vAlign w:val="top"/>
          </w:tcPr>
          <w:p>
            <w:pPr>
              <w:pStyle w:val="10"/>
              <w:spacing w:beforeLines="20" w:afterLines="20"/>
              <w:jc w:val="right"/>
              <w:rPr>
                <w:rFonts w:ascii="宋体" w:hAnsi="宋体" w:eastAsia="PMingLiU" w:cs="Times New Roman"/>
                <w:b/>
                <w:bCs/>
                <w:color w:val="auto"/>
                <w:sz w:val="21"/>
                <w:szCs w:val="21"/>
                <w:lang w:eastAsia="zh-TW"/>
              </w:rPr>
            </w:pPr>
            <w:r>
              <w:rPr>
                <w:rFonts w:hint="eastAsia" w:ascii="宋体" w:hAnsi="宋体" w:eastAsia="宋体" w:cs="宋体"/>
                <w:b/>
                <w:bCs/>
                <w:color w:val="auto"/>
                <w:sz w:val="21"/>
                <w:szCs w:val="21"/>
                <w:lang w:eastAsia="zh-TW"/>
              </w:rPr>
              <w:t>2018</w:t>
            </w:r>
            <w:r>
              <w:rPr>
                <w:rFonts w:hint="eastAsia" w:ascii="宋体" w:hAnsi="宋体" w:eastAsia="宋体" w:cs="PMingLiU"/>
                <w:b/>
                <w:bCs/>
                <w:color w:val="auto"/>
                <w:sz w:val="21"/>
                <w:szCs w:val="21"/>
                <w:lang w:eastAsia="zh-TW"/>
              </w:rPr>
              <w:t>年</w:t>
            </w:r>
            <w:r>
              <w:rPr>
                <w:rFonts w:ascii="宋体" w:hAnsi="宋体" w:eastAsia="宋体" w:cs="宋体"/>
                <w:b/>
                <w:bCs/>
                <w:color w:val="auto"/>
                <w:sz w:val="21"/>
                <w:szCs w:val="21"/>
                <w:lang w:eastAsia="zh-TW"/>
              </w:rPr>
              <w:t>1-3</w:t>
            </w:r>
            <w:r>
              <w:rPr>
                <w:rFonts w:hint="eastAsia" w:ascii="宋体" w:hAnsi="宋体" w:eastAsia="宋体" w:cs="PMingLiU"/>
                <w:b/>
                <w:bCs/>
                <w:color w:val="auto"/>
                <w:sz w:val="21"/>
                <w:szCs w:val="21"/>
                <w:lang w:eastAsia="zh-TW"/>
              </w:rPr>
              <w:t>月</w:t>
            </w:r>
          </w:p>
          <w:p>
            <w:pPr>
              <w:pStyle w:val="10"/>
              <w:spacing w:beforeLines="20"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（未經審核）</w:t>
            </w:r>
          </w:p>
          <w:p>
            <w:pPr>
              <w:pStyle w:val="10"/>
              <w:spacing w:beforeLines="20"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人民幣元</w:t>
            </w:r>
          </w:p>
        </w:tc>
        <w:tc>
          <w:tcPr>
            <w:tcW w:w="2551" w:type="dxa"/>
            <w:vAlign w:val="top"/>
          </w:tcPr>
          <w:p>
            <w:pPr>
              <w:pStyle w:val="10"/>
              <w:spacing w:beforeLines="20" w:afterLines="20"/>
              <w:jc w:val="right"/>
              <w:rPr>
                <w:rFonts w:ascii="宋体" w:hAnsi="宋体" w:eastAsia="PMingLiU" w:cs="Times New Roman"/>
                <w:color w:val="auto"/>
                <w:sz w:val="21"/>
                <w:szCs w:val="21"/>
                <w:lang w:eastAsia="zh-TW"/>
              </w:rPr>
            </w:pPr>
            <w:r>
              <w:rPr>
                <w:rFonts w:ascii="宋体" w:hAnsi="宋体" w:eastAsia="宋体" w:cs="宋体"/>
                <w:color w:val="auto"/>
                <w:sz w:val="21"/>
                <w:szCs w:val="21"/>
                <w:lang w:eastAsia="zh-TW"/>
              </w:rPr>
              <w:t>201</w:t>
            </w:r>
            <w:r>
              <w:rPr>
                <w:rFonts w:hint="eastAsia" w:ascii="宋体" w:hAnsi="宋体" w:eastAsia="宋体" w:cs="宋体"/>
                <w:color w:val="auto"/>
                <w:sz w:val="21"/>
                <w:szCs w:val="21"/>
                <w:lang w:eastAsia="zh-TW"/>
              </w:rPr>
              <w:t>7</w:t>
            </w:r>
            <w:r>
              <w:rPr>
                <w:rFonts w:hint="eastAsia" w:ascii="宋体" w:hAnsi="宋体" w:eastAsia="宋体" w:cs="PMingLiU"/>
                <w:color w:val="auto"/>
                <w:sz w:val="21"/>
                <w:szCs w:val="21"/>
                <w:lang w:eastAsia="zh-TW"/>
              </w:rPr>
              <w:t>年</w:t>
            </w:r>
            <w:r>
              <w:rPr>
                <w:rFonts w:ascii="宋体" w:hAnsi="宋体" w:eastAsia="宋体" w:cs="宋体"/>
                <w:color w:val="auto"/>
                <w:sz w:val="21"/>
                <w:szCs w:val="21"/>
                <w:lang w:eastAsia="zh-TW"/>
              </w:rPr>
              <w:t>1-3</w:t>
            </w:r>
            <w:r>
              <w:rPr>
                <w:rFonts w:hint="eastAsia" w:ascii="宋体" w:hAnsi="宋体" w:eastAsia="宋体" w:cs="PMingLiU"/>
                <w:color w:val="auto"/>
                <w:sz w:val="21"/>
                <w:szCs w:val="21"/>
                <w:lang w:eastAsia="zh-TW"/>
              </w:rPr>
              <w:t>月</w:t>
            </w:r>
          </w:p>
          <w:p>
            <w:pPr>
              <w:pStyle w:val="10"/>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（未經審核）</w:t>
            </w:r>
          </w:p>
          <w:p>
            <w:pPr>
              <w:pStyle w:val="10"/>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人民幣元</w:t>
            </w:r>
          </w:p>
        </w:tc>
        <w:tc>
          <w:tcPr>
            <w:tcW w:w="2118" w:type="dxa"/>
            <w:vAlign w:val="top"/>
          </w:tcPr>
          <w:p>
            <w:pPr>
              <w:pStyle w:val="10"/>
              <w:spacing w:beforeLines="20"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與去年同期增減</w:t>
            </w:r>
          </w:p>
          <w:p>
            <w:pPr>
              <w:pStyle w:val="10"/>
              <w:spacing w:beforeLines="20" w:afterLines="20"/>
              <w:jc w:val="right"/>
              <w:rPr>
                <w:rFonts w:ascii="宋体" w:hAnsi="宋体" w:eastAsia="PMingLiU" w:cs="Times New Roman"/>
                <w:color w:val="auto"/>
                <w:kern w:val="2"/>
                <w:sz w:val="21"/>
                <w:szCs w:val="21"/>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營業收入</w:t>
            </w:r>
          </w:p>
        </w:tc>
        <w:tc>
          <w:tcPr>
            <w:tcW w:w="1820" w:type="dxa"/>
            <w:shd w:val="clear" w:color="auto" w:fill="auto"/>
            <w:vAlign w:val="center"/>
          </w:tcPr>
          <w:p>
            <w:pPr>
              <w:jc w:val="right"/>
              <w:rPr>
                <w:b/>
                <w:bCs/>
              </w:rPr>
            </w:pPr>
            <w:r>
              <w:rPr>
                <w:rFonts w:hint="eastAsia"/>
                <w:b/>
                <w:bCs/>
                <w:sz w:val="18"/>
              </w:rPr>
              <w:t>1,417,348,459.35</w:t>
            </w:r>
          </w:p>
        </w:tc>
        <w:tc>
          <w:tcPr>
            <w:tcW w:w="2551" w:type="dxa"/>
            <w:shd w:val="clear" w:color="auto" w:fill="FFFFFF"/>
            <w:vAlign w:val="center"/>
          </w:tcPr>
          <w:p>
            <w:pPr>
              <w:jc w:val="right"/>
            </w:pPr>
            <w:r>
              <w:rPr>
                <w:rFonts w:hint="eastAsia"/>
                <w:sz w:val="18"/>
              </w:rPr>
              <w:t>1,295,383,415.66</w:t>
            </w:r>
          </w:p>
        </w:tc>
        <w:tc>
          <w:tcPr>
            <w:tcW w:w="2118" w:type="dxa"/>
            <w:shd w:val="clear" w:color="auto" w:fill="FFFFFF"/>
            <w:vAlign w:val="center"/>
          </w:tcPr>
          <w:p>
            <w:pPr>
              <w:jc w:val="right"/>
            </w:pPr>
            <w:r>
              <w:rPr>
                <w:rFonts w:hint="eastAsia"/>
                <w:sz w:val="18"/>
              </w:rPr>
              <w:t>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歸屬於上市公司股東的淨利潤</w:t>
            </w:r>
          </w:p>
        </w:tc>
        <w:tc>
          <w:tcPr>
            <w:tcW w:w="1820" w:type="dxa"/>
            <w:shd w:val="clear" w:color="auto" w:fill="auto"/>
            <w:vAlign w:val="center"/>
          </w:tcPr>
          <w:p>
            <w:pPr>
              <w:jc w:val="right"/>
              <w:rPr>
                <w:b/>
                <w:bCs/>
              </w:rPr>
            </w:pPr>
            <w:r>
              <w:rPr>
                <w:rFonts w:hint="eastAsia"/>
                <w:b/>
                <w:bCs/>
                <w:sz w:val="18"/>
              </w:rPr>
              <w:t>67,593,570.18</w:t>
            </w:r>
          </w:p>
        </w:tc>
        <w:tc>
          <w:tcPr>
            <w:tcW w:w="2551" w:type="dxa"/>
            <w:shd w:val="clear" w:color="auto" w:fill="FFFFFF"/>
            <w:vAlign w:val="center"/>
          </w:tcPr>
          <w:p>
            <w:pPr>
              <w:jc w:val="right"/>
            </w:pPr>
            <w:r>
              <w:rPr>
                <w:rFonts w:hint="eastAsia"/>
                <w:sz w:val="18"/>
              </w:rPr>
              <w:t>51,550,425.89</w:t>
            </w:r>
          </w:p>
        </w:tc>
        <w:tc>
          <w:tcPr>
            <w:tcW w:w="2118" w:type="dxa"/>
            <w:shd w:val="clear" w:color="auto" w:fill="FFFFFF"/>
            <w:vAlign w:val="center"/>
          </w:tcPr>
          <w:p>
            <w:pPr>
              <w:jc w:val="right"/>
            </w:pPr>
            <w:r>
              <w:rPr>
                <w:rFonts w:hint="eastAsia"/>
                <w:sz w:val="18"/>
              </w:rPr>
              <w:t>31.12%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歸屬於上市公司股東的扣除非經常性損益的淨利潤</w:t>
            </w:r>
          </w:p>
        </w:tc>
        <w:tc>
          <w:tcPr>
            <w:tcW w:w="1820" w:type="dxa"/>
            <w:shd w:val="clear" w:color="auto" w:fill="FFFFFF"/>
            <w:vAlign w:val="center"/>
          </w:tcPr>
          <w:p>
            <w:pPr>
              <w:jc w:val="right"/>
              <w:rPr>
                <w:b/>
                <w:bCs/>
              </w:rPr>
            </w:pPr>
            <w:r>
              <w:rPr>
                <w:rFonts w:hint="eastAsia"/>
                <w:b/>
                <w:bCs/>
                <w:sz w:val="18"/>
              </w:rPr>
              <w:t>65,231,667.77</w:t>
            </w:r>
          </w:p>
        </w:tc>
        <w:tc>
          <w:tcPr>
            <w:tcW w:w="2551" w:type="dxa"/>
            <w:shd w:val="clear" w:color="auto" w:fill="FFFFFF"/>
            <w:vAlign w:val="center"/>
          </w:tcPr>
          <w:p>
            <w:pPr>
              <w:jc w:val="right"/>
            </w:pPr>
            <w:r>
              <w:rPr>
                <w:rFonts w:hint="eastAsia"/>
                <w:sz w:val="18"/>
              </w:rPr>
              <w:t>42,672,569.90</w:t>
            </w:r>
          </w:p>
        </w:tc>
        <w:tc>
          <w:tcPr>
            <w:tcW w:w="2118" w:type="dxa"/>
            <w:shd w:val="clear" w:color="auto" w:fill="FFFFFF"/>
            <w:vAlign w:val="center"/>
          </w:tcPr>
          <w:p>
            <w:pPr>
              <w:jc w:val="right"/>
            </w:pPr>
            <w:r>
              <w:rPr>
                <w:rFonts w:hint="eastAsia"/>
                <w:sz w:val="18"/>
              </w:rPr>
              <w:t>52.87%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經營活動產生的現金流量淨額</w:t>
            </w:r>
          </w:p>
        </w:tc>
        <w:tc>
          <w:tcPr>
            <w:tcW w:w="1820" w:type="dxa"/>
            <w:shd w:val="clear" w:color="auto" w:fill="auto"/>
            <w:vAlign w:val="center"/>
          </w:tcPr>
          <w:p>
            <w:pPr>
              <w:jc w:val="right"/>
              <w:rPr>
                <w:b/>
                <w:bCs/>
              </w:rPr>
            </w:pPr>
            <w:r>
              <w:rPr>
                <w:rFonts w:hint="eastAsia"/>
                <w:b/>
                <w:bCs/>
                <w:sz w:val="18"/>
              </w:rPr>
              <w:t>（4,063,722.33）</w:t>
            </w:r>
          </w:p>
        </w:tc>
        <w:tc>
          <w:tcPr>
            <w:tcW w:w="2551" w:type="dxa"/>
            <w:shd w:val="clear" w:color="auto" w:fill="FFFFFF"/>
            <w:vAlign w:val="center"/>
          </w:tcPr>
          <w:p>
            <w:pPr>
              <w:jc w:val="right"/>
            </w:pPr>
            <w:r>
              <w:rPr>
                <w:rFonts w:hint="eastAsia"/>
                <w:sz w:val="18"/>
              </w:rPr>
              <w:t>54,305,762.76</w:t>
            </w:r>
          </w:p>
        </w:tc>
        <w:tc>
          <w:tcPr>
            <w:tcW w:w="2118" w:type="dxa"/>
            <w:shd w:val="clear" w:color="auto" w:fill="FFFFFF"/>
            <w:vAlign w:val="center"/>
          </w:tcPr>
          <w:p>
            <w:pPr>
              <w:jc w:val="right"/>
            </w:pPr>
            <w:r>
              <w:rPr>
                <w:rFonts w:hint="eastAsia"/>
                <w:sz w:val="18"/>
              </w:rPr>
              <w:t>-107.48%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基本每股收益（人民幣元/股）</w:t>
            </w:r>
          </w:p>
        </w:tc>
        <w:tc>
          <w:tcPr>
            <w:tcW w:w="1820" w:type="dxa"/>
            <w:shd w:val="clear" w:color="auto" w:fill="auto"/>
            <w:vAlign w:val="center"/>
          </w:tcPr>
          <w:p>
            <w:pPr>
              <w:jc w:val="right"/>
              <w:rPr>
                <w:b/>
                <w:bCs/>
              </w:rPr>
            </w:pPr>
            <w:r>
              <w:rPr>
                <w:rFonts w:hint="eastAsia"/>
                <w:b/>
                <w:bCs/>
                <w:sz w:val="18"/>
              </w:rPr>
              <w:t>0.14</w:t>
            </w:r>
          </w:p>
        </w:tc>
        <w:tc>
          <w:tcPr>
            <w:tcW w:w="2551" w:type="dxa"/>
            <w:shd w:val="clear" w:color="auto" w:fill="FFFFFF"/>
            <w:vAlign w:val="center"/>
          </w:tcPr>
          <w:p>
            <w:pPr>
              <w:jc w:val="right"/>
            </w:pPr>
            <w:r>
              <w:rPr>
                <w:rFonts w:hint="eastAsia"/>
                <w:sz w:val="18"/>
              </w:rPr>
              <w:t>0.11</w:t>
            </w:r>
          </w:p>
        </w:tc>
        <w:tc>
          <w:tcPr>
            <w:tcW w:w="2118" w:type="dxa"/>
            <w:shd w:val="clear" w:color="auto" w:fill="FFFFFF"/>
            <w:vAlign w:val="center"/>
          </w:tcPr>
          <w:p>
            <w:pPr>
              <w:jc w:val="right"/>
            </w:pPr>
            <w:r>
              <w:rPr>
                <w:rFonts w:hint="eastAsia"/>
                <w:sz w:val="18"/>
              </w:rPr>
              <w:t>27.27%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稀釋每股收益（人民幣元/股）</w:t>
            </w:r>
          </w:p>
        </w:tc>
        <w:tc>
          <w:tcPr>
            <w:tcW w:w="1820" w:type="dxa"/>
            <w:shd w:val="clear" w:color="auto" w:fill="auto"/>
            <w:vAlign w:val="center"/>
          </w:tcPr>
          <w:p>
            <w:pPr>
              <w:jc w:val="right"/>
              <w:rPr>
                <w:b/>
                <w:bCs/>
              </w:rPr>
            </w:pPr>
            <w:r>
              <w:rPr>
                <w:rFonts w:hint="eastAsia"/>
                <w:b/>
                <w:bCs/>
                <w:sz w:val="18"/>
              </w:rPr>
              <w:t>0.14</w:t>
            </w:r>
          </w:p>
        </w:tc>
        <w:tc>
          <w:tcPr>
            <w:tcW w:w="2551" w:type="dxa"/>
            <w:shd w:val="clear" w:color="auto" w:fill="FFFFFF"/>
            <w:vAlign w:val="center"/>
          </w:tcPr>
          <w:p>
            <w:pPr>
              <w:jc w:val="right"/>
            </w:pPr>
            <w:r>
              <w:rPr>
                <w:rFonts w:hint="eastAsia"/>
                <w:sz w:val="18"/>
              </w:rPr>
              <w:t>0.11</w:t>
            </w:r>
          </w:p>
        </w:tc>
        <w:tc>
          <w:tcPr>
            <w:tcW w:w="2118" w:type="dxa"/>
            <w:shd w:val="clear" w:color="auto" w:fill="FFFFFF"/>
            <w:vAlign w:val="center"/>
          </w:tcPr>
          <w:p>
            <w:pPr>
              <w:jc w:val="right"/>
            </w:pPr>
            <w:r>
              <w:rPr>
                <w:rFonts w:hint="eastAsia"/>
                <w:sz w:val="18"/>
              </w:rPr>
              <w:t>27.27%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4" w:hRule="atLeast"/>
        </w:trPr>
        <w:tc>
          <w:tcPr>
            <w:tcW w:w="3250" w:type="dxa"/>
            <w:shd w:val="clear" w:color="auto" w:fill="auto"/>
            <w:vAlign w:val="bottom"/>
          </w:tcPr>
          <w:p>
            <w:pPr>
              <w:pStyle w:val="10"/>
              <w:spacing w:beforeLines="20"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加權平均淨資產收益率</w:t>
            </w:r>
          </w:p>
        </w:tc>
        <w:tc>
          <w:tcPr>
            <w:tcW w:w="1820" w:type="dxa"/>
            <w:shd w:val="clear" w:color="auto" w:fill="FFFFFF"/>
            <w:vAlign w:val="center"/>
          </w:tcPr>
          <w:p>
            <w:pPr>
              <w:jc w:val="right"/>
              <w:rPr>
                <w:b/>
                <w:bCs/>
              </w:rPr>
            </w:pPr>
            <w:r>
              <w:rPr>
                <w:rFonts w:hint="eastAsia"/>
                <w:b/>
                <w:bCs/>
                <w:sz w:val="18"/>
              </w:rPr>
              <w:t>2.71%</w:t>
            </w:r>
          </w:p>
        </w:tc>
        <w:tc>
          <w:tcPr>
            <w:tcW w:w="2551" w:type="dxa"/>
            <w:shd w:val="clear" w:color="auto" w:fill="FFFFFF"/>
            <w:vAlign w:val="center"/>
          </w:tcPr>
          <w:p>
            <w:pPr>
              <w:jc w:val="right"/>
            </w:pPr>
            <w:r>
              <w:rPr>
                <w:rFonts w:hint="eastAsia"/>
                <w:sz w:val="18"/>
              </w:rPr>
              <w:t>2.56%</w:t>
            </w:r>
          </w:p>
        </w:tc>
        <w:tc>
          <w:tcPr>
            <w:tcW w:w="2118" w:type="dxa"/>
            <w:shd w:val="clear" w:color="auto" w:fill="FFFFFF"/>
            <w:vAlign w:val="center"/>
          </w:tcPr>
          <w:p>
            <w:pPr>
              <w:jc w:val="right"/>
            </w:pPr>
            <w:r>
              <w:rPr>
                <w:rFonts w:hint="eastAsia"/>
                <w:sz w:val="18"/>
              </w:rPr>
              <w:t>0.15%</w:t>
            </w:r>
          </w:p>
        </w:tc>
      </w:tr>
    </w:tbl>
    <w:p>
      <w:pPr>
        <w:pStyle w:val="10"/>
        <w:rPr>
          <w:rFonts w:ascii="宋体" w:hAnsi="宋体" w:eastAsia="宋体" w:cs="Times New Roman"/>
          <w:b/>
          <w:bCs/>
          <w:color w:val="auto"/>
          <w:sz w:val="21"/>
          <w:szCs w:val="21"/>
        </w:rPr>
      </w:pPr>
    </w:p>
    <w:p>
      <w:pPr>
        <w:pStyle w:val="10"/>
        <w:rPr>
          <w:rFonts w:ascii="宋体" w:hAnsi="宋体" w:eastAsia="宋体" w:cs="PMingLiU"/>
          <w:b/>
          <w:bCs/>
          <w:color w:val="auto"/>
          <w:sz w:val="21"/>
          <w:szCs w:val="21"/>
        </w:rPr>
      </w:pPr>
      <w:r>
        <w:rPr>
          <w:rFonts w:ascii="宋体" w:hAnsi="宋体" w:eastAsia="PMingLiU" w:cs="宋体"/>
          <w:b/>
          <w:bCs/>
          <w:color w:val="auto"/>
          <w:sz w:val="21"/>
          <w:szCs w:val="21"/>
          <w:lang w:eastAsia="zh-TW"/>
        </w:rPr>
        <w:t>2</w:t>
      </w:r>
      <w:r>
        <w:rPr>
          <w:rFonts w:hint="eastAsia" w:ascii="宋体" w:hAnsi="宋体" w:eastAsia="PMingLiU" w:cs="PMingLiU"/>
          <w:b/>
          <w:bCs/>
          <w:color w:val="auto"/>
          <w:sz w:val="21"/>
          <w:szCs w:val="21"/>
          <w:lang w:eastAsia="zh-TW"/>
        </w:rPr>
        <w:t>、利潤表</w:t>
      </w:r>
    </w:p>
    <w:p>
      <w:pPr>
        <w:pStyle w:val="10"/>
        <w:rPr>
          <w:rFonts w:ascii="宋体" w:hAnsi="宋体" w:eastAsia="宋体" w:cs="Times New Roman"/>
          <w:b/>
          <w:bCs/>
          <w:color w:val="auto"/>
          <w:sz w:val="21"/>
          <w:szCs w:val="21"/>
        </w:rPr>
      </w:pPr>
    </w:p>
    <w:tbl>
      <w:tblPr>
        <w:tblW w:w="998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802"/>
        <w:gridCol w:w="1897"/>
        <w:gridCol w:w="2156"/>
        <w:gridCol w:w="1616"/>
        <w:gridCol w:w="1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vAlign w:val="top"/>
          </w:tcPr>
          <w:p>
            <w:pPr>
              <w:pStyle w:val="10"/>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項目</w:t>
            </w:r>
          </w:p>
        </w:tc>
        <w:tc>
          <w:tcPr>
            <w:tcW w:w="4053" w:type="dxa"/>
            <w:gridSpan w:val="2"/>
            <w:vAlign w:val="top"/>
          </w:tcPr>
          <w:p>
            <w:pPr>
              <w:pStyle w:val="10"/>
              <w:jc w:val="center"/>
              <w:rPr>
                <w:rFonts w:ascii="宋体" w:hAnsi="宋体" w:eastAsia="PMingLiU" w:cs="Times New Roman"/>
                <w:b/>
                <w:bCs/>
                <w:color w:val="auto"/>
                <w:sz w:val="21"/>
                <w:szCs w:val="21"/>
                <w:lang w:eastAsia="zh-TW"/>
              </w:rPr>
            </w:pPr>
            <w:r>
              <w:rPr>
                <w:rFonts w:hint="eastAsia" w:ascii="宋体" w:hAnsi="宋体" w:eastAsia="宋体" w:cs="宋体"/>
                <w:b/>
                <w:bCs/>
                <w:color w:val="auto"/>
                <w:sz w:val="21"/>
                <w:szCs w:val="21"/>
              </w:rPr>
              <w:t>2018</w:t>
            </w:r>
            <w:r>
              <w:rPr>
                <w:rFonts w:hint="eastAsia" w:ascii="宋体" w:hAnsi="宋体" w:eastAsia="PMingLiU" w:cs="PMingLiU"/>
                <w:b/>
                <w:bCs/>
                <w:color w:val="auto"/>
                <w:sz w:val="21"/>
                <w:szCs w:val="21"/>
                <w:lang w:eastAsia="zh-TW"/>
              </w:rPr>
              <w:t>年</w:t>
            </w:r>
            <w:r>
              <w:rPr>
                <w:rFonts w:ascii="宋体" w:hAnsi="宋体" w:eastAsia="PMingLiU" w:cs="宋体"/>
                <w:b/>
                <w:bCs/>
                <w:color w:val="auto"/>
                <w:sz w:val="21"/>
                <w:szCs w:val="21"/>
                <w:lang w:eastAsia="zh-TW"/>
              </w:rPr>
              <w:t>1</w:t>
            </w:r>
            <w:r>
              <w:rPr>
                <w:rFonts w:hint="eastAsia" w:ascii="宋体" w:hAnsi="宋体" w:eastAsia="PMingLiU" w:cs="PMingLiU"/>
                <w:b/>
                <w:bCs/>
                <w:color w:val="auto"/>
                <w:sz w:val="21"/>
                <w:szCs w:val="21"/>
                <w:lang w:eastAsia="zh-TW"/>
              </w:rPr>
              <w:t>－</w:t>
            </w:r>
            <w:r>
              <w:rPr>
                <w:rFonts w:ascii="宋体" w:hAnsi="宋体" w:eastAsia="PMingLiU" w:cs="宋体"/>
                <w:b/>
                <w:bCs/>
                <w:color w:val="auto"/>
                <w:sz w:val="21"/>
                <w:szCs w:val="21"/>
                <w:lang w:eastAsia="zh-TW"/>
              </w:rPr>
              <w:t>3</w:t>
            </w:r>
            <w:r>
              <w:rPr>
                <w:rFonts w:hint="eastAsia" w:ascii="宋体" w:hAnsi="宋体" w:eastAsia="PMingLiU" w:cs="PMingLiU"/>
                <w:b/>
                <w:bCs/>
                <w:color w:val="auto"/>
                <w:sz w:val="21"/>
                <w:szCs w:val="21"/>
                <w:lang w:eastAsia="zh-TW"/>
              </w:rPr>
              <w:t>月</w:t>
            </w:r>
          </w:p>
        </w:tc>
        <w:tc>
          <w:tcPr>
            <w:tcW w:w="3127" w:type="dxa"/>
            <w:gridSpan w:val="2"/>
            <w:vAlign w:val="top"/>
          </w:tcPr>
          <w:p>
            <w:pPr>
              <w:pStyle w:val="10"/>
              <w:jc w:val="center"/>
              <w:rPr>
                <w:rFonts w:ascii="宋体" w:hAnsi="宋体" w:eastAsia="PMingLiU" w:cs="Times New Roman"/>
                <w:color w:val="auto"/>
                <w:sz w:val="21"/>
                <w:szCs w:val="21"/>
                <w:lang w:eastAsia="zh-TW"/>
              </w:rPr>
            </w:pPr>
            <w:r>
              <w:rPr>
                <w:rFonts w:ascii="宋体" w:hAnsi="宋体" w:eastAsia="PMingLiU" w:cs="宋体"/>
                <w:color w:val="auto"/>
                <w:sz w:val="21"/>
                <w:szCs w:val="21"/>
                <w:lang w:eastAsia="zh-TW"/>
              </w:rPr>
              <w:t>201</w:t>
            </w:r>
            <w:r>
              <w:rPr>
                <w:rFonts w:hint="eastAsia" w:ascii="宋体" w:hAnsi="宋体" w:eastAsia="宋体" w:cs="宋体"/>
                <w:color w:val="auto"/>
                <w:sz w:val="21"/>
                <w:szCs w:val="21"/>
              </w:rPr>
              <w:t>7</w:t>
            </w:r>
            <w:r>
              <w:rPr>
                <w:rFonts w:hint="eastAsia" w:ascii="宋体" w:hAnsi="宋体" w:eastAsia="PMingLiU" w:cs="PMingLiU"/>
                <w:color w:val="auto"/>
                <w:sz w:val="21"/>
                <w:szCs w:val="21"/>
                <w:lang w:eastAsia="zh-TW"/>
              </w:rPr>
              <w:t>年</w:t>
            </w:r>
            <w:r>
              <w:rPr>
                <w:rFonts w:ascii="宋体" w:hAnsi="宋体" w:eastAsia="PMingLiU" w:cs="宋体"/>
                <w:color w:val="auto"/>
                <w:sz w:val="21"/>
                <w:szCs w:val="21"/>
                <w:lang w:eastAsia="zh-TW"/>
              </w:rPr>
              <w:t>1</w:t>
            </w:r>
            <w:r>
              <w:rPr>
                <w:rFonts w:hint="eastAsia" w:ascii="宋体" w:hAnsi="宋体" w:eastAsia="PMingLiU" w:cs="PMingLiU"/>
                <w:color w:val="auto"/>
                <w:sz w:val="21"/>
                <w:szCs w:val="21"/>
                <w:lang w:eastAsia="zh-TW"/>
              </w:rPr>
              <w:t>－</w:t>
            </w:r>
            <w:r>
              <w:rPr>
                <w:rFonts w:ascii="宋体" w:hAnsi="宋体" w:eastAsia="PMingLiU" w:cs="宋体"/>
                <w:color w:val="auto"/>
                <w:sz w:val="21"/>
                <w:szCs w:val="21"/>
                <w:lang w:eastAsia="zh-TW"/>
              </w:rPr>
              <w:t>3</w:t>
            </w:r>
            <w:r>
              <w:rPr>
                <w:rFonts w:hint="eastAsia" w:ascii="宋体" w:hAnsi="宋体" w:eastAsia="PMingLiU" w:cs="PMingLiU"/>
                <w:color w:val="auto"/>
                <w:sz w:val="21"/>
                <w:szCs w:val="21"/>
                <w:lang w:eastAsia="zh-TW"/>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vAlign w:val="top"/>
          </w:tcPr>
          <w:p>
            <w:pPr>
              <w:pStyle w:val="10"/>
              <w:jc w:val="both"/>
              <w:rPr>
                <w:rFonts w:ascii="宋体" w:hAnsi="宋体" w:eastAsia="PMingLiU" w:cs="Times New Roman"/>
                <w:color w:val="auto"/>
                <w:sz w:val="21"/>
                <w:szCs w:val="21"/>
                <w:lang w:eastAsia="zh-TW"/>
              </w:rPr>
            </w:pPr>
          </w:p>
        </w:tc>
        <w:tc>
          <w:tcPr>
            <w:tcW w:w="1897" w:type="dxa"/>
            <w:vAlign w:val="top"/>
          </w:tcPr>
          <w:p>
            <w:pPr>
              <w:pStyle w:val="10"/>
              <w:jc w:val="right"/>
              <w:rPr>
                <w:rFonts w:ascii="宋体" w:hAnsi="宋体" w:eastAsia="PMingLiU" w:cs="PMingLiU"/>
                <w:b/>
                <w:color w:val="auto"/>
                <w:sz w:val="21"/>
                <w:szCs w:val="21"/>
                <w:lang w:eastAsia="zh-TW"/>
              </w:rPr>
            </w:pPr>
            <w:r>
              <w:rPr>
                <w:rFonts w:hint="eastAsia" w:ascii="宋体" w:hAnsi="宋体" w:eastAsia="PMingLiU" w:cs="PMingLiU"/>
                <w:b/>
                <w:color w:val="auto"/>
                <w:sz w:val="21"/>
                <w:szCs w:val="21"/>
                <w:lang w:eastAsia="zh-TW"/>
              </w:rPr>
              <w:t>合併</w:t>
            </w:r>
          </w:p>
          <w:p>
            <w:pPr>
              <w:pStyle w:val="10"/>
              <w:jc w:val="right"/>
              <w:rPr>
                <w:rFonts w:ascii="宋体" w:hAnsi="宋体" w:eastAsia="PMingLiU" w:cs="PMingLiU"/>
                <w:b/>
                <w:color w:val="auto"/>
                <w:sz w:val="21"/>
                <w:szCs w:val="21"/>
                <w:lang w:eastAsia="zh-TW"/>
              </w:rPr>
            </w:pPr>
            <w:r>
              <w:rPr>
                <w:rFonts w:hint="eastAsia" w:ascii="宋体" w:hAnsi="宋体" w:eastAsia="PMingLiU" w:cs="PMingLiU"/>
                <w:b/>
                <w:color w:val="auto"/>
                <w:sz w:val="21"/>
                <w:szCs w:val="21"/>
                <w:lang w:eastAsia="zh-TW"/>
              </w:rPr>
              <w:t>人民幣元</w:t>
            </w:r>
          </w:p>
          <w:p>
            <w:pPr>
              <w:pStyle w:val="10"/>
              <w:jc w:val="right"/>
              <w:rPr>
                <w:rFonts w:ascii="宋体" w:hAnsi="宋体" w:eastAsia="PMingLiU" w:cs="PMingLiU"/>
                <w:b/>
                <w:color w:val="auto"/>
                <w:sz w:val="21"/>
                <w:szCs w:val="21"/>
                <w:lang w:eastAsia="zh-TW"/>
              </w:rPr>
            </w:pPr>
            <w:r>
              <w:rPr>
                <w:rFonts w:hint="eastAsia" w:ascii="宋体" w:hAnsi="宋体" w:eastAsia="PMingLiU" w:cs="PMingLiU"/>
                <w:b/>
                <w:color w:val="auto"/>
                <w:sz w:val="21"/>
                <w:szCs w:val="21"/>
                <w:lang w:eastAsia="zh-TW"/>
              </w:rPr>
              <w:t>（未經審核）</w:t>
            </w:r>
          </w:p>
        </w:tc>
        <w:tc>
          <w:tcPr>
            <w:tcW w:w="2156" w:type="dxa"/>
            <w:vAlign w:val="top"/>
          </w:tcPr>
          <w:p>
            <w:pPr>
              <w:pStyle w:val="10"/>
              <w:jc w:val="right"/>
              <w:rPr>
                <w:rFonts w:ascii="宋体" w:hAnsi="宋体" w:eastAsia="PMingLiU" w:cs="PMingLiU"/>
                <w:b/>
                <w:color w:val="auto"/>
                <w:sz w:val="21"/>
                <w:szCs w:val="21"/>
                <w:lang w:eastAsia="zh-TW"/>
              </w:rPr>
            </w:pPr>
            <w:r>
              <w:rPr>
                <w:rFonts w:hint="eastAsia" w:ascii="宋体" w:hAnsi="宋体" w:eastAsia="PMingLiU" w:cs="PMingLiU"/>
                <w:b/>
                <w:color w:val="auto"/>
                <w:sz w:val="21"/>
                <w:szCs w:val="21"/>
                <w:lang w:eastAsia="zh-TW"/>
              </w:rPr>
              <w:t>母公司</w:t>
            </w:r>
          </w:p>
          <w:p>
            <w:pPr>
              <w:pStyle w:val="10"/>
              <w:jc w:val="right"/>
              <w:rPr>
                <w:rFonts w:ascii="宋体" w:hAnsi="宋体" w:eastAsia="PMingLiU" w:cs="PMingLiU"/>
                <w:b/>
                <w:color w:val="auto"/>
                <w:sz w:val="21"/>
                <w:szCs w:val="21"/>
                <w:lang w:eastAsia="zh-TW"/>
              </w:rPr>
            </w:pPr>
            <w:r>
              <w:rPr>
                <w:rFonts w:hint="eastAsia" w:ascii="宋体" w:hAnsi="宋体" w:eastAsia="PMingLiU" w:cs="PMingLiU"/>
                <w:b/>
                <w:color w:val="auto"/>
                <w:sz w:val="21"/>
                <w:szCs w:val="21"/>
                <w:lang w:eastAsia="zh-TW"/>
              </w:rPr>
              <w:t>人民幣元</w:t>
            </w:r>
          </w:p>
          <w:p>
            <w:pPr>
              <w:pStyle w:val="10"/>
              <w:jc w:val="right"/>
              <w:rPr>
                <w:rFonts w:ascii="宋体" w:hAnsi="宋体" w:eastAsia="PMingLiU" w:cs="PMingLiU"/>
                <w:b/>
                <w:color w:val="auto"/>
                <w:sz w:val="21"/>
                <w:szCs w:val="21"/>
                <w:lang w:eastAsia="zh-TW"/>
              </w:rPr>
            </w:pPr>
            <w:r>
              <w:rPr>
                <w:rFonts w:hint="eastAsia" w:ascii="宋体" w:hAnsi="宋体" w:eastAsia="PMingLiU" w:cs="PMingLiU"/>
                <w:b/>
                <w:color w:val="auto"/>
                <w:sz w:val="21"/>
                <w:szCs w:val="21"/>
                <w:lang w:eastAsia="zh-TW"/>
              </w:rPr>
              <w:t>（未經審核）</w:t>
            </w:r>
          </w:p>
        </w:tc>
        <w:tc>
          <w:tcPr>
            <w:tcW w:w="1616" w:type="dxa"/>
            <w:vAlign w:val="top"/>
          </w:tcPr>
          <w:p>
            <w:pPr>
              <w:pStyle w:val="1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合併</w:t>
            </w:r>
          </w:p>
          <w:p>
            <w:pPr>
              <w:pStyle w:val="1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人民幣元</w:t>
            </w:r>
          </w:p>
          <w:p>
            <w:pPr>
              <w:pStyle w:val="1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（未經審核）</w:t>
            </w:r>
          </w:p>
        </w:tc>
        <w:tc>
          <w:tcPr>
            <w:tcW w:w="1511" w:type="dxa"/>
            <w:vAlign w:val="top"/>
          </w:tcPr>
          <w:p>
            <w:pPr>
              <w:pStyle w:val="1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母公司</w:t>
            </w:r>
          </w:p>
          <w:p>
            <w:pPr>
              <w:pStyle w:val="1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人民幣元</w:t>
            </w:r>
          </w:p>
          <w:p>
            <w:pPr>
              <w:pStyle w:val="1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（未經審核）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jc w:val="both"/>
              <w:rPr>
                <w:rFonts w:ascii="宋体" w:hAnsi="宋体" w:eastAsia="PMingLiU" w:cs="Times New Roman"/>
                <w:color w:val="auto"/>
                <w:sz w:val="21"/>
                <w:szCs w:val="21"/>
                <w:lang w:eastAsia="zh-TW"/>
              </w:rPr>
            </w:pPr>
            <w:bookmarkStart w:id="0" w:name="_Hlk448846140"/>
            <w:r>
              <w:rPr>
                <w:rFonts w:hint="eastAsia" w:ascii="宋体" w:hAnsi="宋体" w:eastAsia="PMingLiU" w:cs="PMingLiU"/>
                <w:color w:val="auto"/>
                <w:sz w:val="21"/>
                <w:szCs w:val="21"/>
                <w:lang w:eastAsia="zh-TW"/>
              </w:rPr>
              <w:t>一、營業總收入</w:t>
            </w:r>
          </w:p>
        </w:tc>
        <w:tc>
          <w:tcPr>
            <w:tcW w:w="1897" w:type="dxa"/>
            <w:shd w:val="clear" w:color="auto" w:fill="FFFFFF"/>
            <w:vAlign w:val="center"/>
          </w:tcPr>
          <w:p>
            <w:pPr>
              <w:jc w:val="right"/>
              <w:rPr>
                <w:rFonts w:eastAsia="PMingLiU"/>
                <w:b/>
                <w:bCs/>
                <w:sz w:val="18"/>
                <w:szCs w:val="18"/>
                <w:lang w:eastAsia="zh-TW"/>
              </w:rPr>
            </w:pPr>
            <w:r>
              <w:rPr>
                <w:b/>
                <w:bCs/>
                <w:sz w:val="18"/>
                <w:szCs w:val="18"/>
              </w:rPr>
              <w:t>1,417,348,459.35</w:t>
            </w:r>
          </w:p>
        </w:tc>
        <w:tc>
          <w:tcPr>
            <w:tcW w:w="2156" w:type="dxa"/>
            <w:shd w:val="clear" w:color="auto" w:fill="auto"/>
            <w:vAlign w:val="center"/>
          </w:tcPr>
          <w:p>
            <w:pPr>
              <w:pStyle w:val="10"/>
              <w:spacing w:beforeLines="20" w:afterLines="20"/>
              <w:jc w:val="right"/>
              <w:rPr>
                <w:rFonts w:ascii="Times New Roman" w:eastAsia="PMingLiU" w:cs="Times New Roman"/>
                <w:b/>
                <w:bCs/>
                <w:color w:val="auto"/>
                <w:sz w:val="18"/>
                <w:szCs w:val="18"/>
                <w:lang w:eastAsia="zh-TW"/>
              </w:rPr>
            </w:pPr>
            <w:r>
              <w:rPr>
                <w:rFonts w:ascii="Times New Roman" w:cs="Times New Roman"/>
                <w:b/>
                <w:bCs/>
                <w:sz w:val="18"/>
                <w:szCs w:val="18"/>
              </w:rPr>
              <w:t>801,008,517.76</w:t>
            </w:r>
          </w:p>
        </w:tc>
        <w:tc>
          <w:tcPr>
            <w:tcW w:w="1616" w:type="dxa"/>
            <w:shd w:val="clear" w:color="auto" w:fill="FFFFFF"/>
            <w:vAlign w:val="center"/>
          </w:tcPr>
          <w:p>
            <w:pPr>
              <w:jc w:val="right"/>
              <w:rPr>
                <w:kern w:val="0"/>
                <w:sz w:val="18"/>
                <w:szCs w:val="18"/>
              </w:rPr>
            </w:pPr>
            <w:r>
              <w:rPr>
                <w:sz w:val="18"/>
                <w:szCs w:val="18"/>
              </w:rPr>
              <w:t>1,295,383,415.66</w:t>
            </w:r>
          </w:p>
        </w:tc>
        <w:tc>
          <w:tcPr>
            <w:tcW w:w="1511" w:type="dxa"/>
            <w:vAlign w:val="center"/>
          </w:tcPr>
          <w:p>
            <w:pPr>
              <w:jc w:val="right"/>
              <w:rPr>
                <w:bCs/>
                <w:sz w:val="18"/>
                <w:szCs w:val="18"/>
              </w:rPr>
            </w:pPr>
            <w:r>
              <w:rPr>
                <w:sz w:val="18"/>
                <w:szCs w:val="18"/>
              </w:rPr>
              <w:t>682,888,870.35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420" w:firstLineChars="20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其中：營業收入</w:t>
            </w:r>
          </w:p>
        </w:tc>
        <w:tc>
          <w:tcPr>
            <w:tcW w:w="1897" w:type="dxa"/>
            <w:shd w:val="clear" w:color="auto" w:fill="FFFFFF"/>
            <w:vAlign w:val="center"/>
          </w:tcPr>
          <w:p>
            <w:pPr>
              <w:jc w:val="right"/>
              <w:rPr>
                <w:rFonts w:eastAsia="PMingLiU"/>
                <w:b/>
                <w:bCs/>
                <w:sz w:val="18"/>
                <w:szCs w:val="18"/>
                <w:lang w:eastAsia="zh-TW"/>
              </w:rPr>
            </w:pPr>
            <w:r>
              <w:rPr>
                <w:b/>
                <w:bCs/>
                <w:sz w:val="18"/>
                <w:szCs w:val="18"/>
              </w:rPr>
              <w:t>1,417,348,459.35</w:t>
            </w:r>
          </w:p>
        </w:tc>
        <w:tc>
          <w:tcPr>
            <w:tcW w:w="2156" w:type="dxa"/>
            <w:shd w:val="clear" w:color="auto" w:fill="auto"/>
            <w:vAlign w:val="center"/>
          </w:tcPr>
          <w:p>
            <w:pPr>
              <w:pStyle w:val="10"/>
              <w:spacing w:beforeLines="20" w:afterLines="20"/>
              <w:jc w:val="right"/>
              <w:rPr>
                <w:rFonts w:ascii="Times New Roman" w:eastAsia="PMingLiU" w:cs="Times New Roman"/>
                <w:b/>
                <w:bCs/>
                <w:color w:val="auto"/>
                <w:sz w:val="18"/>
                <w:szCs w:val="18"/>
                <w:lang w:eastAsia="zh-TW"/>
              </w:rPr>
            </w:pPr>
            <w:r>
              <w:rPr>
                <w:rFonts w:ascii="Times New Roman" w:cs="Times New Roman"/>
                <w:b/>
                <w:bCs/>
                <w:sz w:val="18"/>
                <w:szCs w:val="18"/>
              </w:rPr>
              <w:t>801,008,517.76</w:t>
            </w:r>
          </w:p>
        </w:tc>
        <w:tc>
          <w:tcPr>
            <w:tcW w:w="1616" w:type="dxa"/>
            <w:shd w:val="clear" w:color="auto" w:fill="FFFFFF"/>
            <w:vAlign w:val="center"/>
          </w:tcPr>
          <w:p>
            <w:pPr>
              <w:jc w:val="right"/>
              <w:rPr>
                <w:kern w:val="0"/>
                <w:sz w:val="18"/>
                <w:szCs w:val="18"/>
              </w:rPr>
            </w:pPr>
            <w:r>
              <w:rPr>
                <w:sz w:val="18"/>
                <w:szCs w:val="18"/>
              </w:rPr>
              <w:t>1,295,383,415.66</w:t>
            </w:r>
          </w:p>
        </w:tc>
        <w:tc>
          <w:tcPr>
            <w:tcW w:w="1511" w:type="dxa"/>
            <w:vAlign w:val="center"/>
          </w:tcPr>
          <w:p>
            <w:pPr>
              <w:jc w:val="right"/>
              <w:rPr>
                <w:sz w:val="18"/>
                <w:szCs w:val="18"/>
              </w:rPr>
            </w:pPr>
            <w:r>
              <w:rPr>
                <w:sz w:val="18"/>
                <w:szCs w:val="18"/>
              </w:rPr>
              <w:t>682,888,870.35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二、營業總成本</w:t>
            </w:r>
          </w:p>
        </w:tc>
        <w:tc>
          <w:tcPr>
            <w:tcW w:w="1897" w:type="dxa"/>
            <w:shd w:val="clear" w:color="auto" w:fill="FFFFFF"/>
            <w:vAlign w:val="center"/>
          </w:tcPr>
          <w:p>
            <w:pPr>
              <w:jc w:val="right"/>
              <w:rPr>
                <w:rFonts w:eastAsia="PMingLiU"/>
                <w:b/>
                <w:bCs/>
                <w:sz w:val="18"/>
                <w:szCs w:val="18"/>
                <w:lang w:eastAsia="zh-TW"/>
              </w:rPr>
            </w:pPr>
            <w:r>
              <w:rPr>
                <w:b/>
                <w:bCs/>
                <w:sz w:val="18"/>
                <w:szCs w:val="18"/>
              </w:rPr>
              <w:t>1,337,393,218.41</w:t>
            </w:r>
          </w:p>
        </w:tc>
        <w:tc>
          <w:tcPr>
            <w:tcW w:w="2156" w:type="dxa"/>
            <w:shd w:val="clear" w:color="auto" w:fill="FFFFFF"/>
            <w:vAlign w:val="center"/>
          </w:tcPr>
          <w:p>
            <w:pPr>
              <w:jc w:val="right"/>
              <w:rPr>
                <w:b/>
                <w:bCs/>
                <w:sz w:val="18"/>
                <w:szCs w:val="18"/>
              </w:rPr>
            </w:pPr>
            <w:r>
              <w:rPr>
                <w:b/>
                <w:bCs/>
                <w:sz w:val="18"/>
                <w:szCs w:val="18"/>
              </w:rPr>
              <w:t>722,041,019.5</w:t>
            </w:r>
            <w:r>
              <w:rPr>
                <w:rFonts w:hint="eastAsia"/>
                <w:b/>
                <w:bCs/>
                <w:sz w:val="18"/>
                <w:szCs w:val="18"/>
                <w:lang w:val="en-US" w:eastAsia="zh-CN"/>
              </w:rPr>
              <w:t>3</w:t>
            </w:r>
            <w:bookmarkStart w:id="1" w:name="_GoBack"/>
            <w:bookmarkEnd w:id="1"/>
          </w:p>
        </w:tc>
        <w:tc>
          <w:tcPr>
            <w:tcW w:w="1616" w:type="dxa"/>
            <w:shd w:val="clear" w:color="auto" w:fill="FFFFFF"/>
            <w:vAlign w:val="center"/>
          </w:tcPr>
          <w:p>
            <w:pPr>
              <w:jc w:val="right"/>
              <w:rPr>
                <w:kern w:val="0"/>
                <w:sz w:val="18"/>
                <w:szCs w:val="18"/>
              </w:rPr>
            </w:pPr>
            <w:r>
              <w:rPr>
                <w:sz w:val="18"/>
                <w:szCs w:val="18"/>
              </w:rPr>
              <w:t>1,236,936,513.90</w:t>
            </w:r>
          </w:p>
        </w:tc>
        <w:tc>
          <w:tcPr>
            <w:tcW w:w="1511" w:type="dxa"/>
            <w:vAlign w:val="center"/>
          </w:tcPr>
          <w:p>
            <w:pPr>
              <w:jc w:val="right"/>
              <w:rPr>
                <w:kern w:val="0"/>
                <w:sz w:val="18"/>
                <w:szCs w:val="18"/>
              </w:rPr>
            </w:pPr>
            <w:r>
              <w:rPr>
                <w:sz w:val="18"/>
                <w:szCs w:val="18"/>
              </w:rPr>
              <w:t>629,466,784.04</w:t>
            </w:r>
            <w:r>
              <w:rPr>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420" w:firstLineChars="20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其中：營業成本</w:t>
            </w:r>
          </w:p>
        </w:tc>
        <w:tc>
          <w:tcPr>
            <w:tcW w:w="1897" w:type="dxa"/>
            <w:shd w:val="clear" w:color="auto" w:fill="FFFFFF"/>
            <w:vAlign w:val="center"/>
          </w:tcPr>
          <w:p>
            <w:pPr>
              <w:jc w:val="right"/>
              <w:rPr>
                <w:rFonts w:eastAsia="PMingLiU"/>
                <w:b/>
                <w:bCs/>
                <w:sz w:val="18"/>
                <w:szCs w:val="18"/>
                <w:lang w:eastAsia="zh-TW"/>
              </w:rPr>
            </w:pPr>
            <w:r>
              <w:rPr>
                <w:b/>
                <w:bCs/>
                <w:sz w:val="18"/>
                <w:szCs w:val="18"/>
              </w:rPr>
              <w:t>1,012,624,493.50</w:t>
            </w:r>
          </w:p>
        </w:tc>
        <w:tc>
          <w:tcPr>
            <w:tcW w:w="2156" w:type="dxa"/>
            <w:shd w:val="clear" w:color="auto" w:fill="FFFFFF"/>
            <w:vAlign w:val="center"/>
          </w:tcPr>
          <w:p>
            <w:pPr>
              <w:jc w:val="right"/>
              <w:rPr>
                <w:b/>
                <w:bCs/>
                <w:sz w:val="18"/>
                <w:szCs w:val="18"/>
              </w:rPr>
            </w:pPr>
            <w:r>
              <w:rPr>
                <w:b/>
                <w:bCs/>
                <w:sz w:val="18"/>
                <w:szCs w:val="18"/>
              </w:rPr>
              <w:t>595,945,265.77</w:t>
            </w:r>
          </w:p>
        </w:tc>
        <w:tc>
          <w:tcPr>
            <w:tcW w:w="1616" w:type="dxa"/>
            <w:shd w:val="clear" w:color="auto" w:fill="FFFFFF"/>
            <w:vAlign w:val="center"/>
          </w:tcPr>
          <w:p>
            <w:pPr>
              <w:jc w:val="right"/>
              <w:rPr>
                <w:kern w:val="0"/>
                <w:sz w:val="18"/>
                <w:szCs w:val="18"/>
              </w:rPr>
            </w:pPr>
            <w:r>
              <w:rPr>
                <w:sz w:val="18"/>
                <w:szCs w:val="18"/>
              </w:rPr>
              <w:t>945,943,210.71</w:t>
            </w:r>
          </w:p>
        </w:tc>
        <w:tc>
          <w:tcPr>
            <w:tcW w:w="1511" w:type="dxa"/>
            <w:vAlign w:val="center"/>
          </w:tcPr>
          <w:p>
            <w:pPr>
              <w:jc w:val="right"/>
              <w:rPr>
                <w:kern w:val="0"/>
                <w:sz w:val="18"/>
                <w:szCs w:val="18"/>
              </w:rPr>
            </w:pPr>
            <w:r>
              <w:rPr>
                <w:sz w:val="18"/>
                <w:szCs w:val="18"/>
              </w:rPr>
              <w:t>503,277,951.30</w:t>
            </w:r>
            <w:r>
              <w:rPr>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1050" w:firstLineChars="50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稅金及附加</w:t>
            </w:r>
          </w:p>
        </w:tc>
        <w:tc>
          <w:tcPr>
            <w:tcW w:w="1897" w:type="dxa"/>
            <w:shd w:val="clear" w:color="auto" w:fill="FFFFFF"/>
            <w:vAlign w:val="center"/>
          </w:tcPr>
          <w:p>
            <w:pPr>
              <w:jc w:val="right"/>
              <w:rPr>
                <w:rFonts w:eastAsia="PMingLiU"/>
                <w:b/>
                <w:bCs/>
                <w:kern w:val="0"/>
                <w:sz w:val="18"/>
                <w:szCs w:val="18"/>
                <w:lang w:eastAsia="zh-TW"/>
              </w:rPr>
            </w:pPr>
            <w:r>
              <w:rPr>
                <w:b/>
                <w:bCs/>
                <w:sz w:val="18"/>
                <w:szCs w:val="18"/>
              </w:rPr>
              <w:t>15,944,379.60</w:t>
            </w:r>
          </w:p>
        </w:tc>
        <w:tc>
          <w:tcPr>
            <w:tcW w:w="2156" w:type="dxa"/>
            <w:shd w:val="clear" w:color="auto" w:fill="FFFFFF"/>
            <w:vAlign w:val="center"/>
          </w:tcPr>
          <w:p>
            <w:pPr>
              <w:jc w:val="right"/>
              <w:rPr>
                <w:b/>
                <w:bCs/>
                <w:sz w:val="18"/>
                <w:szCs w:val="18"/>
              </w:rPr>
            </w:pPr>
            <w:r>
              <w:rPr>
                <w:b/>
                <w:bCs/>
                <w:sz w:val="18"/>
                <w:szCs w:val="18"/>
              </w:rPr>
              <w:t>8,857,629.90</w:t>
            </w:r>
          </w:p>
        </w:tc>
        <w:tc>
          <w:tcPr>
            <w:tcW w:w="1616" w:type="dxa"/>
            <w:shd w:val="clear" w:color="auto" w:fill="FFFFFF"/>
            <w:vAlign w:val="center"/>
          </w:tcPr>
          <w:p>
            <w:pPr>
              <w:jc w:val="right"/>
              <w:rPr>
                <w:bCs/>
                <w:sz w:val="18"/>
                <w:szCs w:val="18"/>
              </w:rPr>
            </w:pPr>
            <w:r>
              <w:rPr>
                <w:sz w:val="18"/>
                <w:szCs w:val="18"/>
              </w:rPr>
              <w:t>16,406,920.23</w:t>
            </w:r>
          </w:p>
        </w:tc>
        <w:tc>
          <w:tcPr>
            <w:tcW w:w="1511" w:type="dxa"/>
            <w:shd w:val="clear" w:color="auto" w:fill="FFFFFF"/>
            <w:vAlign w:val="center"/>
          </w:tcPr>
          <w:p>
            <w:pPr>
              <w:jc w:val="right"/>
              <w:rPr>
                <w:sz w:val="18"/>
                <w:szCs w:val="18"/>
              </w:rPr>
            </w:pPr>
            <w:r>
              <w:rPr>
                <w:sz w:val="18"/>
                <w:szCs w:val="18"/>
              </w:rPr>
              <w:t>9,536,875.42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1050" w:firstLineChars="500"/>
              <w:jc w:val="both"/>
              <w:rPr>
                <w:rFonts w:ascii="宋体" w:hAnsi="宋体" w:eastAsia="PMingLiU" w:cs="PMingLiU"/>
                <w:color w:val="auto"/>
                <w:sz w:val="21"/>
                <w:szCs w:val="21"/>
                <w:lang w:eastAsia="zh-TW"/>
              </w:rPr>
            </w:pPr>
            <w:r>
              <w:rPr>
                <w:rFonts w:hint="eastAsia" w:ascii="宋体" w:hAnsi="宋体" w:eastAsia="PMingLiU" w:cs="PMingLiU"/>
                <w:color w:val="auto"/>
                <w:sz w:val="21"/>
                <w:szCs w:val="21"/>
                <w:lang w:eastAsia="zh-TW"/>
              </w:rPr>
              <w:t>銷售費用</w:t>
            </w:r>
          </w:p>
        </w:tc>
        <w:tc>
          <w:tcPr>
            <w:tcW w:w="1897" w:type="dxa"/>
            <w:shd w:val="clear" w:color="auto" w:fill="FFFFFF"/>
            <w:vAlign w:val="center"/>
          </w:tcPr>
          <w:p>
            <w:pPr>
              <w:jc w:val="right"/>
              <w:rPr>
                <w:rFonts w:eastAsia="PMingLiU"/>
                <w:b/>
                <w:bCs/>
                <w:kern w:val="0"/>
                <w:sz w:val="18"/>
                <w:szCs w:val="18"/>
                <w:lang w:eastAsia="zh-TW"/>
              </w:rPr>
            </w:pPr>
            <w:r>
              <w:rPr>
                <w:b/>
                <w:bCs/>
                <w:sz w:val="18"/>
                <w:szCs w:val="18"/>
              </w:rPr>
              <w:t>192,083,579.25</w:t>
            </w:r>
          </w:p>
        </w:tc>
        <w:tc>
          <w:tcPr>
            <w:tcW w:w="2156" w:type="dxa"/>
            <w:shd w:val="clear" w:color="auto" w:fill="FFFFFF"/>
            <w:vAlign w:val="center"/>
          </w:tcPr>
          <w:p>
            <w:pPr>
              <w:jc w:val="right"/>
              <w:rPr>
                <w:b/>
                <w:bCs/>
                <w:sz w:val="18"/>
                <w:szCs w:val="18"/>
              </w:rPr>
            </w:pPr>
            <w:r>
              <w:rPr>
                <w:b/>
                <w:bCs/>
                <w:sz w:val="18"/>
                <w:szCs w:val="18"/>
              </w:rPr>
              <w:t>18,739,120.38</w:t>
            </w:r>
          </w:p>
        </w:tc>
        <w:tc>
          <w:tcPr>
            <w:tcW w:w="1616" w:type="dxa"/>
            <w:shd w:val="clear" w:color="auto" w:fill="FFFFFF"/>
            <w:vAlign w:val="center"/>
          </w:tcPr>
          <w:p>
            <w:pPr>
              <w:jc w:val="right"/>
              <w:rPr>
                <w:kern w:val="0"/>
                <w:sz w:val="18"/>
                <w:szCs w:val="18"/>
              </w:rPr>
            </w:pPr>
            <w:r>
              <w:rPr>
                <w:sz w:val="18"/>
                <w:szCs w:val="18"/>
              </w:rPr>
              <w:t>152,556,515.24</w:t>
            </w:r>
          </w:p>
        </w:tc>
        <w:tc>
          <w:tcPr>
            <w:tcW w:w="1511" w:type="dxa"/>
            <w:shd w:val="clear" w:color="auto" w:fill="FFFFFF"/>
            <w:vAlign w:val="center"/>
          </w:tcPr>
          <w:p>
            <w:pPr>
              <w:jc w:val="right"/>
              <w:rPr>
                <w:kern w:val="0"/>
                <w:sz w:val="18"/>
                <w:szCs w:val="18"/>
              </w:rPr>
            </w:pPr>
            <w:r>
              <w:rPr>
                <w:sz w:val="18"/>
                <w:szCs w:val="18"/>
              </w:rPr>
              <w:t>15,551,588.32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1050" w:firstLineChars="500"/>
              <w:jc w:val="both"/>
              <w:rPr>
                <w:rFonts w:ascii="宋体" w:hAnsi="宋体" w:eastAsia="PMingLiU" w:cs="PMingLiU"/>
                <w:color w:val="auto"/>
                <w:sz w:val="21"/>
                <w:szCs w:val="21"/>
                <w:lang w:eastAsia="zh-TW"/>
              </w:rPr>
            </w:pPr>
            <w:r>
              <w:rPr>
                <w:rFonts w:hint="eastAsia" w:ascii="宋体" w:hAnsi="宋体" w:eastAsia="PMingLiU" w:cs="PMingLiU"/>
                <w:color w:val="auto"/>
                <w:sz w:val="21"/>
                <w:szCs w:val="21"/>
                <w:lang w:eastAsia="zh-TW"/>
              </w:rPr>
              <w:t>管理費用</w:t>
            </w:r>
          </w:p>
        </w:tc>
        <w:tc>
          <w:tcPr>
            <w:tcW w:w="1897" w:type="dxa"/>
            <w:shd w:val="clear" w:color="auto" w:fill="FFFFFF"/>
            <w:vAlign w:val="center"/>
          </w:tcPr>
          <w:p>
            <w:pPr>
              <w:jc w:val="right"/>
              <w:rPr>
                <w:rFonts w:eastAsia="PMingLiU"/>
                <w:b/>
                <w:bCs/>
                <w:kern w:val="0"/>
                <w:sz w:val="18"/>
                <w:szCs w:val="18"/>
                <w:lang w:eastAsia="zh-TW"/>
              </w:rPr>
            </w:pPr>
            <w:r>
              <w:rPr>
                <w:b/>
                <w:bCs/>
                <w:sz w:val="18"/>
                <w:szCs w:val="18"/>
              </w:rPr>
              <w:t>94,797,386.37</w:t>
            </w:r>
          </w:p>
        </w:tc>
        <w:tc>
          <w:tcPr>
            <w:tcW w:w="2156" w:type="dxa"/>
            <w:shd w:val="clear" w:color="auto" w:fill="FFFFFF"/>
            <w:vAlign w:val="center"/>
          </w:tcPr>
          <w:p>
            <w:pPr>
              <w:jc w:val="right"/>
              <w:rPr>
                <w:b/>
                <w:bCs/>
                <w:sz w:val="18"/>
                <w:szCs w:val="18"/>
              </w:rPr>
            </w:pPr>
            <w:r>
              <w:rPr>
                <w:b/>
                <w:bCs/>
                <w:sz w:val="18"/>
                <w:szCs w:val="18"/>
              </w:rPr>
              <w:t>77,618,566.56</w:t>
            </w:r>
          </w:p>
        </w:tc>
        <w:tc>
          <w:tcPr>
            <w:tcW w:w="1616" w:type="dxa"/>
            <w:shd w:val="clear" w:color="auto" w:fill="FFFFFF"/>
            <w:vAlign w:val="center"/>
          </w:tcPr>
          <w:p>
            <w:pPr>
              <w:jc w:val="right"/>
              <w:rPr>
                <w:kern w:val="0"/>
                <w:sz w:val="18"/>
                <w:szCs w:val="18"/>
              </w:rPr>
            </w:pPr>
            <w:r>
              <w:rPr>
                <w:sz w:val="18"/>
                <w:szCs w:val="18"/>
              </w:rPr>
              <w:t>106,151,166.96</w:t>
            </w:r>
          </w:p>
        </w:tc>
        <w:tc>
          <w:tcPr>
            <w:tcW w:w="1511" w:type="dxa"/>
            <w:shd w:val="clear" w:color="auto" w:fill="FFFFFF"/>
            <w:vAlign w:val="center"/>
          </w:tcPr>
          <w:p>
            <w:pPr>
              <w:jc w:val="right"/>
              <w:rPr>
                <w:kern w:val="0"/>
                <w:sz w:val="18"/>
                <w:szCs w:val="18"/>
              </w:rPr>
            </w:pPr>
            <w:r>
              <w:rPr>
                <w:sz w:val="18"/>
                <w:szCs w:val="18"/>
              </w:rPr>
              <w:t>85,472,791.49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1050" w:firstLineChars="50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財務費用</w:t>
            </w:r>
          </w:p>
        </w:tc>
        <w:tc>
          <w:tcPr>
            <w:tcW w:w="1897" w:type="dxa"/>
            <w:shd w:val="clear" w:color="auto" w:fill="FFFFFF"/>
            <w:vAlign w:val="center"/>
          </w:tcPr>
          <w:p>
            <w:pPr>
              <w:jc w:val="right"/>
              <w:rPr>
                <w:rFonts w:eastAsia="PMingLiU"/>
                <w:b/>
                <w:bCs/>
                <w:kern w:val="0"/>
                <w:sz w:val="18"/>
                <w:szCs w:val="18"/>
                <w:lang w:eastAsia="zh-TW"/>
              </w:rPr>
            </w:pPr>
            <w:r>
              <w:rPr>
                <w:b/>
                <w:bCs/>
                <w:sz w:val="18"/>
                <w:szCs w:val="18"/>
              </w:rPr>
              <w:t>21,943,379.69</w:t>
            </w:r>
          </w:p>
        </w:tc>
        <w:tc>
          <w:tcPr>
            <w:tcW w:w="2156" w:type="dxa"/>
            <w:shd w:val="clear" w:color="auto" w:fill="FFFFFF"/>
            <w:vAlign w:val="center"/>
          </w:tcPr>
          <w:p>
            <w:pPr>
              <w:jc w:val="right"/>
              <w:rPr>
                <w:b/>
                <w:bCs/>
                <w:sz w:val="18"/>
                <w:szCs w:val="18"/>
              </w:rPr>
            </w:pPr>
            <w:r>
              <w:rPr>
                <w:b/>
                <w:bCs/>
                <w:sz w:val="18"/>
                <w:szCs w:val="18"/>
              </w:rPr>
              <w:t>20,880,436.92</w:t>
            </w:r>
          </w:p>
        </w:tc>
        <w:tc>
          <w:tcPr>
            <w:tcW w:w="1616" w:type="dxa"/>
            <w:shd w:val="clear" w:color="auto" w:fill="FFFFFF"/>
            <w:vAlign w:val="center"/>
          </w:tcPr>
          <w:p>
            <w:pPr>
              <w:jc w:val="right"/>
              <w:rPr>
                <w:kern w:val="0"/>
                <w:sz w:val="18"/>
                <w:szCs w:val="18"/>
              </w:rPr>
            </w:pPr>
            <w:r>
              <w:rPr>
                <w:sz w:val="18"/>
                <w:szCs w:val="18"/>
              </w:rPr>
              <w:t>15,878,700.76</w:t>
            </w:r>
          </w:p>
        </w:tc>
        <w:tc>
          <w:tcPr>
            <w:tcW w:w="1511" w:type="dxa"/>
            <w:shd w:val="clear" w:color="auto" w:fill="FFFFFF"/>
            <w:vAlign w:val="center"/>
          </w:tcPr>
          <w:p>
            <w:pPr>
              <w:jc w:val="right"/>
              <w:rPr>
                <w:kern w:val="0"/>
                <w:sz w:val="18"/>
                <w:szCs w:val="18"/>
              </w:rPr>
            </w:pPr>
            <w:r>
              <w:rPr>
                <w:sz w:val="18"/>
                <w:szCs w:val="18"/>
              </w:rPr>
              <w:t>15,627,577.51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vAlign w:val="top"/>
          </w:tcPr>
          <w:p>
            <w:pPr>
              <w:pStyle w:val="10"/>
              <w:ind w:firstLine="1050" w:firstLineChars="50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資產減值損失</w:t>
            </w:r>
          </w:p>
        </w:tc>
        <w:tc>
          <w:tcPr>
            <w:tcW w:w="1897" w:type="dxa"/>
            <w:vAlign w:val="center"/>
          </w:tcPr>
          <w:p>
            <w:pPr>
              <w:pStyle w:val="10"/>
              <w:spacing w:beforeLines="20" w:afterLines="20"/>
              <w:jc w:val="right"/>
              <w:rPr>
                <w:rFonts w:ascii="Times New Roman" w:eastAsia="宋体" w:cs="Times New Roman"/>
                <w:b/>
                <w:bCs/>
                <w:color w:val="auto"/>
                <w:sz w:val="18"/>
                <w:szCs w:val="18"/>
              </w:rPr>
            </w:pPr>
            <w:r>
              <w:rPr>
                <w:rFonts w:ascii="Times New Roman" w:eastAsia="宋体" w:cs="Times New Roman"/>
                <w:b/>
                <w:bCs/>
                <w:color w:val="auto"/>
                <w:sz w:val="18"/>
                <w:szCs w:val="18"/>
              </w:rPr>
              <w:t>-</w:t>
            </w:r>
          </w:p>
        </w:tc>
        <w:tc>
          <w:tcPr>
            <w:tcW w:w="2156" w:type="dxa"/>
            <w:vAlign w:val="center"/>
          </w:tcPr>
          <w:p>
            <w:pPr>
              <w:pStyle w:val="10"/>
              <w:spacing w:beforeLines="20" w:afterLines="20"/>
              <w:jc w:val="right"/>
              <w:rPr>
                <w:rFonts w:ascii="Times New Roman" w:eastAsia="宋体" w:cs="Times New Roman"/>
                <w:b/>
                <w:bCs/>
                <w:color w:val="auto"/>
                <w:sz w:val="18"/>
                <w:szCs w:val="18"/>
              </w:rPr>
            </w:pPr>
            <w:r>
              <w:rPr>
                <w:rFonts w:ascii="Times New Roman" w:eastAsia="宋体" w:cs="Times New Roman"/>
                <w:b/>
                <w:bCs/>
                <w:color w:val="auto"/>
                <w:sz w:val="18"/>
                <w:szCs w:val="18"/>
              </w:rPr>
              <w:t>-</w:t>
            </w:r>
          </w:p>
        </w:tc>
        <w:tc>
          <w:tcPr>
            <w:tcW w:w="1616" w:type="dxa"/>
            <w:vAlign w:val="center"/>
          </w:tcPr>
          <w:p>
            <w:pPr>
              <w:jc w:val="right"/>
              <w:rPr>
                <w:kern w:val="0"/>
                <w:sz w:val="18"/>
                <w:szCs w:val="18"/>
              </w:rPr>
            </w:pPr>
            <w:r>
              <w:rPr>
                <w:kern w:val="0"/>
                <w:sz w:val="18"/>
                <w:szCs w:val="18"/>
              </w:rPr>
              <w:t>-</w:t>
            </w:r>
          </w:p>
        </w:tc>
        <w:tc>
          <w:tcPr>
            <w:tcW w:w="1511" w:type="dxa"/>
            <w:vAlign w:val="center"/>
          </w:tcPr>
          <w:p>
            <w:pPr>
              <w:jc w:val="right"/>
              <w:rPr>
                <w:kern w:val="0"/>
                <w:sz w:val="18"/>
                <w:szCs w:val="18"/>
              </w:rPr>
            </w:pPr>
            <w:r>
              <w:rPr>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02" w:type="dxa"/>
            <w:vAlign w:val="top"/>
          </w:tcPr>
          <w:p>
            <w:pPr>
              <w:pStyle w:val="10"/>
              <w:ind w:firstLine="420" w:firstLineChars="20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加：公允價值變動收益</w:t>
            </w:r>
          </w:p>
        </w:tc>
        <w:tc>
          <w:tcPr>
            <w:tcW w:w="1897" w:type="dxa"/>
            <w:vAlign w:val="center"/>
          </w:tcPr>
          <w:p>
            <w:pPr>
              <w:pStyle w:val="10"/>
              <w:spacing w:beforeLines="20" w:afterLines="20"/>
              <w:ind w:right="500" w:firstLine="1441" w:firstLineChars="800"/>
              <w:jc w:val="right"/>
              <w:rPr>
                <w:rFonts w:ascii="Times New Roman" w:eastAsia="宋体" w:cs="Times New Roman"/>
                <w:b/>
                <w:bCs/>
                <w:color w:val="auto"/>
                <w:sz w:val="18"/>
                <w:szCs w:val="18"/>
              </w:rPr>
            </w:pPr>
            <w:r>
              <w:rPr>
                <w:rFonts w:ascii="Times New Roman" w:eastAsia="宋体" w:cs="Times New Roman"/>
                <w:b/>
                <w:bCs/>
                <w:color w:val="auto"/>
                <w:sz w:val="18"/>
                <w:szCs w:val="18"/>
              </w:rPr>
              <w:t>-</w:t>
            </w:r>
          </w:p>
        </w:tc>
        <w:tc>
          <w:tcPr>
            <w:tcW w:w="2156" w:type="dxa"/>
            <w:vAlign w:val="center"/>
          </w:tcPr>
          <w:p>
            <w:pPr>
              <w:pStyle w:val="10"/>
              <w:spacing w:beforeLines="20" w:afterLines="20"/>
              <w:jc w:val="right"/>
              <w:rPr>
                <w:rFonts w:ascii="Times New Roman" w:eastAsia="宋体" w:cs="Times New Roman"/>
                <w:b/>
                <w:bCs/>
                <w:color w:val="auto"/>
                <w:sz w:val="18"/>
                <w:szCs w:val="18"/>
              </w:rPr>
            </w:pPr>
            <w:r>
              <w:rPr>
                <w:rFonts w:ascii="Times New Roman" w:eastAsia="宋体" w:cs="Times New Roman"/>
                <w:b/>
                <w:bCs/>
                <w:color w:val="auto"/>
                <w:sz w:val="18"/>
                <w:szCs w:val="18"/>
              </w:rPr>
              <w:t>-</w:t>
            </w:r>
          </w:p>
        </w:tc>
        <w:tc>
          <w:tcPr>
            <w:tcW w:w="1616" w:type="dxa"/>
            <w:vAlign w:val="center"/>
          </w:tcPr>
          <w:p>
            <w:pPr>
              <w:jc w:val="right"/>
              <w:rPr>
                <w:bCs/>
                <w:kern w:val="0"/>
                <w:sz w:val="18"/>
                <w:szCs w:val="18"/>
              </w:rPr>
            </w:pPr>
            <w:r>
              <w:rPr>
                <w:bCs/>
                <w:kern w:val="0"/>
                <w:sz w:val="18"/>
                <w:szCs w:val="18"/>
              </w:rPr>
              <w:t>-</w:t>
            </w:r>
          </w:p>
        </w:tc>
        <w:tc>
          <w:tcPr>
            <w:tcW w:w="1511" w:type="dxa"/>
            <w:vAlign w:val="center"/>
          </w:tcPr>
          <w:p>
            <w:pPr>
              <w:jc w:val="right"/>
              <w:rPr>
                <w:bCs/>
                <w:kern w:val="0"/>
                <w:sz w:val="18"/>
                <w:szCs w:val="18"/>
              </w:rPr>
            </w:pPr>
            <w:r>
              <w:rPr>
                <w:bCs/>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840" w:firstLineChars="40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投資收益</w:t>
            </w:r>
          </w:p>
        </w:tc>
        <w:tc>
          <w:tcPr>
            <w:tcW w:w="1897" w:type="dxa"/>
            <w:shd w:val="clear" w:color="auto" w:fill="FFFFFF"/>
            <w:vAlign w:val="center"/>
          </w:tcPr>
          <w:p>
            <w:pPr>
              <w:jc w:val="right"/>
              <w:rPr>
                <w:rFonts w:eastAsia="PMingLiU"/>
                <w:b/>
                <w:bCs/>
                <w:sz w:val="18"/>
                <w:szCs w:val="18"/>
                <w:lang w:eastAsia="zh-TW"/>
              </w:rPr>
            </w:pPr>
            <w:r>
              <w:rPr>
                <w:b/>
                <w:bCs/>
                <w:sz w:val="18"/>
                <w:szCs w:val="18"/>
              </w:rPr>
              <w:t>807,270.99</w:t>
            </w:r>
          </w:p>
        </w:tc>
        <w:tc>
          <w:tcPr>
            <w:tcW w:w="2156" w:type="dxa"/>
            <w:shd w:val="clear" w:color="auto" w:fill="FFFFFF"/>
            <w:vAlign w:val="center"/>
          </w:tcPr>
          <w:p>
            <w:pPr>
              <w:jc w:val="right"/>
              <w:rPr>
                <w:rFonts w:eastAsia="PMingLiU"/>
                <w:b/>
                <w:bCs/>
                <w:sz w:val="18"/>
                <w:szCs w:val="18"/>
                <w:lang w:eastAsia="zh-TW"/>
              </w:rPr>
            </w:pPr>
            <w:r>
              <w:rPr>
                <w:b/>
                <w:bCs/>
                <w:sz w:val="18"/>
                <w:szCs w:val="18"/>
              </w:rPr>
              <w:t>807,270.99</w:t>
            </w:r>
          </w:p>
        </w:tc>
        <w:tc>
          <w:tcPr>
            <w:tcW w:w="1616" w:type="dxa"/>
            <w:vAlign w:val="center"/>
          </w:tcPr>
          <w:p>
            <w:pPr>
              <w:jc w:val="right"/>
              <w:rPr>
                <w:bCs/>
                <w:sz w:val="18"/>
                <w:szCs w:val="18"/>
              </w:rPr>
            </w:pPr>
            <w:r>
              <w:rPr>
                <w:sz w:val="18"/>
                <w:szCs w:val="18"/>
              </w:rPr>
              <w:t>50,054.83</w:t>
            </w:r>
          </w:p>
        </w:tc>
        <w:tc>
          <w:tcPr>
            <w:tcW w:w="1511" w:type="dxa"/>
            <w:vAlign w:val="center"/>
          </w:tcPr>
          <w:p>
            <w:pPr>
              <w:jc w:val="right"/>
              <w:rPr>
                <w:bCs/>
                <w:sz w:val="18"/>
                <w:szCs w:val="18"/>
              </w:rPr>
            </w:pPr>
            <w:r>
              <w:rPr>
                <w:sz w:val="18"/>
                <w:szCs w:val="18"/>
              </w:rPr>
              <w:t>2,691,554.92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02" w:type="dxa"/>
            <w:shd w:val="clear" w:color="auto" w:fill="auto"/>
            <w:vAlign w:val="top"/>
          </w:tcPr>
          <w:p>
            <w:pPr>
              <w:pStyle w:val="10"/>
              <w:ind w:firstLine="840" w:firstLineChars="400"/>
              <w:jc w:val="both"/>
              <w:rPr>
                <w:rFonts w:ascii="宋体" w:hAnsi="宋体" w:eastAsia="PMingLiU" w:cs="PMingLiU"/>
                <w:color w:val="auto"/>
                <w:sz w:val="21"/>
                <w:szCs w:val="21"/>
                <w:lang w:eastAsia="zh-TW"/>
              </w:rPr>
            </w:pPr>
            <w:r>
              <w:rPr>
                <w:rFonts w:hint="eastAsia" w:ascii="宋体" w:hAnsi="宋体" w:eastAsia="PMingLiU" w:cs="PMingLiU"/>
                <w:color w:val="auto"/>
                <w:sz w:val="21"/>
                <w:szCs w:val="21"/>
                <w:lang w:eastAsia="zh-TW"/>
              </w:rPr>
              <w:t>其中：對聯營企業和合營企業的投資收益</w:t>
            </w:r>
          </w:p>
        </w:tc>
        <w:tc>
          <w:tcPr>
            <w:tcW w:w="1897" w:type="dxa"/>
            <w:shd w:val="clear" w:color="auto" w:fill="FFFFFF"/>
            <w:vAlign w:val="center"/>
          </w:tcPr>
          <w:p>
            <w:pPr>
              <w:jc w:val="right"/>
              <w:rPr>
                <w:b/>
                <w:bCs/>
                <w:sz w:val="18"/>
                <w:szCs w:val="18"/>
                <w:lang w:eastAsia="zh-TW"/>
              </w:rPr>
            </w:pPr>
          </w:p>
        </w:tc>
        <w:tc>
          <w:tcPr>
            <w:tcW w:w="2156" w:type="dxa"/>
            <w:shd w:val="clear" w:color="auto" w:fill="FFFFFF"/>
            <w:vAlign w:val="center"/>
          </w:tcPr>
          <w:p>
            <w:pPr>
              <w:jc w:val="right"/>
              <w:rPr>
                <w:b/>
                <w:bCs/>
                <w:sz w:val="18"/>
                <w:szCs w:val="18"/>
                <w:lang w:eastAsia="zh-TW"/>
              </w:rPr>
            </w:pPr>
          </w:p>
        </w:tc>
        <w:tc>
          <w:tcPr>
            <w:tcW w:w="1616" w:type="dxa"/>
            <w:vAlign w:val="center"/>
          </w:tcPr>
          <w:p>
            <w:pPr>
              <w:jc w:val="right"/>
              <w:rPr>
                <w:sz w:val="18"/>
                <w:szCs w:val="18"/>
                <w:lang w:eastAsia="zh-TW"/>
              </w:rPr>
            </w:pPr>
          </w:p>
        </w:tc>
        <w:tc>
          <w:tcPr>
            <w:tcW w:w="1511" w:type="dxa"/>
            <w:vAlign w:val="center"/>
          </w:tcPr>
          <w:p>
            <w:pPr>
              <w:jc w:val="right"/>
              <w:rPr>
                <w:sz w:val="18"/>
                <w:szCs w:val="18"/>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840" w:firstLineChars="400"/>
              <w:jc w:val="both"/>
              <w:rPr>
                <w:rFonts w:ascii="宋体" w:hAnsi="宋体" w:eastAsia="PMingLiU" w:cs="PMingLiU"/>
                <w:color w:val="auto"/>
                <w:sz w:val="21"/>
                <w:szCs w:val="21"/>
                <w:lang w:eastAsia="zh-TW"/>
              </w:rPr>
            </w:pPr>
            <w:r>
              <w:rPr>
                <w:rFonts w:hint="eastAsia" w:ascii="宋体" w:hAnsi="宋体" w:eastAsia="PMingLiU" w:cs="PMingLiU"/>
                <w:color w:val="auto"/>
                <w:sz w:val="21"/>
                <w:szCs w:val="21"/>
                <w:lang w:eastAsia="zh-TW"/>
              </w:rPr>
              <w:t>資產處置收益</w:t>
            </w:r>
          </w:p>
        </w:tc>
        <w:tc>
          <w:tcPr>
            <w:tcW w:w="1897" w:type="dxa"/>
            <w:shd w:val="clear" w:color="auto" w:fill="FFFFFF"/>
            <w:vAlign w:val="center"/>
          </w:tcPr>
          <w:p>
            <w:pPr>
              <w:jc w:val="right"/>
              <w:rPr>
                <w:b/>
                <w:bCs/>
                <w:sz w:val="18"/>
                <w:szCs w:val="18"/>
              </w:rPr>
            </w:pPr>
            <w:r>
              <w:rPr>
                <w:b/>
                <w:bCs/>
                <w:sz w:val="18"/>
                <w:szCs w:val="18"/>
              </w:rPr>
              <w:t>101,286.71</w:t>
            </w:r>
          </w:p>
        </w:tc>
        <w:tc>
          <w:tcPr>
            <w:tcW w:w="2156" w:type="dxa"/>
            <w:shd w:val="clear" w:color="auto" w:fill="FFFFFF"/>
            <w:vAlign w:val="center"/>
          </w:tcPr>
          <w:p>
            <w:pPr>
              <w:jc w:val="right"/>
              <w:rPr>
                <w:rFonts w:eastAsia="PMingLiU"/>
                <w:b/>
                <w:bCs/>
                <w:sz w:val="18"/>
                <w:szCs w:val="18"/>
                <w:lang w:eastAsia="zh-TW"/>
              </w:rPr>
            </w:pPr>
            <w:r>
              <w:rPr>
                <w:b/>
                <w:bCs/>
                <w:sz w:val="18"/>
                <w:szCs w:val="18"/>
              </w:rPr>
              <w:t>86,793.68</w:t>
            </w:r>
          </w:p>
        </w:tc>
        <w:tc>
          <w:tcPr>
            <w:tcW w:w="1616" w:type="dxa"/>
            <w:shd w:val="clear" w:color="auto" w:fill="FFFFFF"/>
            <w:vAlign w:val="center"/>
          </w:tcPr>
          <w:p>
            <w:pPr>
              <w:jc w:val="right"/>
              <w:rPr>
                <w:sz w:val="18"/>
                <w:szCs w:val="18"/>
              </w:rPr>
            </w:pPr>
            <w:r>
              <w:rPr>
                <w:sz w:val="18"/>
                <w:szCs w:val="18"/>
              </w:rPr>
              <w:t>7,682,682.96</w:t>
            </w:r>
          </w:p>
        </w:tc>
        <w:tc>
          <w:tcPr>
            <w:tcW w:w="1511" w:type="dxa"/>
            <w:shd w:val="clear" w:color="auto" w:fill="FFFFFF"/>
            <w:vAlign w:val="center"/>
          </w:tcPr>
          <w:p>
            <w:pPr>
              <w:jc w:val="right"/>
              <w:rPr>
                <w:kern w:val="0"/>
                <w:sz w:val="18"/>
                <w:szCs w:val="18"/>
              </w:rPr>
            </w:pPr>
            <w:r>
              <w:rPr>
                <w:sz w:val="18"/>
                <w:szCs w:val="18"/>
              </w:rPr>
              <w:t>7,501,959.41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840" w:firstLineChars="400"/>
              <w:jc w:val="both"/>
              <w:rPr>
                <w:rFonts w:ascii="宋体" w:hAnsi="宋体" w:eastAsia="PMingLiU" w:cs="PMingLiU"/>
                <w:color w:val="auto"/>
                <w:sz w:val="21"/>
                <w:szCs w:val="21"/>
                <w:lang w:eastAsia="zh-TW"/>
              </w:rPr>
            </w:pPr>
            <w:r>
              <w:rPr>
                <w:rFonts w:hint="eastAsia" w:ascii="宋体" w:hAnsi="宋体" w:eastAsia="PMingLiU" w:cs="PMingLiU"/>
                <w:color w:val="auto"/>
                <w:sz w:val="21"/>
                <w:szCs w:val="21"/>
                <w:lang w:eastAsia="zh-TW"/>
              </w:rPr>
              <w:t>其他收益</w:t>
            </w:r>
          </w:p>
        </w:tc>
        <w:tc>
          <w:tcPr>
            <w:tcW w:w="1897" w:type="dxa"/>
            <w:shd w:val="clear" w:color="auto" w:fill="FFFFFF"/>
            <w:vAlign w:val="center"/>
          </w:tcPr>
          <w:p>
            <w:pPr>
              <w:jc w:val="right"/>
              <w:rPr>
                <w:b/>
                <w:bCs/>
                <w:sz w:val="18"/>
                <w:szCs w:val="18"/>
              </w:rPr>
            </w:pPr>
            <w:r>
              <w:rPr>
                <w:b/>
                <w:bCs/>
                <w:sz w:val="18"/>
                <w:szCs w:val="18"/>
              </w:rPr>
              <w:t>2,553,700.01</w:t>
            </w:r>
          </w:p>
        </w:tc>
        <w:tc>
          <w:tcPr>
            <w:tcW w:w="2156" w:type="dxa"/>
            <w:shd w:val="clear" w:color="auto" w:fill="FFFFFF"/>
            <w:vAlign w:val="center"/>
          </w:tcPr>
          <w:p>
            <w:pPr>
              <w:jc w:val="right"/>
              <w:rPr>
                <w:rFonts w:eastAsia="PMingLiU"/>
                <w:b/>
                <w:bCs/>
                <w:sz w:val="18"/>
                <w:szCs w:val="18"/>
                <w:lang w:eastAsia="zh-TW"/>
              </w:rPr>
            </w:pPr>
            <w:r>
              <w:rPr>
                <w:b/>
                <w:bCs/>
                <w:sz w:val="18"/>
                <w:szCs w:val="18"/>
              </w:rPr>
              <w:t>2,553,700.01</w:t>
            </w:r>
          </w:p>
        </w:tc>
        <w:tc>
          <w:tcPr>
            <w:tcW w:w="1616" w:type="dxa"/>
            <w:shd w:val="clear" w:color="auto" w:fill="FFFFFF"/>
            <w:vAlign w:val="center"/>
          </w:tcPr>
          <w:p>
            <w:pPr>
              <w:jc w:val="right"/>
              <w:rPr>
                <w:sz w:val="18"/>
                <w:szCs w:val="18"/>
              </w:rPr>
            </w:pPr>
            <w:r>
              <w:rPr>
                <w:sz w:val="18"/>
                <w:szCs w:val="18"/>
              </w:rPr>
              <w:t>3,560,999.99</w:t>
            </w:r>
          </w:p>
        </w:tc>
        <w:tc>
          <w:tcPr>
            <w:tcW w:w="1511" w:type="dxa"/>
            <w:shd w:val="clear" w:color="auto" w:fill="FFFFFF"/>
            <w:vAlign w:val="center"/>
          </w:tcPr>
          <w:p>
            <w:pPr>
              <w:jc w:val="right"/>
              <w:rPr>
                <w:kern w:val="0"/>
                <w:sz w:val="18"/>
                <w:szCs w:val="18"/>
              </w:rPr>
            </w:pPr>
            <w:r>
              <w:rPr>
                <w:sz w:val="18"/>
                <w:szCs w:val="18"/>
              </w:rPr>
              <w:t>3,560,999.99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2" w:hRule="atLeast"/>
        </w:trPr>
        <w:tc>
          <w:tcPr>
            <w:tcW w:w="2802" w:type="dxa"/>
            <w:shd w:val="clear" w:color="auto" w:fill="auto"/>
            <w:vAlign w:val="top"/>
          </w:tcPr>
          <w:p>
            <w:pPr>
              <w:pStyle w:val="1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三、營業利潤</w:t>
            </w:r>
          </w:p>
        </w:tc>
        <w:tc>
          <w:tcPr>
            <w:tcW w:w="1897" w:type="dxa"/>
            <w:shd w:val="clear" w:color="auto" w:fill="FFFFFF"/>
            <w:vAlign w:val="center"/>
          </w:tcPr>
          <w:p>
            <w:pPr>
              <w:jc w:val="right"/>
              <w:rPr>
                <w:b/>
                <w:bCs/>
                <w:kern w:val="0"/>
                <w:sz w:val="18"/>
                <w:szCs w:val="18"/>
              </w:rPr>
            </w:pPr>
            <w:r>
              <w:rPr>
                <w:b/>
                <w:bCs/>
                <w:sz w:val="18"/>
                <w:szCs w:val="18"/>
              </w:rPr>
              <w:t>83,417,498.65</w:t>
            </w:r>
          </w:p>
        </w:tc>
        <w:tc>
          <w:tcPr>
            <w:tcW w:w="2156" w:type="dxa"/>
            <w:shd w:val="clear" w:color="auto" w:fill="FFFFFF"/>
            <w:vAlign w:val="center"/>
          </w:tcPr>
          <w:p>
            <w:pPr>
              <w:jc w:val="right"/>
              <w:rPr>
                <w:b/>
                <w:bCs/>
                <w:kern w:val="0"/>
                <w:sz w:val="18"/>
                <w:szCs w:val="18"/>
              </w:rPr>
            </w:pPr>
            <w:r>
              <w:rPr>
                <w:b/>
                <w:bCs/>
                <w:sz w:val="18"/>
                <w:szCs w:val="18"/>
              </w:rPr>
              <w:t>82,415,262.91</w:t>
            </w:r>
          </w:p>
        </w:tc>
        <w:tc>
          <w:tcPr>
            <w:tcW w:w="1616" w:type="dxa"/>
            <w:shd w:val="clear" w:color="auto" w:fill="FFFFFF"/>
            <w:vAlign w:val="center"/>
          </w:tcPr>
          <w:p>
            <w:pPr>
              <w:jc w:val="right"/>
              <w:rPr>
                <w:kern w:val="0"/>
                <w:sz w:val="18"/>
                <w:szCs w:val="18"/>
              </w:rPr>
            </w:pPr>
            <w:r>
              <w:rPr>
                <w:sz w:val="18"/>
                <w:szCs w:val="18"/>
              </w:rPr>
              <w:t>69,740,639.54</w:t>
            </w:r>
          </w:p>
        </w:tc>
        <w:tc>
          <w:tcPr>
            <w:tcW w:w="1511" w:type="dxa"/>
            <w:vAlign w:val="center"/>
          </w:tcPr>
          <w:p>
            <w:pPr>
              <w:jc w:val="right"/>
              <w:rPr>
                <w:kern w:val="0"/>
                <w:sz w:val="18"/>
                <w:szCs w:val="18"/>
              </w:rPr>
            </w:pPr>
            <w:r>
              <w:rPr>
                <w:sz w:val="18"/>
                <w:szCs w:val="18"/>
              </w:rPr>
              <w:t>67,176,600.63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420" w:firstLineChars="20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加：營業外收入</w:t>
            </w:r>
          </w:p>
        </w:tc>
        <w:tc>
          <w:tcPr>
            <w:tcW w:w="1897" w:type="dxa"/>
            <w:shd w:val="clear" w:color="auto" w:fill="FFFFFF"/>
            <w:vAlign w:val="center"/>
          </w:tcPr>
          <w:p>
            <w:pPr>
              <w:jc w:val="right"/>
              <w:rPr>
                <w:b/>
                <w:bCs/>
                <w:kern w:val="0"/>
                <w:sz w:val="18"/>
                <w:szCs w:val="18"/>
              </w:rPr>
            </w:pPr>
            <w:r>
              <w:rPr>
                <w:b/>
                <w:bCs/>
                <w:sz w:val="18"/>
                <w:szCs w:val="18"/>
              </w:rPr>
              <w:t>882,211.16</w:t>
            </w:r>
          </w:p>
        </w:tc>
        <w:tc>
          <w:tcPr>
            <w:tcW w:w="2156" w:type="dxa"/>
            <w:shd w:val="clear" w:color="auto" w:fill="FFFFFF"/>
            <w:vAlign w:val="center"/>
          </w:tcPr>
          <w:p>
            <w:pPr>
              <w:jc w:val="right"/>
              <w:rPr>
                <w:b/>
                <w:bCs/>
                <w:kern w:val="0"/>
                <w:sz w:val="18"/>
                <w:szCs w:val="18"/>
              </w:rPr>
            </w:pPr>
            <w:r>
              <w:rPr>
                <w:b/>
                <w:bCs/>
                <w:sz w:val="18"/>
                <w:szCs w:val="18"/>
              </w:rPr>
              <w:t>685,257.18</w:t>
            </w:r>
          </w:p>
        </w:tc>
        <w:tc>
          <w:tcPr>
            <w:tcW w:w="1616" w:type="dxa"/>
            <w:shd w:val="clear" w:color="auto" w:fill="FFFFFF"/>
            <w:vAlign w:val="center"/>
          </w:tcPr>
          <w:p>
            <w:pPr>
              <w:jc w:val="right"/>
              <w:rPr>
                <w:kern w:val="0"/>
                <w:sz w:val="18"/>
                <w:szCs w:val="18"/>
              </w:rPr>
            </w:pPr>
            <w:r>
              <w:rPr>
                <w:sz w:val="18"/>
                <w:szCs w:val="18"/>
              </w:rPr>
              <w:t>924,598.17</w:t>
            </w:r>
          </w:p>
        </w:tc>
        <w:tc>
          <w:tcPr>
            <w:tcW w:w="1511" w:type="dxa"/>
            <w:shd w:val="clear" w:color="auto" w:fill="FFFFFF"/>
            <w:vAlign w:val="center"/>
          </w:tcPr>
          <w:p>
            <w:pPr>
              <w:jc w:val="right"/>
              <w:rPr>
                <w:kern w:val="0"/>
                <w:sz w:val="18"/>
                <w:szCs w:val="18"/>
              </w:rPr>
            </w:pPr>
            <w:r>
              <w:rPr>
                <w:sz w:val="18"/>
                <w:szCs w:val="18"/>
              </w:rPr>
              <w:t>858,438.03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420" w:firstLineChars="20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減：營業外支出</w:t>
            </w:r>
          </w:p>
        </w:tc>
        <w:tc>
          <w:tcPr>
            <w:tcW w:w="1897" w:type="dxa"/>
            <w:shd w:val="clear" w:color="auto" w:fill="FFFFFF"/>
            <w:vAlign w:val="center"/>
          </w:tcPr>
          <w:p>
            <w:pPr>
              <w:jc w:val="right"/>
              <w:rPr>
                <w:b/>
                <w:bCs/>
                <w:kern w:val="0"/>
                <w:sz w:val="18"/>
                <w:szCs w:val="18"/>
              </w:rPr>
            </w:pPr>
            <w:r>
              <w:rPr>
                <w:b/>
                <w:bCs/>
                <w:sz w:val="18"/>
                <w:szCs w:val="18"/>
              </w:rPr>
              <w:t>1,512,635.74</w:t>
            </w:r>
          </w:p>
        </w:tc>
        <w:tc>
          <w:tcPr>
            <w:tcW w:w="2156" w:type="dxa"/>
            <w:shd w:val="clear" w:color="auto" w:fill="FFFFFF"/>
            <w:vAlign w:val="center"/>
          </w:tcPr>
          <w:p>
            <w:pPr>
              <w:jc w:val="right"/>
              <w:rPr>
                <w:b/>
                <w:bCs/>
                <w:kern w:val="0"/>
                <w:sz w:val="18"/>
                <w:szCs w:val="18"/>
              </w:rPr>
            </w:pPr>
            <w:r>
              <w:rPr>
                <w:b/>
                <w:bCs/>
                <w:sz w:val="18"/>
                <w:szCs w:val="18"/>
              </w:rPr>
              <w:t>1,447,734.87</w:t>
            </w:r>
          </w:p>
        </w:tc>
        <w:tc>
          <w:tcPr>
            <w:tcW w:w="1616" w:type="dxa"/>
            <w:shd w:val="clear" w:color="auto" w:fill="FFFFFF"/>
            <w:vAlign w:val="center"/>
          </w:tcPr>
          <w:p>
            <w:pPr>
              <w:jc w:val="right"/>
              <w:rPr>
                <w:kern w:val="0"/>
                <w:sz w:val="18"/>
                <w:szCs w:val="18"/>
              </w:rPr>
            </w:pPr>
            <w:r>
              <w:rPr>
                <w:sz w:val="18"/>
                <w:szCs w:val="18"/>
              </w:rPr>
              <w:t>1,861,092.25</w:t>
            </w:r>
          </w:p>
        </w:tc>
        <w:tc>
          <w:tcPr>
            <w:tcW w:w="1511" w:type="dxa"/>
            <w:shd w:val="clear" w:color="auto" w:fill="FFFFFF"/>
            <w:vAlign w:val="center"/>
          </w:tcPr>
          <w:p>
            <w:pPr>
              <w:jc w:val="right"/>
              <w:rPr>
                <w:kern w:val="0"/>
                <w:sz w:val="18"/>
                <w:szCs w:val="18"/>
              </w:rPr>
            </w:pPr>
            <w:r>
              <w:rPr>
                <w:sz w:val="18"/>
                <w:szCs w:val="18"/>
              </w:rPr>
              <w:t>1,155,935.47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0" w:hRule="atLeast"/>
        </w:trPr>
        <w:tc>
          <w:tcPr>
            <w:tcW w:w="2802" w:type="dxa"/>
            <w:shd w:val="clear" w:color="auto" w:fill="auto"/>
            <w:vAlign w:val="top"/>
          </w:tcPr>
          <w:p>
            <w:pPr>
              <w:pStyle w:val="1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四、利潤總額</w:t>
            </w:r>
          </w:p>
        </w:tc>
        <w:tc>
          <w:tcPr>
            <w:tcW w:w="1897" w:type="dxa"/>
            <w:shd w:val="clear" w:color="auto" w:fill="FFFFFF"/>
            <w:vAlign w:val="center"/>
          </w:tcPr>
          <w:p>
            <w:pPr>
              <w:jc w:val="right"/>
              <w:rPr>
                <w:b/>
                <w:bCs/>
                <w:kern w:val="0"/>
                <w:sz w:val="18"/>
                <w:szCs w:val="18"/>
              </w:rPr>
            </w:pPr>
            <w:r>
              <w:rPr>
                <w:b/>
                <w:bCs/>
                <w:sz w:val="18"/>
                <w:szCs w:val="18"/>
              </w:rPr>
              <w:t>82,787,074.07</w:t>
            </w:r>
          </w:p>
        </w:tc>
        <w:tc>
          <w:tcPr>
            <w:tcW w:w="2156" w:type="dxa"/>
            <w:shd w:val="clear" w:color="auto" w:fill="FFFFFF"/>
            <w:vAlign w:val="center"/>
          </w:tcPr>
          <w:p>
            <w:pPr>
              <w:jc w:val="right"/>
              <w:rPr>
                <w:b/>
                <w:bCs/>
                <w:kern w:val="0"/>
                <w:sz w:val="18"/>
                <w:szCs w:val="18"/>
              </w:rPr>
            </w:pPr>
            <w:r>
              <w:rPr>
                <w:b/>
                <w:bCs/>
                <w:sz w:val="18"/>
                <w:szCs w:val="18"/>
              </w:rPr>
              <w:t>81,652,785.22</w:t>
            </w:r>
          </w:p>
        </w:tc>
        <w:tc>
          <w:tcPr>
            <w:tcW w:w="1616" w:type="dxa"/>
            <w:shd w:val="clear" w:color="auto" w:fill="FFFFFF"/>
            <w:vAlign w:val="center"/>
          </w:tcPr>
          <w:p>
            <w:pPr>
              <w:jc w:val="right"/>
              <w:rPr>
                <w:kern w:val="0"/>
                <w:sz w:val="18"/>
                <w:szCs w:val="18"/>
              </w:rPr>
            </w:pPr>
            <w:r>
              <w:rPr>
                <w:sz w:val="18"/>
                <w:szCs w:val="18"/>
              </w:rPr>
              <w:t>68,804,145.46</w:t>
            </w:r>
          </w:p>
        </w:tc>
        <w:tc>
          <w:tcPr>
            <w:tcW w:w="1511" w:type="dxa"/>
            <w:shd w:val="clear" w:color="auto" w:fill="FFFFFF"/>
            <w:vAlign w:val="center"/>
          </w:tcPr>
          <w:p>
            <w:pPr>
              <w:jc w:val="right"/>
              <w:rPr>
                <w:kern w:val="0"/>
                <w:sz w:val="18"/>
                <w:szCs w:val="18"/>
              </w:rPr>
            </w:pPr>
            <w:r>
              <w:rPr>
                <w:sz w:val="18"/>
                <w:szCs w:val="18"/>
              </w:rPr>
              <w:t>66,879,103.19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420" w:firstLineChars="20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減：所得稅費用</w:t>
            </w:r>
          </w:p>
        </w:tc>
        <w:tc>
          <w:tcPr>
            <w:tcW w:w="1897" w:type="dxa"/>
            <w:shd w:val="clear" w:color="auto" w:fill="FFFFFF"/>
            <w:vAlign w:val="center"/>
          </w:tcPr>
          <w:p>
            <w:pPr>
              <w:jc w:val="right"/>
              <w:rPr>
                <w:b/>
                <w:bCs/>
                <w:sz w:val="18"/>
                <w:szCs w:val="18"/>
              </w:rPr>
            </w:pPr>
            <w:r>
              <w:rPr>
                <w:b/>
                <w:bCs/>
                <w:sz w:val="18"/>
                <w:szCs w:val="18"/>
              </w:rPr>
              <w:t>12,939,245.75</w:t>
            </w:r>
          </w:p>
        </w:tc>
        <w:tc>
          <w:tcPr>
            <w:tcW w:w="2156" w:type="dxa"/>
            <w:shd w:val="clear" w:color="auto" w:fill="FFFFFF"/>
            <w:vAlign w:val="center"/>
          </w:tcPr>
          <w:p>
            <w:pPr>
              <w:jc w:val="right"/>
              <w:rPr>
                <w:b/>
                <w:bCs/>
                <w:sz w:val="18"/>
                <w:szCs w:val="18"/>
              </w:rPr>
            </w:pPr>
            <w:r>
              <w:rPr>
                <w:b/>
                <w:bCs/>
                <w:sz w:val="18"/>
                <w:szCs w:val="18"/>
              </w:rPr>
              <w:t>12,247,917.78</w:t>
            </w:r>
          </w:p>
        </w:tc>
        <w:tc>
          <w:tcPr>
            <w:tcW w:w="1616" w:type="dxa"/>
            <w:shd w:val="clear" w:color="auto" w:fill="FFFFFF"/>
            <w:vAlign w:val="center"/>
          </w:tcPr>
          <w:p>
            <w:pPr>
              <w:jc w:val="right"/>
              <w:rPr>
                <w:kern w:val="0"/>
                <w:sz w:val="18"/>
                <w:szCs w:val="18"/>
              </w:rPr>
            </w:pPr>
            <w:r>
              <w:rPr>
                <w:sz w:val="18"/>
                <w:szCs w:val="18"/>
              </w:rPr>
              <w:t>14,122,917.14</w:t>
            </w:r>
          </w:p>
        </w:tc>
        <w:tc>
          <w:tcPr>
            <w:tcW w:w="1511" w:type="dxa"/>
            <w:shd w:val="clear" w:color="auto" w:fill="FFFFFF"/>
            <w:vAlign w:val="center"/>
          </w:tcPr>
          <w:p>
            <w:pPr>
              <w:jc w:val="right"/>
              <w:rPr>
                <w:kern w:val="0"/>
                <w:sz w:val="18"/>
                <w:szCs w:val="18"/>
              </w:rPr>
            </w:pPr>
            <w:r>
              <w:rPr>
                <w:sz w:val="18"/>
                <w:szCs w:val="18"/>
              </w:rPr>
              <w:t>9,492,555.18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五、淨利潤</w:t>
            </w:r>
          </w:p>
        </w:tc>
        <w:tc>
          <w:tcPr>
            <w:tcW w:w="1897" w:type="dxa"/>
            <w:shd w:val="clear" w:color="auto" w:fill="FFFFFF"/>
            <w:vAlign w:val="center"/>
          </w:tcPr>
          <w:p>
            <w:pPr>
              <w:jc w:val="right"/>
              <w:rPr>
                <w:b/>
                <w:bCs/>
                <w:sz w:val="18"/>
                <w:szCs w:val="18"/>
              </w:rPr>
            </w:pPr>
            <w:r>
              <w:rPr>
                <w:b/>
                <w:bCs/>
                <w:sz w:val="18"/>
                <w:szCs w:val="18"/>
              </w:rPr>
              <w:t>69,847,828.32</w:t>
            </w:r>
          </w:p>
        </w:tc>
        <w:tc>
          <w:tcPr>
            <w:tcW w:w="2156" w:type="dxa"/>
            <w:shd w:val="clear" w:color="auto" w:fill="FFFFFF"/>
            <w:vAlign w:val="center"/>
          </w:tcPr>
          <w:p>
            <w:pPr>
              <w:jc w:val="right"/>
              <w:rPr>
                <w:b/>
                <w:bCs/>
                <w:sz w:val="18"/>
                <w:szCs w:val="18"/>
              </w:rPr>
            </w:pPr>
            <w:r>
              <w:rPr>
                <w:b/>
                <w:bCs/>
                <w:sz w:val="18"/>
                <w:szCs w:val="18"/>
              </w:rPr>
              <w:t>69,404,867.44</w:t>
            </w:r>
          </w:p>
        </w:tc>
        <w:tc>
          <w:tcPr>
            <w:tcW w:w="1616" w:type="dxa"/>
            <w:vAlign w:val="center"/>
          </w:tcPr>
          <w:p>
            <w:pPr>
              <w:jc w:val="right"/>
              <w:rPr>
                <w:kern w:val="0"/>
                <w:sz w:val="18"/>
                <w:szCs w:val="18"/>
              </w:rPr>
            </w:pPr>
            <w:r>
              <w:rPr>
                <w:sz w:val="18"/>
                <w:szCs w:val="18"/>
              </w:rPr>
              <w:t>54,681,228.32</w:t>
            </w:r>
          </w:p>
        </w:tc>
        <w:tc>
          <w:tcPr>
            <w:tcW w:w="1511" w:type="dxa"/>
            <w:vAlign w:val="center"/>
          </w:tcPr>
          <w:p>
            <w:pPr>
              <w:jc w:val="right"/>
              <w:rPr>
                <w:kern w:val="0"/>
                <w:sz w:val="18"/>
                <w:szCs w:val="18"/>
              </w:rPr>
            </w:pPr>
            <w:r>
              <w:rPr>
                <w:sz w:val="18"/>
                <w:szCs w:val="18"/>
              </w:rPr>
              <w:t>57,386,548.01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jc w:val="both"/>
              <w:rPr>
                <w:rFonts w:ascii="宋体" w:hAnsi="宋体" w:eastAsia="PMingLiU" w:cs="PMingLiU"/>
                <w:color w:val="auto"/>
                <w:sz w:val="21"/>
                <w:szCs w:val="21"/>
                <w:lang w:eastAsia="zh-TW"/>
              </w:rPr>
            </w:pPr>
            <w:r>
              <w:rPr>
                <w:rFonts w:hint="eastAsia" w:eastAsia="PMingLiU"/>
                <w:sz w:val="18"/>
                <w:lang w:eastAsia="zh-TW"/>
              </w:rPr>
              <w:t>（一）持續經營淨利潤</w:t>
            </w:r>
          </w:p>
        </w:tc>
        <w:tc>
          <w:tcPr>
            <w:tcW w:w="1897" w:type="dxa"/>
            <w:shd w:val="clear" w:color="auto" w:fill="FFFFFF"/>
            <w:vAlign w:val="center"/>
          </w:tcPr>
          <w:p>
            <w:pPr>
              <w:jc w:val="right"/>
              <w:rPr>
                <w:b/>
                <w:bCs/>
                <w:sz w:val="18"/>
                <w:szCs w:val="18"/>
              </w:rPr>
            </w:pPr>
            <w:r>
              <w:rPr>
                <w:b/>
                <w:bCs/>
                <w:sz w:val="18"/>
                <w:szCs w:val="18"/>
              </w:rPr>
              <w:t>69,847,828.32</w:t>
            </w:r>
          </w:p>
        </w:tc>
        <w:tc>
          <w:tcPr>
            <w:tcW w:w="2156" w:type="dxa"/>
            <w:shd w:val="clear" w:color="auto" w:fill="FFFFFF"/>
            <w:vAlign w:val="center"/>
          </w:tcPr>
          <w:p>
            <w:pPr>
              <w:jc w:val="right"/>
              <w:rPr>
                <w:b/>
                <w:bCs/>
                <w:sz w:val="18"/>
                <w:szCs w:val="18"/>
              </w:rPr>
            </w:pPr>
            <w:r>
              <w:rPr>
                <w:b/>
                <w:bCs/>
                <w:sz w:val="18"/>
                <w:szCs w:val="18"/>
              </w:rPr>
              <w:t>69,404,867.44</w:t>
            </w:r>
          </w:p>
        </w:tc>
        <w:tc>
          <w:tcPr>
            <w:tcW w:w="1616" w:type="dxa"/>
            <w:vAlign w:val="center"/>
          </w:tcPr>
          <w:p>
            <w:pPr>
              <w:jc w:val="right"/>
              <w:rPr>
                <w:sz w:val="18"/>
                <w:szCs w:val="18"/>
              </w:rPr>
            </w:pPr>
            <w:r>
              <w:rPr>
                <w:sz w:val="18"/>
                <w:szCs w:val="18"/>
              </w:rPr>
              <w:t>54,681,228.32</w:t>
            </w:r>
          </w:p>
        </w:tc>
        <w:tc>
          <w:tcPr>
            <w:tcW w:w="1511" w:type="dxa"/>
            <w:vAlign w:val="center"/>
          </w:tcPr>
          <w:p>
            <w:pPr>
              <w:jc w:val="right"/>
              <w:rPr>
                <w:kern w:val="0"/>
                <w:sz w:val="18"/>
                <w:szCs w:val="18"/>
              </w:rPr>
            </w:pPr>
            <w:r>
              <w:rPr>
                <w:sz w:val="18"/>
                <w:szCs w:val="18"/>
              </w:rPr>
              <w:t>57,386,548.01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jc w:val="both"/>
              <w:rPr>
                <w:rFonts w:ascii="宋体" w:hAnsi="宋体" w:eastAsia="PMingLiU" w:cs="PMingLiU"/>
                <w:color w:val="auto"/>
                <w:sz w:val="21"/>
                <w:szCs w:val="21"/>
                <w:lang w:eastAsia="zh-TW"/>
              </w:rPr>
            </w:pPr>
            <w:r>
              <w:rPr>
                <w:rFonts w:hint="eastAsia" w:eastAsia="PMingLiU"/>
                <w:sz w:val="18"/>
                <w:lang w:eastAsia="zh-TW"/>
              </w:rPr>
              <w:t>（二）終止經營淨利潤</w:t>
            </w:r>
          </w:p>
        </w:tc>
        <w:tc>
          <w:tcPr>
            <w:tcW w:w="1897" w:type="dxa"/>
            <w:shd w:val="clear" w:color="auto" w:fill="FFFFFF"/>
            <w:vAlign w:val="center"/>
          </w:tcPr>
          <w:p>
            <w:pPr>
              <w:jc w:val="right"/>
              <w:rPr>
                <w:b/>
                <w:bCs/>
                <w:sz w:val="18"/>
                <w:szCs w:val="18"/>
              </w:rPr>
            </w:pPr>
            <w:r>
              <w:rPr>
                <w:b/>
                <w:bCs/>
                <w:sz w:val="18"/>
                <w:szCs w:val="18"/>
              </w:rPr>
              <w:t>-</w:t>
            </w:r>
          </w:p>
        </w:tc>
        <w:tc>
          <w:tcPr>
            <w:tcW w:w="2156" w:type="dxa"/>
            <w:shd w:val="clear" w:color="auto" w:fill="FFFFFF"/>
            <w:vAlign w:val="center"/>
          </w:tcPr>
          <w:p>
            <w:pPr>
              <w:jc w:val="right"/>
              <w:rPr>
                <w:b/>
                <w:bCs/>
                <w:sz w:val="18"/>
                <w:szCs w:val="18"/>
              </w:rPr>
            </w:pPr>
            <w:r>
              <w:rPr>
                <w:b/>
                <w:bCs/>
                <w:sz w:val="18"/>
                <w:szCs w:val="18"/>
              </w:rPr>
              <w:t>-</w:t>
            </w:r>
          </w:p>
        </w:tc>
        <w:tc>
          <w:tcPr>
            <w:tcW w:w="1616" w:type="dxa"/>
            <w:vAlign w:val="center"/>
          </w:tcPr>
          <w:p>
            <w:pPr>
              <w:jc w:val="right"/>
              <w:rPr>
                <w:sz w:val="18"/>
                <w:szCs w:val="18"/>
              </w:rPr>
            </w:pPr>
            <w:r>
              <w:rPr>
                <w:sz w:val="18"/>
                <w:szCs w:val="18"/>
              </w:rPr>
              <w:t>-</w:t>
            </w:r>
          </w:p>
        </w:tc>
        <w:tc>
          <w:tcPr>
            <w:tcW w:w="1511" w:type="dxa"/>
            <w:vAlign w:val="center"/>
          </w:tcPr>
          <w:p>
            <w:pPr>
              <w:jc w:val="right"/>
              <w:rPr>
                <w:kern w:val="0"/>
                <w:sz w:val="18"/>
                <w:szCs w:val="18"/>
              </w:rPr>
            </w:pPr>
            <w:r>
              <w:rPr>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left="439" w:leftChars="209"/>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歸屬於母公司所有者的淨利潤</w:t>
            </w:r>
          </w:p>
        </w:tc>
        <w:tc>
          <w:tcPr>
            <w:tcW w:w="1897" w:type="dxa"/>
            <w:shd w:val="clear" w:color="auto" w:fill="FFFFFF"/>
            <w:vAlign w:val="center"/>
          </w:tcPr>
          <w:p>
            <w:pPr>
              <w:jc w:val="right"/>
              <w:rPr>
                <w:b/>
                <w:bCs/>
                <w:kern w:val="0"/>
                <w:sz w:val="18"/>
                <w:szCs w:val="18"/>
              </w:rPr>
            </w:pPr>
            <w:r>
              <w:rPr>
                <w:b/>
                <w:bCs/>
                <w:sz w:val="18"/>
                <w:szCs w:val="18"/>
              </w:rPr>
              <w:t>67,593,570.18</w:t>
            </w:r>
          </w:p>
        </w:tc>
        <w:tc>
          <w:tcPr>
            <w:tcW w:w="2156" w:type="dxa"/>
            <w:shd w:val="clear" w:color="auto" w:fill="FFFFFF"/>
            <w:vAlign w:val="center"/>
          </w:tcPr>
          <w:p>
            <w:pPr>
              <w:jc w:val="right"/>
              <w:rPr>
                <w:b/>
                <w:bCs/>
                <w:sz w:val="18"/>
                <w:szCs w:val="18"/>
              </w:rPr>
            </w:pPr>
            <w:r>
              <w:rPr>
                <w:b/>
                <w:bCs/>
                <w:sz w:val="18"/>
                <w:szCs w:val="18"/>
              </w:rPr>
              <w:t>-</w:t>
            </w:r>
          </w:p>
        </w:tc>
        <w:tc>
          <w:tcPr>
            <w:tcW w:w="1616" w:type="dxa"/>
            <w:shd w:val="clear" w:color="auto" w:fill="FFFFFF"/>
            <w:vAlign w:val="center"/>
          </w:tcPr>
          <w:p>
            <w:pPr>
              <w:jc w:val="right"/>
              <w:rPr>
                <w:kern w:val="0"/>
                <w:sz w:val="18"/>
                <w:szCs w:val="18"/>
              </w:rPr>
            </w:pPr>
            <w:r>
              <w:rPr>
                <w:sz w:val="18"/>
                <w:szCs w:val="18"/>
              </w:rPr>
              <w:t>51,550,425.89</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420" w:firstLineChars="200"/>
              <w:jc w:val="both"/>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少數股東損益</w:t>
            </w:r>
          </w:p>
        </w:tc>
        <w:tc>
          <w:tcPr>
            <w:tcW w:w="1897" w:type="dxa"/>
            <w:shd w:val="clear" w:color="auto" w:fill="FFFFFF"/>
            <w:vAlign w:val="center"/>
          </w:tcPr>
          <w:p>
            <w:pPr>
              <w:jc w:val="right"/>
              <w:rPr>
                <w:b/>
                <w:bCs/>
                <w:sz w:val="18"/>
                <w:szCs w:val="18"/>
              </w:rPr>
            </w:pPr>
            <w:r>
              <w:rPr>
                <w:b/>
                <w:bCs/>
                <w:sz w:val="18"/>
                <w:szCs w:val="18"/>
              </w:rPr>
              <w:t>2,254,258.14</w:t>
            </w:r>
          </w:p>
        </w:tc>
        <w:tc>
          <w:tcPr>
            <w:tcW w:w="2156" w:type="dxa"/>
            <w:shd w:val="clear" w:color="auto" w:fill="FFFFFF"/>
            <w:vAlign w:val="center"/>
          </w:tcPr>
          <w:p>
            <w:pPr>
              <w:jc w:val="right"/>
              <w:rPr>
                <w:b/>
                <w:bCs/>
                <w:sz w:val="18"/>
                <w:szCs w:val="18"/>
              </w:rPr>
            </w:pPr>
            <w:r>
              <w:rPr>
                <w:b/>
                <w:bCs/>
                <w:sz w:val="18"/>
                <w:szCs w:val="18"/>
              </w:rPr>
              <w:t>-</w:t>
            </w:r>
          </w:p>
        </w:tc>
        <w:tc>
          <w:tcPr>
            <w:tcW w:w="1616" w:type="dxa"/>
            <w:shd w:val="clear" w:color="auto" w:fill="FFFFFF"/>
            <w:vAlign w:val="center"/>
          </w:tcPr>
          <w:p>
            <w:pPr>
              <w:jc w:val="right"/>
              <w:rPr>
                <w:kern w:val="0"/>
                <w:sz w:val="18"/>
                <w:szCs w:val="18"/>
              </w:rPr>
            </w:pPr>
            <w:r>
              <w:rPr>
                <w:sz w:val="18"/>
                <w:szCs w:val="18"/>
              </w:rPr>
              <w:t>3,130,802.43</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jc w:val="both"/>
              <w:rPr>
                <w:rFonts w:ascii="宋体" w:hAnsi="宋体" w:eastAsia="PMingLiU" w:cs="PMingLiU"/>
                <w:color w:val="auto"/>
                <w:sz w:val="21"/>
                <w:szCs w:val="21"/>
                <w:lang w:eastAsia="zh-TW"/>
              </w:rPr>
            </w:pPr>
            <w:r>
              <w:rPr>
                <w:rFonts w:hint="eastAsia" w:ascii="宋体" w:hAnsi="宋体" w:eastAsia="PMingLiU" w:cs="PMingLiU"/>
                <w:color w:val="auto"/>
                <w:sz w:val="21"/>
                <w:szCs w:val="21"/>
                <w:lang w:eastAsia="zh-TW"/>
              </w:rPr>
              <w:t>六、其他綜合收益的稅後淨額</w:t>
            </w:r>
          </w:p>
        </w:tc>
        <w:tc>
          <w:tcPr>
            <w:tcW w:w="1897" w:type="dxa"/>
            <w:shd w:val="clear" w:color="auto" w:fill="FFFFFF"/>
            <w:vAlign w:val="center"/>
          </w:tcPr>
          <w:p>
            <w:pPr>
              <w:jc w:val="right"/>
              <w:rPr>
                <w:b/>
                <w:bCs/>
                <w:sz w:val="18"/>
                <w:szCs w:val="18"/>
              </w:rPr>
            </w:pPr>
            <w:r>
              <w:rPr>
                <w:rFonts w:hint="eastAsia"/>
                <w:b/>
                <w:bCs/>
                <w:sz w:val="18"/>
                <w:szCs w:val="18"/>
              </w:rPr>
              <w:t>（</w:t>
            </w:r>
            <w:r>
              <w:rPr>
                <w:b/>
                <w:bCs/>
                <w:sz w:val="18"/>
                <w:szCs w:val="18"/>
              </w:rPr>
              <w:t>33,207,681.02</w:t>
            </w:r>
            <w:r>
              <w:rPr>
                <w:rFonts w:hint="eastAsia"/>
                <w:b/>
                <w:bCs/>
                <w:sz w:val="18"/>
                <w:szCs w:val="18"/>
              </w:rPr>
              <w:t>）</w:t>
            </w:r>
          </w:p>
        </w:tc>
        <w:tc>
          <w:tcPr>
            <w:tcW w:w="2156" w:type="dxa"/>
            <w:shd w:val="clear" w:color="auto" w:fill="FFFFFF"/>
            <w:vAlign w:val="center"/>
          </w:tcPr>
          <w:p>
            <w:pPr>
              <w:jc w:val="right"/>
              <w:rPr>
                <w:rFonts w:eastAsia="PMingLiU"/>
                <w:b/>
                <w:bCs/>
                <w:sz w:val="18"/>
                <w:szCs w:val="18"/>
                <w:lang w:eastAsia="zh-TW"/>
              </w:rPr>
            </w:pPr>
            <w:r>
              <w:rPr>
                <w:rFonts w:hint="eastAsia"/>
                <w:b/>
                <w:bCs/>
                <w:sz w:val="18"/>
                <w:szCs w:val="18"/>
              </w:rPr>
              <w:t>（</w:t>
            </w:r>
            <w:r>
              <w:rPr>
                <w:b/>
                <w:bCs/>
                <w:sz w:val="18"/>
                <w:szCs w:val="18"/>
              </w:rPr>
              <w:t>32,042,089.60</w:t>
            </w:r>
            <w:r>
              <w:rPr>
                <w:rFonts w:hint="eastAsia"/>
                <w:b/>
                <w:bCs/>
                <w:sz w:val="18"/>
                <w:szCs w:val="18"/>
              </w:rPr>
              <w:t>）</w:t>
            </w:r>
          </w:p>
        </w:tc>
        <w:tc>
          <w:tcPr>
            <w:tcW w:w="1616" w:type="dxa"/>
            <w:shd w:val="clear" w:color="auto" w:fill="FFFFFF"/>
            <w:vAlign w:val="center"/>
          </w:tcPr>
          <w:p>
            <w:pPr>
              <w:jc w:val="right"/>
              <w:rPr>
                <w:kern w:val="0"/>
                <w:sz w:val="18"/>
                <w:szCs w:val="18"/>
              </w:rPr>
            </w:pPr>
            <w:r>
              <w:rPr>
                <w:sz w:val="18"/>
                <w:szCs w:val="18"/>
              </w:rPr>
              <w:t>2,615,625.45</w:t>
            </w:r>
          </w:p>
        </w:tc>
        <w:tc>
          <w:tcPr>
            <w:tcW w:w="1511" w:type="dxa"/>
            <w:vAlign w:val="center"/>
          </w:tcPr>
          <w:p>
            <w:pPr>
              <w:jc w:val="right"/>
              <w:rPr>
                <w:bCs/>
                <w:sz w:val="18"/>
                <w:szCs w:val="18"/>
              </w:rPr>
            </w:pPr>
            <w:r>
              <w:rPr>
                <w:sz w:val="18"/>
                <w:szCs w:val="18"/>
              </w:rPr>
              <w:t>1,726,207.20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pStyle w:val="10"/>
              <w:ind w:firstLine="420" w:firstLineChars="200"/>
              <w:jc w:val="both"/>
              <w:rPr>
                <w:rFonts w:ascii="宋体" w:hAnsi="宋体" w:eastAsia="PMingLiU" w:cs="PMingLiU"/>
                <w:color w:val="auto"/>
                <w:sz w:val="21"/>
                <w:szCs w:val="21"/>
                <w:lang w:eastAsia="zh-TW"/>
              </w:rPr>
            </w:pPr>
            <w:r>
              <w:rPr>
                <w:rFonts w:hint="eastAsia" w:ascii="宋体" w:hAnsi="宋体" w:eastAsia="PMingLiU" w:cs="PMingLiU"/>
                <w:color w:val="auto"/>
                <w:sz w:val="21"/>
                <w:szCs w:val="21"/>
                <w:lang w:eastAsia="zh-TW"/>
              </w:rPr>
              <w:t>歸屬母公司所有者的其他綜合收益的稅後淨額</w:t>
            </w:r>
          </w:p>
        </w:tc>
        <w:tc>
          <w:tcPr>
            <w:tcW w:w="1897" w:type="dxa"/>
            <w:shd w:val="clear" w:color="auto" w:fill="FFFFFF"/>
            <w:vAlign w:val="center"/>
          </w:tcPr>
          <w:p>
            <w:pPr>
              <w:jc w:val="right"/>
              <w:rPr>
                <w:b/>
                <w:bCs/>
                <w:sz w:val="18"/>
                <w:szCs w:val="18"/>
              </w:rPr>
            </w:pPr>
            <w:r>
              <w:rPr>
                <w:rFonts w:hint="eastAsia"/>
                <w:b/>
                <w:bCs/>
                <w:sz w:val="18"/>
                <w:szCs w:val="18"/>
              </w:rPr>
              <w:t>（</w:t>
            </w:r>
            <w:r>
              <w:rPr>
                <w:b/>
                <w:bCs/>
                <w:sz w:val="18"/>
                <w:szCs w:val="18"/>
              </w:rPr>
              <w:t>32,992,819.09</w:t>
            </w:r>
            <w:r>
              <w:rPr>
                <w:rFonts w:hint="eastAsia"/>
                <w:b/>
                <w:bCs/>
                <w:sz w:val="18"/>
                <w:szCs w:val="18"/>
              </w:rPr>
              <w:t>）</w:t>
            </w:r>
          </w:p>
        </w:tc>
        <w:tc>
          <w:tcPr>
            <w:tcW w:w="2156" w:type="dxa"/>
            <w:shd w:val="clear" w:color="auto" w:fill="FFFFFF"/>
            <w:vAlign w:val="center"/>
          </w:tcPr>
          <w:p>
            <w:pPr>
              <w:jc w:val="right"/>
              <w:rPr>
                <w:b/>
                <w:bCs/>
                <w:sz w:val="18"/>
                <w:szCs w:val="18"/>
              </w:rPr>
            </w:pPr>
            <w:r>
              <w:rPr>
                <w:b/>
                <w:bCs/>
                <w:sz w:val="18"/>
                <w:szCs w:val="18"/>
              </w:rPr>
              <w:t>-</w:t>
            </w:r>
          </w:p>
        </w:tc>
        <w:tc>
          <w:tcPr>
            <w:tcW w:w="1616" w:type="dxa"/>
            <w:shd w:val="clear" w:color="auto" w:fill="FFFFFF"/>
            <w:vAlign w:val="center"/>
          </w:tcPr>
          <w:p>
            <w:pPr>
              <w:jc w:val="right"/>
              <w:rPr>
                <w:sz w:val="18"/>
                <w:szCs w:val="18"/>
              </w:rPr>
            </w:pPr>
            <w:r>
              <w:rPr>
                <w:sz w:val="18"/>
                <w:szCs w:val="18"/>
              </w:rPr>
              <w:t>2,645,682.52</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（一）以後不能重分類進損益的其他綜合收益</w:t>
            </w:r>
          </w:p>
        </w:tc>
        <w:tc>
          <w:tcPr>
            <w:tcW w:w="1897" w:type="dxa"/>
            <w:vAlign w:val="center"/>
          </w:tcPr>
          <w:p>
            <w:pPr>
              <w:ind w:left="690" w:leftChars="200" w:hanging="270" w:hangingChars="150"/>
              <w:jc w:val="right"/>
              <w:rPr>
                <w:b/>
                <w:bCs/>
                <w:sz w:val="18"/>
                <w:szCs w:val="18"/>
              </w:rPr>
            </w:pPr>
            <w:r>
              <w:rPr>
                <w:b/>
                <w:bCs/>
                <w:sz w:val="18"/>
                <w:szCs w:val="18"/>
              </w:rPr>
              <w:t>-</w:t>
            </w:r>
          </w:p>
        </w:tc>
        <w:tc>
          <w:tcPr>
            <w:tcW w:w="2156" w:type="dxa"/>
            <w:vAlign w:val="center"/>
          </w:tcPr>
          <w:p>
            <w:pPr>
              <w:pStyle w:val="10"/>
              <w:spacing w:beforeLines="20" w:afterLines="20"/>
              <w:jc w:val="right"/>
              <w:rPr>
                <w:rFonts w:ascii="Times New Roman" w:eastAsia="宋体" w:cs="Times New Roman"/>
                <w:b/>
                <w:bCs/>
                <w:color w:val="auto"/>
                <w:sz w:val="18"/>
                <w:szCs w:val="18"/>
              </w:rPr>
            </w:pPr>
            <w:r>
              <w:rPr>
                <w:rFonts w:ascii="Times New Roman" w:eastAsia="宋体" w:cs="Times New Roman"/>
                <w:b/>
                <w:bCs/>
                <w:color w:val="auto"/>
                <w:sz w:val="18"/>
                <w:szCs w:val="18"/>
              </w:rPr>
              <w:t>-</w:t>
            </w:r>
          </w:p>
        </w:tc>
        <w:tc>
          <w:tcPr>
            <w:tcW w:w="1616" w:type="dxa"/>
            <w:vAlign w:val="center"/>
          </w:tcPr>
          <w:p>
            <w:pPr>
              <w:jc w:val="right"/>
              <w:rPr>
                <w:sz w:val="18"/>
                <w:szCs w:val="18"/>
              </w:rPr>
            </w:pPr>
            <w:r>
              <w:rPr>
                <w:sz w:val="18"/>
                <w:szCs w:val="18"/>
              </w:rPr>
              <w:t>-</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w:t>
            </w:r>
            <w:r>
              <w:rPr>
                <w:rFonts w:ascii="宋体" w:hAnsi="宋体" w:eastAsia="PMingLiU" w:cs="PMingLiU"/>
                <w:kern w:val="0"/>
                <w:lang w:eastAsia="zh-TW"/>
              </w:rPr>
              <w:t>1.</w:t>
            </w:r>
            <w:r>
              <w:rPr>
                <w:rFonts w:hint="eastAsia" w:ascii="宋体" w:hAnsi="宋体" w:eastAsia="PMingLiU" w:cs="PMingLiU"/>
                <w:kern w:val="0"/>
                <w:lang w:eastAsia="zh-TW"/>
              </w:rPr>
              <w:t>重新計量設定受益計劃淨負債或淨資產的變動</w:t>
            </w:r>
          </w:p>
        </w:tc>
        <w:tc>
          <w:tcPr>
            <w:tcW w:w="1897" w:type="dxa"/>
            <w:vAlign w:val="center"/>
          </w:tcPr>
          <w:p>
            <w:pPr>
              <w:jc w:val="right"/>
              <w:rPr>
                <w:b/>
                <w:bCs/>
                <w:kern w:val="0"/>
                <w:sz w:val="18"/>
                <w:szCs w:val="18"/>
              </w:rPr>
            </w:pPr>
            <w:r>
              <w:rPr>
                <w:b/>
                <w:bCs/>
                <w:kern w:val="0"/>
                <w:sz w:val="18"/>
                <w:szCs w:val="18"/>
              </w:rPr>
              <w:t>-</w:t>
            </w:r>
          </w:p>
        </w:tc>
        <w:tc>
          <w:tcPr>
            <w:tcW w:w="2156" w:type="dxa"/>
            <w:vAlign w:val="center"/>
          </w:tcPr>
          <w:p>
            <w:pPr>
              <w:pStyle w:val="10"/>
              <w:spacing w:beforeLines="20" w:afterLines="20"/>
              <w:jc w:val="right"/>
              <w:rPr>
                <w:rFonts w:ascii="Times New Roman" w:eastAsia="宋体" w:cs="Times New Roman"/>
                <w:b/>
                <w:bCs/>
                <w:color w:val="auto"/>
                <w:sz w:val="18"/>
                <w:szCs w:val="18"/>
              </w:rPr>
            </w:pPr>
            <w:r>
              <w:rPr>
                <w:rFonts w:ascii="Times New Roman" w:eastAsia="宋体" w:cs="Times New Roman"/>
                <w:b/>
                <w:bCs/>
                <w:color w:val="auto"/>
                <w:sz w:val="18"/>
                <w:szCs w:val="18"/>
              </w:rPr>
              <w:t>-</w:t>
            </w:r>
          </w:p>
        </w:tc>
        <w:tc>
          <w:tcPr>
            <w:tcW w:w="1616" w:type="dxa"/>
            <w:vAlign w:val="center"/>
          </w:tcPr>
          <w:p>
            <w:pPr>
              <w:jc w:val="right"/>
              <w:rPr>
                <w:sz w:val="18"/>
                <w:szCs w:val="18"/>
              </w:rPr>
            </w:pPr>
            <w:r>
              <w:rPr>
                <w:sz w:val="18"/>
                <w:szCs w:val="18"/>
              </w:rPr>
              <w:t>-</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w:t>
            </w:r>
            <w:r>
              <w:rPr>
                <w:rFonts w:ascii="宋体" w:hAnsi="宋体" w:eastAsia="PMingLiU" w:cs="PMingLiU"/>
                <w:kern w:val="0"/>
                <w:lang w:eastAsia="zh-TW"/>
              </w:rPr>
              <w:t>2.</w:t>
            </w:r>
            <w:r>
              <w:rPr>
                <w:rFonts w:hint="eastAsia" w:ascii="宋体" w:hAnsi="宋体" w:eastAsia="PMingLiU" w:cs="PMingLiU"/>
                <w:kern w:val="0"/>
                <w:lang w:eastAsia="zh-TW"/>
              </w:rPr>
              <w:t>權益法下在被投資單位不能重分類進損益的其他綜合收益中享有的份額</w:t>
            </w:r>
          </w:p>
        </w:tc>
        <w:tc>
          <w:tcPr>
            <w:tcW w:w="1897" w:type="dxa"/>
            <w:vAlign w:val="center"/>
          </w:tcPr>
          <w:p>
            <w:pPr>
              <w:jc w:val="right"/>
              <w:rPr>
                <w:b/>
                <w:bCs/>
                <w:kern w:val="0"/>
                <w:sz w:val="18"/>
                <w:szCs w:val="18"/>
              </w:rPr>
            </w:pPr>
            <w:r>
              <w:rPr>
                <w:b/>
                <w:bCs/>
                <w:kern w:val="0"/>
                <w:sz w:val="18"/>
                <w:szCs w:val="18"/>
              </w:rPr>
              <w:t>-</w:t>
            </w:r>
          </w:p>
        </w:tc>
        <w:tc>
          <w:tcPr>
            <w:tcW w:w="2156" w:type="dxa"/>
            <w:vAlign w:val="center"/>
          </w:tcPr>
          <w:p>
            <w:pPr>
              <w:pStyle w:val="10"/>
              <w:spacing w:beforeLines="20" w:afterLines="20"/>
              <w:jc w:val="right"/>
              <w:rPr>
                <w:rFonts w:ascii="Times New Roman" w:eastAsia="宋体" w:cs="Times New Roman"/>
                <w:b/>
                <w:bCs/>
                <w:color w:val="auto"/>
                <w:sz w:val="18"/>
                <w:szCs w:val="18"/>
              </w:rPr>
            </w:pPr>
            <w:r>
              <w:rPr>
                <w:rFonts w:ascii="Times New Roman" w:eastAsia="宋体" w:cs="Times New Roman"/>
                <w:b/>
                <w:bCs/>
                <w:color w:val="auto"/>
                <w:sz w:val="18"/>
                <w:szCs w:val="18"/>
              </w:rPr>
              <w:t>-</w:t>
            </w:r>
          </w:p>
        </w:tc>
        <w:tc>
          <w:tcPr>
            <w:tcW w:w="1616" w:type="dxa"/>
            <w:vAlign w:val="center"/>
          </w:tcPr>
          <w:p>
            <w:pPr>
              <w:jc w:val="right"/>
              <w:rPr>
                <w:sz w:val="18"/>
                <w:szCs w:val="18"/>
              </w:rPr>
            </w:pPr>
            <w:r>
              <w:rPr>
                <w:sz w:val="18"/>
                <w:szCs w:val="18"/>
              </w:rPr>
              <w:t>-</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（二）以後將重分類進損益的其他綜合收益</w:t>
            </w:r>
          </w:p>
        </w:tc>
        <w:tc>
          <w:tcPr>
            <w:tcW w:w="1897" w:type="dxa"/>
            <w:shd w:val="clear" w:color="auto" w:fill="FFFFFF"/>
            <w:vAlign w:val="center"/>
          </w:tcPr>
          <w:p>
            <w:pPr>
              <w:jc w:val="right"/>
              <w:rPr>
                <w:rFonts w:eastAsia="PMingLiU"/>
                <w:b/>
                <w:bCs/>
                <w:kern w:val="0"/>
                <w:sz w:val="18"/>
                <w:szCs w:val="18"/>
                <w:lang w:eastAsia="zh-TW"/>
              </w:rPr>
            </w:pPr>
            <w:r>
              <w:rPr>
                <w:rFonts w:hint="eastAsia"/>
                <w:b/>
                <w:bCs/>
                <w:sz w:val="18"/>
                <w:szCs w:val="18"/>
              </w:rPr>
              <w:t>（</w:t>
            </w:r>
            <w:r>
              <w:rPr>
                <w:b/>
                <w:bCs/>
                <w:sz w:val="18"/>
                <w:szCs w:val="18"/>
              </w:rPr>
              <w:t>32,992,819.09</w:t>
            </w:r>
            <w:r>
              <w:rPr>
                <w:rFonts w:hint="eastAsia"/>
                <w:b/>
                <w:bCs/>
                <w:sz w:val="18"/>
                <w:szCs w:val="18"/>
              </w:rPr>
              <w:t>）</w:t>
            </w:r>
          </w:p>
        </w:tc>
        <w:tc>
          <w:tcPr>
            <w:tcW w:w="2156" w:type="dxa"/>
            <w:shd w:val="clear" w:color="auto" w:fill="FFFFFF"/>
            <w:vAlign w:val="center"/>
          </w:tcPr>
          <w:p>
            <w:pPr>
              <w:jc w:val="right"/>
              <w:rPr>
                <w:rFonts w:eastAsia="PMingLiU"/>
                <w:b/>
                <w:bCs/>
                <w:sz w:val="18"/>
                <w:szCs w:val="18"/>
                <w:lang w:eastAsia="zh-TW"/>
              </w:rPr>
            </w:pPr>
            <w:r>
              <w:rPr>
                <w:rFonts w:hint="eastAsia"/>
                <w:b/>
                <w:bCs/>
                <w:sz w:val="18"/>
                <w:szCs w:val="18"/>
              </w:rPr>
              <w:t>（</w:t>
            </w:r>
            <w:r>
              <w:rPr>
                <w:b/>
                <w:bCs/>
                <w:sz w:val="18"/>
                <w:szCs w:val="18"/>
              </w:rPr>
              <w:t>32,042,089.60</w:t>
            </w:r>
            <w:r>
              <w:rPr>
                <w:rFonts w:hint="eastAsia"/>
                <w:b/>
                <w:bCs/>
                <w:sz w:val="18"/>
                <w:szCs w:val="18"/>
              </w:rPr>
              <w:t>）</w:t>
            </w:r>
          </w:p>
        </w:tc>
        <w:tc>
          <w:tcPr>
            <w:tcW w:w="1616" w:type="dxa"/>
            <w:vAlign w:val="center"/>
          </w:tcPr>
          <w:p>
            <w:pPr>
              <w:jc w:val="right"/>
              <w:rPr>
                <w:sz w:val="18"/>
                <w:szCs w:val="18"/>
              </w:rPr>
            </w:pPr>
            <w:r>
              <w:rPr>
                <w:sz w:val="18"/>
                <w:szCs w:val="18"/>
              </w:rPr>
              <w:t>2,645,682.52</w:t>
            </w:r>
          </w:p>
        </w:tc>
        <w:tc>
          <w:tcPr>
            <w:tcW w:w="1511" w:type="dxa"/>
            <w:vAlign w:val="center"/>
          </w:tcPr>
          <w:p>
            <w:pPr>
              <w:jc w:val="right"/>
              <w:rPr>
                <w:bCs/>
                <w:sz w:val="18"/>
                <w:szCs w:val="18"/>
              </w:rPr>
            </w:pPr>
            <w:r>
              <w:rPr>
                <w:sz w:val="18"/>
                <w:szCs w:val="18"/>
              </w:rPr>
              <w:t>1,726,207.20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w:t>
            </w:r>
            <w:r>
              <w:rPr>
                <w:rFonts w:ascii="宋体" w:hAnsi="宋体" w:eastAsia="PMingLiU" w:cs="PMingLiU"/>
                <w:kern w:val="0"/>
                <w:lang w:eastAsia="zh-TW"/>
              </w:rPr>
              <w:t>1.</w:t>
            </w:r>
            <w:r>
              <w:rPr>
                <w:rFonts w:hint="eastAsia" w:ascii="宋体" w:hAnsi="宋体" w:eastAsia="PMingLiU" w:cs="PMingLiU"/>
                <w:kern w:val="0"/>
                <w:lang w:eastAsia="zh-TW"/>
              </w:rPr>
              <w:t>權益法下在被投資單位以後將重分類進損益的其他綜合收益中享有的份額</w:t>
            </w:r>
          </w:p>
        </w:tc>
        <w:tc>
          <w:tcPr>
            <w:tcW w:w="1897" w:type="dxa"/>
            <w:vAlign w:val="center"/>
          </w:tcPr>
          <w:p>
            <w:pPr>
              <w:jc w:val="right"/>
              <w:rPr>
                <w:b/>
                <w:bCs/>
                <w:kern w:val="0"/>
                <w:sz w:val="18"/>
                <w:szCs w:val="18"/>
              </w:rPr>
            </w:pPr>
            <w:r>
              <w:rPr>
                <w:b/>
                <w:bCs/>
                <w:kern w:val="0"/>
                <w:sz w:val="18"/>
                <w:szCs w:val="18"/>
              </w:rPr>
              <w:t>-</w:t>
            </w:r>
          </w:p>
        </w:tc>
        <w:tc>
          <w:tcPr>
            <w:tcW w:w="2156" w:type="dxa"/>
            <w:vAlign w:val="center"/>
          </w:tcPr>
          <w:p>
            <w:pPr>
              <w:pStyle w:val="10"/>
              <w:spacing w:beforeLines="20" w:afterLines="20"/>
              <w:jc w:val="right"/>
              <w:rPr>
                <w:rFonts w:ascii="Times New Roman" w:eastAsia="宋体" w:cs="Times New Roman"/>
                <w:b/>
                <w:bCs/>
                <w:color w:val="auto"/>
                <w:sz w:val="18"/>
                <w:szCs w:val="18"/>
              </w:rPr>
            </w:pPr>
            <w:r>
              <w:rPr>
                <w:rFonts w:ascii="Times New Roman" w:eastAsia="宋体" w:cs="Times New Roman"/>
                <w:b/>
                <w:bCs/>
                <w:color w:val="auto"/>
                <w:sz w:val="18"/>
                <w:szCs w:val="18"/>
              </w:rPr>
              <w:t>-</w:t>
            </w:r>
          </w:p>
        </w:tc>
        <w:tc>
          <w:tcPr>
            <w:tcW w:w="1616" w:type="dxa"/>
            <w:vAlign w:val="center"/>
          </w:tcPr>
          <w:p>
            <w:pPr>
              <w:jc w:val="right"/>
              <w:rPr>
                <w:sz w:val="18"/>
                <w:szCs w:val="18"/>
              </w:rPr>
            </w:pPr>
            <w:r>
              <w:rPr>
                <w:sz w:val="18"/>
                <w:szCs w:val="18"/>
              </w:rPr>
              <w:t>-</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w:t>
            </w:r>
            <w:r>
              <w:rPr>
                <w:rFonts w:ascii="宋体" w:hAnsi="宋体" w:eastAsia="PMingLiU" w:cs="PMingLiU"/>
                <w:kern w:val="0"/>
                <w:lang w:eastAsia="zh-TW"/>
              </w:rPr>
              <w:t>2.</w:t>
            </w:r>
            <w:r>
              <w:rPr>
                <w:rFonts w:hint="eastAsia" w:ascii="宋体" w:hAnsi="宋体" w:eastAsia="PMingLiU" w:cs="PMingLiU"/>
                <w:kern w:val="0"/>
                <w:lang w:eastAsia="zh-TW"/>
              </w:rPr>
              <w:t>可供出售金融資產公允價值變動損益</w:t>
            </w:r>
          </w:p>
        </w:tc>
        <w:tc>
          <w:tcPr>
            <w:tcW w:w="1897" w:type="dxa"/>
            <w:shd w:val="clear" w:color="auto" w:fill="FFFFFF"/>
            <w:vAlign w:val="center"/>
          </w:tcPr>
          <w:p>
            <w:pPr>
              <w:jc w:val="right"/>
              <w:rPr>
                <w:rFonts w:eastAsia="PMingLiU"/>
                <w:b/>
                <w:bCs/>
                <w:kern w:val="0"/>
                <w:sz w:val="18"/>
                <w:szCs w:val="18"/>
                <w:lang w:eastAsia="zh-TW"/>
              </w:rPr>
            </w:pPr>
            <w:r>
              <w:rPr>
                <w:rFonts w:hint="eastAsia"/>
                <w:b/>
                <w:bCs/>
                <w:sz w:val="18"/>
                <w:szCs w:val="18"/>
              </w:rPr>
              <w:t>（</w:t>
            </w:r>
            <w:r>
              <w:rPr>
                <w:b/>
                <w:bCs/>
                <w:sz w:val="18"/>
                <w:szCs w:val="18"/>
              </w:rPr>
              <w:t>32,042,089.60</w:t>
            </w:r>
            <w:r>
              <w:rPr>
                <w:rFonts w:hint="eastAsia"/>
                <w:b/>
                <w:bCs/>
                <w:sz w:val="18"/>
                <w:szCs w:val="18"/>
              </w:rPr>
              <w:t>）</w:t>
            </w:r>
          </w:p>
        </w:tc>
        <w:tc>
          <w:tcPr>
            <w:tcW w:w="2156" w:type="dxa"/>
            <w:shd w:val="clear" w:color="auto" w:fill="FFFFFF"/>
            <w:vAlign w:val="center"/>
          </w:tcPr>
          <w:p>
            <w:pPr>
              <w:jc w:val="right"/>
              <w:rPr>
                <w:rFonts w:eastAsia="PMingLiU"/>
                <w:b/>
                <w:bCs/>
                <w:sz w:val="18"/>
                <w:szCs w:val="18"/>
                <w:lang w:eastAsia="zh-TW"/>
              </w:rPr>
            </w:pPr>
            <w:r>
              <w:rPr>
                <w:rFonts w:hint="eastAsia"/>
                <w:b/>
                <w:bCs/>
                <w:sz w:val="18"/>
                <w:szCs w:val="18"/>
              </w:rPr>
              <w:t>（</w:t>
            </w:r>
            <w:r>
              <w:rPr>
                <w:b/>
                <w:bCs/>
                <w:sz w:val="18"/>
                <w:szCs w:val="18"/>
              </w:rPr>
              <w:t>32,042,089.60</w:t>
            </w:r>
            <w:r>
              <w:rPr>
                <w:rFonts w:hint="eastAsia"/>
                <w:b/>
                <w:bCs/>
                <w:sz w:val="18"/>
                <w:szCs w:val="18"/>
              </w:rPr>
              <w:t>）</w:t>
            </w:r>
          </w:p>
        </w:tc>
        <w:tc>
          <w:tcPr>
            <w:tcW w:w="1616" w:type="dxa"/>
            <w:vAlign w:val="center"/>
          </w:tcPr>
          <w:p>
            <w:pPr>
              <w:jc w:val="right"/>
              <w:rPr>
                <w:sz w:val="18"/>
                <w:szCs w:val="18"/>
              </w:rPr>
            </w:pPr>
            <w:r>
              <w:rPr>
                <w:sz w:val="18"/>
                <w:szCs w:val="18"/>
              </w:rPr>
              <w:t>1,726,207.20</w:t>
            </w:r>
          </w:p>
        </w:tc>
        <w:tc>
          <w:tcPr>
            <w:tcW w:w="1511" w:type="dxa"/>
            <w:vAlign w:val="center"/>
          </w:tcPr>
          <w:p>
            <w:pPr>
              <w:jc w:val="right"/>
              <w:rPr>
                <w:bCs/>
                <w:sz w:val="18"/>
                <w:szCs w:val="18"/>
              </w:rPr>
            </w:pPr>
            <w:r>
              <w:rPr>
                <w:sz w:val="18"/>
                <w:szCs w:val="18"/>
              </w:rPr>
              <w:t>1,726,207.20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w:t>
            </w:r>
            <w:r>
              <w:rPr>
                <w:rFonts w:ascii="宋体" w:hAnsi="宋体" w:eastAsia="PMingLiU" w:cs="PMingLiU"/>
                <w:kern w:val="0"/>
                <w:lang w:eastAsia="zh-TW"/>
              </w:rPr>
              <w:t>3.</w:t>
            </w:r>
            <w:r>
              <w:rPr>
                <w:rFonts w:hint="eastAsia" w:ascii="宋体" w:hAnsi="宋体" w:eastAsia="PMingLiU" w:cs="PMingLiU"/>
                <w:kern w:val="0"/>
                <w:lang w:eastAsia="zh-TW"/>
              </w:rPr>
              <w:t>持有至到期投資重分類為可供出售金融資產損益</w:t>
            </w:r>
          </w:p>
        </w:tc>
        <w:tc>
          <w:tcPr>
            <w:tcW w:w="1897" w:type="dxa"/>
            <w:vAlign w:val="center"/>
          </w:tcPr>
          <w:p>
            <w:pPr>
              <w:jc w:val="right"/>
              <w:rPr>
                <w:b/>
                <w:bCs/>
                <w:kern w:val="0"/>
                <w:sz w:val="18"/>
                <w:szCs w:val="18"/>
              </w:rPr>
            </w:pPr>
            <w:r>
              <w:rPr>
                <w:b/>
                <w:bCs/>
                <w:kern w:val="0"/>
                <w:sz w:val="18"/>
                <w:szCs w:val="18"/>
              </w:rPr>
              <w:t>-</w:t>
            </w:r>
          </w:p>
        </w:tc>
        <w:tc>
          <w:tcPr>
            <w:tcW w:w="2156" w:type="dxa"/>
            <w:vAlign w:val="center"/>
          </w:tcPr>
          <w:p>
            <w:pPr>
              <w:pStyle w:val="10"/>
              <w:spacing w:beforeLines="20" w:afterLines="20"/>
              <w:jc w:val="right"/>
              <w:rPr>
                <w:rFonts w:ascii="Times New Roman" w:eastAsia="宋体" w:cs="Times New Roman"/>
                <w:b/>
                <w:bCs/>
                <w:color w:val="auto"/>
                <w:sz w:val="18"/>
                <w:szCs w:val="18"/>
              </w:rPr>
            </w:pPr>
            <w:r>
              <w:rPr>
                <w:rFonts w:ascii="Times New Roman" w:eastAsia="宋体" w:cs="Times New Roman"/>
                <w:b/>
                <w:bCs/>
                <w:color w:val="auto"/>
                <w:sz w:val="18"/>
                <w:szCs w:val="18"/>
              </w:rPr>
              <w:t>-</w:t>
            </w:r>
          </w:p>
        </w:tc>
        <w:tc>
          <w:tcPr>
            <w:tcW w:w="1616" w:type="dxa"/>
            <w:vAlign w:val="center"/>
          </w:tcPr>
          <w:p>
            <w:pPr>
              <w:jc w:val="right"/>
              <w:rPr>
                <w:sz w:val="18"/>
                <w:szCs w:val="18"/>
              </w:rPr>
            </w:pPr>
            <w:r>
              <w:rPr>
                <w:sz w:val="18"/>
                <w:szCs w:val="18"/>
              </w:rPr>
              <w:t>-</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w:t>
            </w:r>
            <w:r>
              <w:rPr>
                <w:rFonts w:ascii="宋体" w:hAnsi="宋体" w:eastAsia="PMingLiU" w:cs="PMingLiU"/>
                <w:kern w:val="0"/>
                <w:lang w:eastAsia="zh-TW"/>
              </w:rPr>
              <w:t>4.</w:t>
            </w:r>
            <w:r>
              <w:rPr>
                <w:rFonts w:hint="eastAsia" w:ascii="宋体" w:hAnsi="宋体" w:eastAsia="PMingLiU" w:cs="PMingLiU"/>
                <w:kern w:val="0"/>
                <w:lang w:eastAsia="zh-TW"/>
              </w:rPr>
              <w:t>現金流量套期損益的有效部分</w:t>
            </w:r>
          </w:p>
        </w:tc>
        <w:tc>
          <w:tcPr>
            <w:tcW w:w="1897" w:type="dxa"/>
            <w:vAlign w:val="center"/>
          </w:tcPr>
          <w:p>
            <w:pPr>
              <w:jc w:val="right"/>
              <w:rPr>
                <w:b/>
                <w:bCs/>
                <w:kern w:val="0"/>
                <w:sz w:val="18"/>
                <w:szCs w:val="18"/>
              </w:rPr>
            </w:pPr>
            <w:r>
              <w:rPr>
                <w:b/>
                <w:bCs/>
                <w:kern w:val="0"/>
                <w:sz w:val="18"/>
                <w:szCs w:val="18"/>
              </w:rPr>
              <w:t>-</w:t>
            </w:r>
          </w:p>
        </w:tc>
        <w:tc>
          <w:tcPr>
            <w:tcW w:w="2156" w:type="dxa"/>
            <w:vAlign w:val="center"/>
          </w:tcPr>
          <w:p>
            <w:pPr>
              <w:pStyle w:val="10"/>
              <w:spacing w:beforeLines="20" w:afterLines="20"/>
              <w:jc w:val="right"/>
              <w:rPr>
                <w:rFonts w:ascii="Times New Roman" w:eastAsia="宋体" w:cs="Times New Roman"/>
                <w:b/>
                <w:bCs/>
                <w:color w:val="auto"/>
                <w:sz w:val="18"/>
                <w:szCs w:val="18"/>
              </w:rPr>
            </w:pPr>
            <w:r>
              <w:rPr>
                <w:rFonts w:ascii="Times New Roman" w:eastAsia="宋体" w:cs="Times New Roman"/>
                <w:b/>
                <w:bCs/>
                <w:color w:val="auto"/>
                <w:sz w:val="18"/>
                <w:szCs w:val="18"/>
              </w:rPr>
              <w:t>-</w:t>
            </w:r>
          </w:p>
        </w:tc>
        <w:tc>
          <w:tcPr>
            <w:tcW w:w="1616" w:type="dxa"/>
            <w:vAlign w:val="center"/>
          </w:tcPr>
          <w:p>
            <w:pPr>
              <w:jc w:val="right"/>
              <w:rPr>
                <w:sz w:val="18"/>
                <w:szCs w:val="18"/>
              </w:rPr>
            </w:pPr>
            <w:r>
              <w:rPr>
                <w:sz w:val="18"/>
                <w:szCs w:val="18"/>
              </w:rPr>
              <w:t>-</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w:t>
            </w:r>
            <w:r>
              <w:rPr>
                <w:rFonts w:ascii="宋体" w:hAnsi="宋体" w:eastAsia="PMingLiU" w:cs="PMingLiU"/>
                <w:kern w:val="0"/>
                <w:lang w:eastAsia="zh-TW"/>
              </w:rPr>
              <w:t>5.</w:t>
            </w:r>
            <w:r>
              <w:rPr>
                <w:rFonts w:hint="eastAsia" w:ascii="宋体" w:hAnsi="宋体" w:eastAsia="PMingLiU" w:cs="PMingLiU"/>
                <w:kern w:val="0"/>
                <w:lang w:eastAsia="zh-TW"/>
              </w:rPr>
              <w:t>外幣財務報表折算差額</w:t>
            </w:r>
          </w:p>
        </w:tc>
        <w:tc>
          <w:tcPr>
            <w:tcW w:w="1897" w:type="dxa"/>
            <w:shd w:val="clear" w:color="auto" w:fill="FFFFFF"/>
            <w:vAlign w:val="center"/>
          </w:tcPr>
          <w:p>
            <w:pPr>
              <w:jc w:val="right"/>
              <w:rPr>
                <w:rFonts w:eastAsia="PMingLiU"/>
                <w:b/>
                <w:bCs/>
                <w:kern w:val="0"/>
                <w:sz w:val="18"/>
                <w:szCs w:val="18"/>
                <w:lang w:eastAsia="zh-TW"/>
              </w:rPr>
            </w:pPr>
            <w:r>
              <w:rPr>
                <w:rFonts w:hint="eastAsia"/>
                <w:b/>
                <w:bCs/>
                <w:sz w:val="18"/>
                <w:szCs w:val="18"/>
              </w:rPr>
              <w:t>（</w:t>
            </w:r>
            <w:r>
              <w:rPr>
                <w:b/>
                <w:bCs/>
                <w:sz w:val="18"/>
                <w:szCs w:val="18"/>
              </w:rPr>
              <w:t>950,729.49</w:t>
            </w:r>
            <w:r>
              <w:rPr>
                <w:rFonts w:hint="eastAsia"/>
                <w:b/>
                <w:bCs/>
                <w:sz w:val="18"/>
                <w:szCs w:val="18"/>
              </w:rPr>
              <w:t>）</w:t>
            </w:r>
          </w:p>
        </w:tc>
        <w:tc>
          <w:tcPr>
            <w:tcW w:w="2156" w:type="dxa"/>
            <w:shd w:val="clear" w:color="auto" w:fill="FFFFFF"/>
            <w:vAlign w:val="center"/>
          </w:tcPr>
          <w:p>
            <w:pPr>
              <w:jc w:val="right"/>
              <w:rPr>
                <w:b/>
                <w:bCs/>
                <w:sz w:val="18"/>
                <w:szCs w:val="18"/>
              </w:rPr>
            </w:pPr>
            <w:r>
              <w:rPr>
                <w:b/>
                <w:bCs/>
                <w:sz w:val="18"/>
                <w:szCs w:val="18"/>
              </w:rPr>
              <w:t>-</w:t>
            </w:r>
          </w:p>
        </w:tc>
        <w:tc>
          <w:tcPr>
            <w:tcW w:w="1616" w:type="dxa"/>
            <w:vAlign w:val="center"/>
          </w:tcPr>
          <w:p>
            <w:pPr>
              <w:jc w:val="right"/>
              <w:rPr>
                <w:sz w:val="18"/>
                <w:szCs w:val="18"/>
              </w:rPr>
            </w:pPr>
            <w:r>
              <w:rPr>
                <w:sz w:val="18"/>
                <w:szCs w:val="18"/>
              </w:rPr>
              <w:t>919,475.32</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w:t>
            </w:r>
            <w:r>
              <w:rPr>
                <w:rFonts w:ascii="宋体" w:hAnsi="宋体" w:eastAsia="PMingLiU" w:cs="PMingLiU"/>
                <w:kern w:val="0"/>
                <w:lang w:eastAsia="zh-TW"/>
              </w:rPr>
              <w:t>6.</w:t>
            </w:r>
            <w:r>
              <w:rPr>
                <w:rFonts w:hint="eastAsia" w:ascii="宋体" w:hAnsi="宋体" w:eastAsia="PMingLiU" w:cs="PMingLiU"/>
                <w:kern w:val="0"/>
                <w:lang w:eastAsia="zh-TW"/>
              </w:rPr>
              <w:t>其他</w:t>
            </w:r>
          </w:p>
        </w:tc>
        <w:tc>
          <w:tcPr>
            <w:tcW w:w="1897" w:type="dxa"/>
            <w:vAlign w:val="center"/>
          </w:tcPr>
          <w:p>
            <w:pPr>
              <w:jc w:val="right"/>
              <w:rPr>
                <w:b/>
                <w:bCs/>
                <w:kern w:val="0"/>
                <w:sz w:val="18"/>
                <w:szCs w:val="18"/>
              </w:rPr>
            </w:pPr>
            <w:r>
              <w:rPr>
                <w:b/>
                <w:bCs/>
                <w:kern w:val="0"/>
                <w:sz w:val="18"/>
                <w:szCs w:val="18"/>
              </w:rPr>
              <w:t>-</w:t>
            </w:r>
          </w:p>
        </w:tc>
        <w:tc>
          <w:tcPr>
            <w:tcW w:w="2156" w:type="dxa"/>
            <w:vAlign w:val="center"/>
          </w:tcPr>
          <w:p>
            <w:pPr>
              <w:pStyle w:val="10"/>
              <w:spacing w:beforeLines="20" w:afterLines="20"/>
              <w:jc w:val="right"/>
              <w:rPr>
                <w:rFonts w:ascii="Times New Roman" w:eastAsia="宋体" w:cs="Times New Roman"/>
                <w:b/>
                <w:bCs/>
                <w:color w:val="auto"/>
                <w:sz w:val="18"/>
                <w:szCs w:val="18"/>
              </w:rPr>
            </w:pPr>
            <w:r>
              <w:rPr>
                <w:rFonts w:ascii="Times New Roman" w:eastAsia="宋体" w:cs="Times New Roman"/>
                <w:b/>
                <w:bCs/>
                <w:color w:val="auto"/>
                <w:sz w:val="18"/>
                <w:szCs w:val="18"/>
              </w:rPr>
              <w:t>-</w:t>
            </w:r>
          </w:p>
        </w:tc>
        <w:tc>
          <w:tcPr>
            <w:tcW w:w="1616" w:type="dxa"/>
            <w:vAlign w:val="center"/>
          </w:tcPr>
          <w:p>
            <w:pPr>
              <w:jc w:val="right"/>
              <w:rPr>
                <w:sz w:val="18"/>
                <w:szCs w:val="18"/>
              </w:rPr>
            </w:pPr>
            <w:r>
              <w:rPr>
                <w:sz w:val="18"/>
                <w:szCs w:val="18"/>
              </w:rPr>
              <w:t>-</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歸屬于少數股東的其他綜合收益的稅後淨額</w:t>
            </w:r>
          </w:p>
        </w:tc>
        <w:tc>
          <w:tcPr>
            <w:tcW w:w="1897" w:type="dxa"/>
            <w:shd w:val="clear" w:color="auto" w:fill="FFFFFF"/>
            <w:vAlign w:val="center"/>
          </w:tcPr>
          <w:p>
            <w:pPr>
              <w:jc w:val="right"/>
              <w:rPr>
                <w:rFonts w:eastAsia="PMingLiU"/>
                <w:b/>
                <w:bCs/>
                <w:kern w:val="0"/>
                <w:sz w:val="18"/>
                <w:szCs w:val="18"/>
                <w:lang w:eastAsia="zh-TW"/>
              </w:rPr>
            </w:pPr>
            <w:r>
              <w:rPr>
                <w:rFonts w:hint="eastAsia"/>
                <w:b/>
                <w:bCs/>
                <w:sz w:val="18"/>
                <w:szCs w:val="18"/>
              </w:rPr>
              <w:t>（</w:t>
            </w:r>
            <w:r>
              <w:rPr>
                <w:b/>
                <w:bCs/>
                <w:sz w:val="18"/>
                <w:szCs w:val="18"/>
              </w:rPr>
              <w:t>214,861.93</w:t>
            </w:r>
            <w:r>
              <w:rPr>
                <w:rFonts w:hint="eastAsia"/>
                <w:b/>
                <w:bCs/>
                <w:sz w:val="18"/>
                <w:szCs w:val="18"/>
              </w:rPr>
              <w:t>）</w:t>
            </w:r>
          </w:p>
        </w:tc>
        <w:tc>
          <w:tcPr>
            <w:tcW w:w="2156" w:type="dxa"/>
            <w:shd w:val="clear" w:color="auto" w:fill="FFFFFF"/>
            <w:vAlign w:val="center"/>
          </w:tcPr>
          <w:p>
            <w:pPr>
              <w:jc w:val="right"/>
              <w:rPr>
                <w:b/>
                <w:bCs/>
                <w:sz w:val="18"/>
                <w:szCs w:val="18"/>
              </w:rPr>
            </w:pPr>
          </w:p>
        </w:tc>
        <w:tc>
          <w:tcPr>
            <w:tcW w:w="1616" w:type="dxa"/>
            <w:vAlign w:val="center"/>
          </w:tcPr>
          <w:p>
            <w:pPr>
              <w:jc w:val="right"/>
              <w:rPr>
                <w:sz w:val="18"/>
                <w:szCs w:val="18"/>
              </w:rPr>
            </w:pPr>
            <w:r>
              <w:rPr>
                <w:rFonts w:hint="eastAsia"/>
                <w:sz w:val="18"/>
                <w:szCs w:val="18"/>
              </w:rPr>
              <w:t>（</w:t>
            </w:r>
            <w:r>
              <w:rPr>
                <w:sz w:val="18"/>
                <w:szCs w:val="18"/>
              </w:rPr>
              <w:t>30,057.07</w:t>
            </w:r>
            <w:r>
              <w:rPr>
                <w:rFonts w:hint="eastAsia"/>
                <w:sz w:val="18"/>
                <w:szCs w:val="18"/>
              </w:rPr>
              <w:t>）</w:t>
            </w:r>
          </w:p>
        </w:tc>
        <w:tc>
          <w:tcPr>
            <w:tcW w:w="1511" w:type="dxa"/>
            <w:vAlign w:val="center"/>
          </w:tcPr>
          <w:p>
            <w:pPr>
              <w:jc w:val="right"/>
              <w:rPr>
                <w:bCs/>
                <w:kern w:val="0"/>
                <w:sz w:val="18"/>
                <w:szCs w:val="18"/>
              </w:rPr>
            </w:pPr>
            <w:r>
              <w:rPr>
                <w:bCs/>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bottom"/>
          </w:tcPr>
          <w:p>
            <w:pPr>
              <w:rPr>
                <w:rFonts w:ascii="宋体" w:hAnsi="宋体" w:eastAsia="PMingLiU" w:cs="PMingLiU"/>
                <w:kern w:val="0"/>
                <w:lang w:eastAsia="zh-TW"/>
              </w:rPr>
            </w:pPr>
            <w:r>
              <w:rPr>
                <w:rFonts w:hint="eastAsia" w:ascii="宋体" w:hAnsi="宋体" w:eastAsia="PMingLiU" w:cs="PMingLiU"/>
                <w:kern w:val="0"/>
                <w:lang w:eastAsia="zh-TW"/>
              </w:rPr>
              <w:t>七、綜合收益總額</w:t>
            </w:r>
          </w:p>
        </w:tc>
        <w:tc>
          <w:tcPr>
            <w:tcW w:w="1897" w:type="dxa"/>
            <w:shd w:val="clear" w:color="auto" w:fill="FFFFFF"/>
            <w:vAlign w:val="center"/>
          </w:tcPr>
          <w:p>
            <w:pPr>
              <w:jc w:val="right"/>
              <w:rPr>
                <w:b/>
                <w:bCs/>
                <w:kern w:val="0"/>
                <w:sz w:val="18"/>
                <w:szCs w:val="18"/>
              </w:rPr>
            </w:pPr>
            <w:r>
              <w:rPr>
                <w:b/>
                <w:bCs/>
                <w:sz w:val="18"/>
                <w:szCs w:val="18"/>
              </w:rPr>
              <w:t>36,640,147.30</w:t>
            </w:r>
          </w:p>
        </w:tc>
        <w:tc>
          <w:tcPr>
            <w:tcW w:w="2156" w:type="dxa"/>
            <w:shd w:val="clear" w:color="auto" w:fill="FFFFFF"/>
            <w:vAlign w:val="center"/>
          </w:tcPr>
          <w:p>
            <w:pPr>
              <w:jc w:val="right"/>
              <w:rPr>
                <w:b/>
                <w:bCs/>
                <w:sz w:val="18"/>
                <w:szCs w:val="18"/>
              </w:rPr>
            </w:pPr>
            <w:r>
              <w:rPr>
                <w:b/>
                <w:bCs/>
                <w:sz w:val="18"/>
                <w:szCs w:val="18"/>
              </w:rPr>
              <w:t>37,362,777.84</w:t>
            </w:r>
          </w:p>
        </w:tc>
        <w:tc>
          <w:tcPr>
            <w:tcW w:w="1616" w:type="dxa"/>
            <w:shd w:val="clear" w:color="auto" w:fill="FFFFFF"/>
            <w:vAlign w:val="center"/>
          </w:tcPr>
          <w:p>
            <w:pPr>
              <w:jc w:val="right"/>
              <w:rPr>
                <w:kern w:val="0"/>
                <w:sz w:val="18"/>
                <w:szCs w:val="18"/>
              </w:rPr>
            </w:pPr>
            <w:r>
              <w:rPr>
                <w:sz w:val="18"/>
                <w:szCs w:val="18"/>
              </w:rPr>
              <w:t>57,296,853.77</w:t>
            </w:r>
          </w:p>
        </w:tc>
        <w:tc>
          <w:tcPr>
            <w:tcW w:w="1511" w:type="dxa"/>
            <w:vAlign w:val="center"/>
          </w:tcPr>
          <w:p>
            <w:pPr>
              <w:jc w:val="right"/>
              <w:rPr>
                <w:bCs/>
                <w:sz w:val="18"/>
                <w:szCs w:val="18"/>
              </w:rPr>
            </w:pPr>
            <w:r>
              <w:rPr>
                <w:sz w:val="18"/>
                <w:szCs w:val="18"/>
              </w:rPr>
              <w:t>59,112,755.21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歸屬于母公司所有者的綜合收益總額</w:t>
            </w:r>
          </w:p>
        </w:tc>
        <w:tc>
          <w:tcPr>
            <w:tcW w:w="1897" w:type="dxa"/>
            <w:shd w:val="clear" w:color="auto" w:fill="FFFFFF"/>
            <w:vAlign w:val="center"/>
          </w:tcPr>
          <w:p>
            <w:pPr>
              <w:jc w:val="right"/>
              <w:rPr>
                <w:b/>
                <w:bCs/>
                <w:kern w:val="0"/>
                <w:sz w:val="18"/>
                <w:szCs w:val="18"/>
              </w:rPr>
            </w:pPr>
            <w:r>
              <w:rPr>
                <w:b/>
                <w:bCs/>
                <w:sz w:val="18"/>
                <w:szCs w:val="18"/>
              </w:rPr>
              <w:t>34,600,751.09</w:t>
            </w:r>
          </w:p>
        </w:tc>
        <w:tc>
          <w:tcPr>
            <w:tcW w:w="2156" w:type="dxa"/>
            <w:shd w:val="clear" w:color="auto" w:fill="FFFFFF"/>
            <w:vAlign w:val="center"/>
          </w:tcPr>
          <w:p>
            <w:pPr>
              <w:jc w:val="right"/>
              <w:rPr>
                <w:b/>
                <w:bCs/>
                <w:sz w:val="18"/>
                <w:szCs w:val="18"/>
              </w:rPr>
            </w:pPr>
            <w:r>
              <w:rPr>
                <w:b/>
                <w:bCs/>
                <w:sz w:val="18"/>
                <w:szCs w:val="18"/>
              </w:rPr>
              <w:t>-</w:t>
            </w:r>
          </w:p>
        </w:tc>
        <w:tc>
          <w:tcPr>
            <w:tcW w:w="1616" w:type="dxa"/>
            <w:shd w:val="clear" w:color="auto" w:fill="FFFFFF"/>
            <w:vAlign w:val="center"/>
          </w:tcPr>
          <w:p>
            <w:pPr>
              <w:jc w:val="right"/>
              <w:rPr>
                <w:kern w:val="0"/>
                <w:sz w:val="18"/>
                <w:szCs w:val="18"/>
              </w:rPr>
            </w:pPr>
            <w:r>
              <w:rPr>
                <w:sz w:val="18"/>
                <w:szCs w:val="18"/>
              </w:rPr>
              <w:t>54,196,108.41</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　　歸屬于少數股東的綜合收益總額</w:t>
            </w:r>
          </w:p>
        </w:tc>
        <w:tc>
          <w:tcPr>
            <w:tcW w:w="1897" w:type="dxa"/>
            <w:shd w:val="clear" w:color="auto" w:fill="FFFFFF"/>
            <w:vAlign w:val="center"/>
          </w:tcPr>
          <w:p>
            <w:pPr>
              <w:jc w:val="right"/>
              <w:rPr>
                <w:b/>
                <w:bCs/>
                <w:kern w:val="0"/>
                <w:sz w:val="18"/>
                <w:szCs w:val="18"/>
              </w:rPr>
            </w:pPr>
            <w:r>
              <w:rPr>
                <w:b/>
                <w:bCs/>
                <w:sz w:val="18"/>
                <w:szCs w:val="18"/>
              </w:rPr>
              <w:t>2,039,396.21</w:t>
            </w:r>
          </w:p>
        </w:tc>
        <w:tc>
          <w:tcPr>
            <w:tcW w:w="2156" w:type="dxa"/>
            <w:shd w:val="clear" w:color="auto" w:fill="FFFFFF"/>
            <w:vAlign w:val="center"/>
          </w:tcPr>
          <w:p>
            <w:pPr>
              <w:jc w:val="right"/>
              <w:rPr>
                <w:b/>
                <w:bCs/>
                <w:sz w:val="18"/>
                <w:szCs w:val="18"/>
              </w:rPr>
            </w:pPr>
            <w:r>
              <w:rPr>
                <w:b/>
                <w:bCs/>
                <w:sz w:val="18"/>
                <w:szCs w:val="18"/>
              </w:rPr>
              <w:t>-</w:t>
            </w:r>
          </w:p>
        </w:tc>
        <w:tc>
          <w:tcPr>
            <w:tcW w:w="1616" w:type="dxa"/>
            <w:shd w:val="clear" w:color="auto" w:fill="FFFFFF"/>
            <w:vAlign w:val="center"/>
          </w:tcPr>
          <w:p>
            <w:pPr>
              <w:jc w:val="right"/>
              <w:rPr>
                <w:kern w:val="0"/>
                <w:sz w:val="18"/>
                <w:szCs w:val="18"/>
              </w:rPr>
            </w:pPr>
            <w:r>
              <w:rPr>
                <w:sz w:val="18"/>
                <w:szCs w:val="18"/>
              </w:rPr>
              <w:t>3,100,745.36</w:t>
            </w:r>
          </w:p>
        </w:tc>
        <w:tc>
          <w:tcPr>
            <w:tcW w:w="1511" w:type="dxa"/>
            <w:vAlign w:val="center"/>
          </w:tcPr>
          <w:p>
            <w:pPr>
              <w:jc w:val="right"/>
              <w:rPr>
                <w:bCs/>
                <w:sz w:val="18"/>
                <w:szCs w:val="18"/>
              </w:rPr>
            </w:pPr>
            <w:r>
              <w:rPr>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vAlign w:val="top"/>
          </w:tcPr>
          <w:p>
            <w:pPr>
              <w:jc w:val="left"/>
              <w:rPr>
                <w:rFonts w:ascii="宋体" w:hAnsi="宋体" w:eastAsia="PMingLiU" w:cs="PMingLiU"/>
                <w:kern w:val="0"/>
                <w:lang w:eastAsia="zh-TW"/>
              </w:rPr>
            </w:pPr>
            <w:r>
              <w:rPr>
                <w:rFonts w:hint="eastAsia" w:ascii="宋体" w:hAnsi="宋体" w:eastAsia="PMingLiU" w:cs="PMingLiU"/>
                <w:kern w:val="0"/>
                <w:lang w:eastAsia="zh-TW"/>
              </w:rPr>
              <w:t>八、每股收益：</w:t>
            </w:r>
          </w:p>
        </w:tc>
        <w:tc>
          <w:tcPr>
            <w:tcW w:w="1897" w:type="dxa"/>
            <w:vAlign w:val="center"/>
          </w:tcPr>
          <w:p>
            <w:pPr>
              <w:jc w:val="right"/>
              <w:rPr>
                <w:b/>
                <w:bCs/>
                <w:kern w:val="0"/>
                <w:sz w:val="18"/>
                <w:szCs w:val="18"/>
              </w:rPr>
            </w:pPr>
          </w:p>
        </w:tc>
        <w:tc>
          <w:tcPr>
            <w:tcW w:w="2156" w:type="dxa"/>
            <w:vAlign w:val="center"/>
          </w:tcPr>
          <w:p>
            <w:pPr>
              <w:pStyle w:val="10"/>
              <w:spacing w:beforeLines="20" w:afterLines="20"/>
              <w:jc w:val="right"/>
              <w:rPr>
                <w:rFonts w:ascii="Times New Roman" w:eastAsia="宋体" w:cs="Times New Roman"/>
                <w:b/>
                <w:bCs/>
                <w:color w:val="auto"/>
                <w:sz w:val="18"/>
                <w:szCs w:val="18"/>
              </w:rPr>
            </w:pPr>
          </w:p>
        </w:tc>
        <w:tc>
          <w:tcPr>
            <w:tcW w:w="1616" w:type="dxa"/>
            <w:vAlign w:val="center"/>
          </w:tcPr>
          <w:p>
            <w:pPr>
              <w:jc w:val="right"/>
              <w:rPr>
                <w:sz w:val="18"/>
                <w:szCs w:val="18"/>
              </w:rPr>
            </w:pPr>
          </w:p>
        </w:tc>
        <w:tc>
          <w:tcPr>
            <w:tcW w:w="1511" w:type="dxa"/>
            <w:vAlign w:val="center"/>
          </w:tcPr>
          <w:p>
            <w:pPr>
              <w:jc w:val="right"/>
              <w:rPr>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jc w:val="left"/>
              <w:rPr>
                <w:rFonts w:ascii="宋体" w:cs="PMingLiU"/>
                <w:kern w:val="0"/>
                <w:lang w:eastAsia="zh-TW"/>
              </w:rPr>
            </w:pPr>
            <w:r>
              <w:rPr>
                <w:rFonts w:hint="eastAsia" w:ascii="宋体" w:hAnsi="宋体" w:eastAsia="PMingLiU" w:cs="PMingLiU"/>
                <w:kern w:val="0"/>
                <w:lang w:eastAsia="zh-TW"/>
              </w:rPr>
              <w:t>　　（一）基本每股收益（人民幣元</w:t>
            </w:r>
            <w:r>
              <w:rPr>
                <w:rFonts w:hint="eastAsia" w:ascii="宋体" w:hAnsi="宋体" w:eastAsia="PMingLiU" w:cs="PMingLiU"/>
                <w:lang w:eastAsia="zh-TW"/>
              </w:rPr>
              <w:t>/股</w:t>
            </w:r>
            <w:r>
              <w:rPr>
                <w:rFonts w:hint="eastAsia" w:ascii="宋体" w:hAnsi="宋体" w:eastAsia="PMingLiU" w:cs="PMingLiU"/>
                <w:kern w:val="0"/>
                <w:lang w:eastAsia="zh-TW"/>
              </w:rPr>
              <w:t>）</w:t>
            </w:r>
          </w:p>
        </w:tc>
        <w:tc>
          <w:tcPr>
            <w:tcW w:w="1897" w:type="dxa"/>
            <w:shd w:val="clear" w:color="auto" w:fill="FFFFFF"/>
            <w:vAlign w:val="center"/>
          </w:tcPr>
          <w:p>
            <w:pPr>
              <w:jc w:val="right"/>
              <w:rPr>
                <w:b/>
                <w:bCs/>
                <w:kern w:val="0"/>
                <w:sz w:val="18"/>
                <w:szCs w:val="18"/>
              </w:rPr>
            </w:pPr>
            <w:r>
              <w:rPr>
                <w:b/>
                <w:bCs/>
                <w:sz w:val="18"/>
                <w:szCs w:val="18"/>
              </w:rPr>
              <w:t>0.14</w:t>
            </w:r>
          </w:p>
        </w:tc>
        <w:tc>
          <w:tcPr>
            <w:tcW w:w="2156" w:type="dxa"/>
            <w:shd w:val="clear" w:color="auto" w:fill="FFFFFF"/>
            <w:vAlign w:val="center"/>
          </w:tcPr>
          <w:p>
            <w:pPr>
              <w:jc w:val="right"/>
              <w:rPr>
                <w:b/>
                <w:bCs/>
                <w:sz w:val="18"/>
                <w:szCs w:val="18"/>
              </w:rPr>
            </w:pPr>
            <w:r>
              <w:rPr>
                <w:b/>
                <w:bCs/>
                <w:sz w:val="18"/>
                <w:szCs w:val="18"/>
              </w:rPr>
              <w:t>-</w:t>
            </w:r>
          </w:p>
        </w:tc>
        <w:tc>
          <w:tcPr>
            <w:tcW w:w="1616" w:type="dxa"/>
            <w:shd w:val="clear" w:color="auto" w:fill="FFFFFF"/>
            <w:vAlign w:val="center"/>
          </w:tcPr>
          <w:p>
            <w:pPr>
              <w:jc w:val="right"/>
              <w:rPr>
                <w:kern w:val="0"/>
                <w:sz w:val="18"/>
                <w:szCs w:val="18"/>
              </w:rPr>
            </w:pPr>
            <w:r>
              <w:rPr>
                <w:sz w:val="18"/>
                <w:szCs w:val="18"/>
              </w:rPr>
              <w:t>0.11</w:t>
            </w:r>
          </w:p>
        </w:tc>
        <w:tc>
          <w:tcPr>
            <w:tcW w:w="1511" w:type="dxa"/>
            <w:vAlign w:val="center"/>
          </w:tcPr>
          <w:p>
            <w:pPr>
              <w:jc w:val="right"/>
              <w:rPr>
                <w:kern w:val="0"/>
                <w:sz w:val="18"/>
                <w:szCs w:val="18"/>
              </w:rPr>
            </w:pPr>
            <w:r>
              <w:rPr>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02" w:type="dxa"/>
            <w:shd w:val="clear" w:color="auto" w:fill="auto"/>
            <w:vAlign w:val="top"/>
          </w:tcPr>
          <w:p>
            <w:pPr>
              <w:jc w:val="left"/>
              <w:rPr>
                <w:rFonts w:ascii="宋体" w:cs="PMingLiU"/>
                <w:kern w:val="0"/>
                <w:lang w:eastAsia="zh-TW"/>
              </w:rPr>
            </w:pPr>
            <w:r>
              <w:rPr>
                <w:rFonts w:hint="eastAsia" w:ascii="宋体" w:hAnsi="宋体" w:eastAsia="PMingLiU" w:cs="PMingLiU"/>
                <w:kern w:val="0"/>
                <w:lang w:eastAsia="zh-TW"/>
              </w:rPr>
              <w:t>　　（二）稀釋每股收益（人民幣元</w:t>
            </w:r>
            <w:r>
              <w:rPr>
                <w:rFonts w:hint="eastAsia" w:ascii="宋体" w:hAnsi="宋体" w:eastAsia="PMingLiU" w:cs="PMingLiU"/>
                <w:lang w:eastAsia="zh-TW"/>
              </w:rPr>
              <w:t>/股</w:t>
            </w:r>
            <w:r>
              <w:rPr>
                <w:rFonts w:hint="eastAsia" w:ascii="宋体" w:hAnsi="宋体" w:eastAsia="PMingLiU" w:cs="PMingLiU"/>
                <w:kern w:val="0"/>
                <w:lang w:eastAsia="zh-TW"/>
              </w:rPr>
              <w:t>）</w:t>
            </w:r>
          </w:p>
        </w:tc>
        <w:tc>
          <w:tcPr>
            <w:tcW w:w="1897" w:type="dxa"/>
            <w:shd w:val="clear" w:color="auto" w:fill="FFFFFF"/>
            <w:vAlign w:val="center"/>
          </w:tcPr>
          <w:p>
            <w:pPr>
              <w:jc w:val="right"/>
              <w:rPr>
                <w:b/>
                <w:bCs/>
                <w:kern w:val="0"/>
                <w:sz w:val="18"/>
                <w:szCs w:val="18"/>
              </w:rPr>
            </w:pPr>
            <w:r>
              <w:rPr>
                <w:b/>
                <w:bCs/>
                <w:sz w:val="18"/>
                <w:szCs w:val="18"/>
              </w:rPr>
              <w:t>0.14</w:t>
            </w:r>
          </w:p>
        </w:tc>
        <w:tc>
          <w:tcPr>
            <w:tcW w:w="2156" w:type="dxa"/>
            <w:shd w:val="clear" w:color="auto" w:fill="FFFFFF"/>
            <w:vAlign w:val="center"/>
          </w:tcPr>
          <w:p>
            <w:pPr>
              <w:jc w:val="right"/>
              <w:rPr>
                <w:b/>
                <w:bCs/>
                <w:sz w:val="18"/>
                <w:szCs w:val="18"/>
              </w:rPr>
            </w:pPr>
            <w:r>
              <w:rPr>
                <w:b/>
                <w:bCs/>
                <w:sz w:val="18"/>
                <w:szCs w:val="18"/>
              </w:rPr>
              <w:t>-</w:t>
            </w:r>
          </w:p>
        </w:tc>
        <w:tc>
          <w:tcPr>
            <w:tcW w:w="1616" w:type="dxa"/>
            <w:shd w:val="clear" w:color="auto" w:fill="FFFFFF"/>
            <w:vAlign w:val="center"/>
          </w:tcPr>
          <w:p>
            <w:pPr>
              <w:jc w:val="right"/>
              <w:rPr>
                <w:kern w:val="0"/>
                <w:sz w:val="18"/>
                <w:szCs w:val="18"/>
              </w:rPr>
            </w:pPr>
            <w:r>
              <w:rPr>
                <w:sz w:val="18"/>
                <w:szCs w:val="18"/>
              </w:rPr>
              <w:t>0.11</w:t>
            </w:r>
          </w:p>
        </w:tc>
        <w:tc>
          <w:tcPr>
            <w:tcW w:w="1511" w:type="dxa"/>
            <w:vAlign w:val="center"/>
          </w:tcPr>
          <w:p>
            <w:pPr>
              <w:jc w:val="right"/>
              <w:rPr>
                <w:kern w:val="0"/>
                <w:sz w:val="18"/>
                <w:szCs w:val="18"/>
              </w:rPr>
            </w:pPr>
            <w:r>
              <w:rPr>
                <w:kern w:val="0"/>
                <w:sz w:val="18"/>
                <w:szCs w:val="18"/>
              </w:rPr>
              <w:t>-</w:t>
            </w:r>
          </w:p>
        </w:tc>
      </w:tr>
      <w:bookmarkEnd w:id="0"/>
    </w:tbl>
    <w:p>
      <w:pPr>
        <w:pStyle w:val="10"/>
        <w:rPr>
          <w:rFonts w:ascii="宋体" w:hAnsi="宋体" w:eastAsia="宋体" w:cs="Times New Roman"/>
          <w:b/>
          <w:bCs/>
          <w:color w:val="auto"/>
          <w:sz w:val="21"/>
          <w:szCs w:val="21"/>
        </w:rPr>
      </w:pPr>
    </w:p>
    <w:p>
      <w:pPr>
        <w:pStyle w:val="10"/>
        <w:ind w:right="440"/>
        <w:jc w:val="both"/>
        <w:rPr>
          <w:rFonts w:ascii="宋体" w:hAnsi="宋体" w:eastAsia="PMingLiU" w:cs="Times New Roman"/>
          <w:b/>
          <w:color w:val="auto"/>
          <w:sz w:val="21"/>
          <w:szCs w:val="21"/>
          <w:lang w:eastAsia="zh-TW"/>
        </w:rPr>
      </w:pPr>
      <w:r>
        <w:rPr>
          <w:rFonts w:ascii="宋体" w:hAnsi="宋体" w:eastAsia="PMingLiU" w:cs="Times New Roman"/>
          <w:b/>
          <w:color w:val="auto"/>
          <w:sz w:val="21"/>
          <w:szCs w:val="21"/>
          <w:lang w:eastAsia="zh-TW"/>
        </w:rPr>
        <w:t xml:space="preserve">B. </w:t>
      </w:r>
      <w:r>
        <w:rPr>
          <w:rFonts w:hint="eastAsia" w:ascii="宋体" w:hAnsi="宋体" w:eastAsia="PMingLiU" w:cs="Times New Roman"/>
          <w:b/>
          <w:color w:val="auto"/>
          <w:sz w:val="21"/>
          <w:szCs w:val="21"/>
          <w:lang w:eastAsia="zh-TW"/>
        </w:rPr>
        <w:t>本報告期內生效的會計政策變更及其影響</w:t>
      </w:r>
    </w:p>
    <w:p>
      <w:pPr>
        <w:pStyle w:val="2"/>
        <w:spacing w:beforeLines="50" w:afterLines="50" w:line="320" w:lineRule="exact"/>
        <w:ind w:firstLine="0" w:firstLineChars="0"/>
        <w:rPr>
          <w:rFonts w:eastAsia="PMingLiU"/>
          <w:sz w:val="21"/>
          <w:lang w:eastAsia="zh-TW"/>
        </w:rPr>
      </w:pPr>
      <w:r>
        <w:rPr>
          <w:rFonts w:hint="eastAsia" w:eastAsia="PMingLiU"/>
          <w:sz w:val="21"/>
          <w:lang w:eastAsia="zh-TW"/>
        </w:rPr>
        <w:t>於本報告期內生效的</w:t>
      </w:r>
      <w:r>
        <w:rPr>
          <w:rFonts w:hint="eastAsia"/>
          <w:sz w:val="21"/>
          <w:lang w:eastAsia="zh-TW"/>
        </w:rPr>
        <w:t>適用</w:t>
      </w:r>
      <w:r>
        <w:rPr>
          <w:rFonts w:hint="eastAsia" w:eastAsia="PMingLiU"/>
          <w:sz w:val="21"/>
          <w:lang w:eastAsia="zh-TW"/>
        </w:rPr>
        <w:t>會計政策變更如下：</w:t>
      </w:r>
    </w:p>
    <w:p>
      <w:pPr>
        <w:pStyle w:val="2"/>
        <w:numPr>
          <w:ilvl w:val="0"/>
          <w:numId w:val="1"/>
        </w:numPr>
        <w:spacing w:beforeLines="50" w:afterLines="50" w:line="320" w:lineRule="exact"/>
        <w:ind w:firstLineChars="0"/>
        <w:rPr>
          <w:sz w:val="21"/>
          <w:lang w:eastAsia="zh-TW"/>
        </w:rPr>
      </w:pPr>
      <w:r>
        <w:rPr>
          <w:rFonts w:eastAsia="PMingLiU"/>
          <w:sz w:val="21"/>
          <w:lang w:eastAsia="zh-TW"/>
        </w:rPr>
        <w:t xml:space="preserve">(i) </w:t>
      </w:r>
      <w:r>
        <w:rPr>
          <w:rFonts w:hint="eastAsia" w:eastAsia="PMingLiU"/>
          <w:sz w:val="21"/>
          <w:lang w:eastAsia="zh-TW"/>
        </w:rPr>
        <w:t>中華人民共和國（「</w:t>
      </w:r>
      <w:r>
        <w:rPr>
          <w:rFonts w:hint="eastAsia" w:eastAsia="PMingLiU"/>
          <w:b/>
          <w:sz w:val="21"/>
          <w:lang w:eastAsia="zh-TW"/>
        </w:rPr>
        <w:t>中國</w:t>
      </w:r>
      <w:r>
        <w:rPr>
          <w:rFonts w:hint="eastAsia" w:eastAsia="PMingLiU"/>
          <w:sz w:val="21"/>
          <w:lang w:eastAsia="zh-TW"/>
        </w:rPr>
        <w:t>）」財政部（「財政部」）以文件【</w:t>
      </w:r>
      <w:r>
        <w:rPr>
          <w:rFonts w:eastAsia="PMingLiU"/>
          <w:sz w:val="21"/>
          <w:lang w:eastAsia="zh-TW"/>
        </w:rPr>
        <w:t>2017</w:t>
      </w:r>
      <w:r>
        <w:rPr>
          <w:rFonts w:hint="eastAsia" w:eastAsia="PMingLiU"/>
          <w:sz w:val="21"/>
          <w:lang w:eastAsia="zh-TW"/>
        </w:rPr>
        <w:t>】</w:t>
      </w:r>
      <w:r>
        <w:rPr>
          <w:rFonts w:eastAsia="PMingLiU"/>
          <w:sz w:val="21"/>
          <w:lang w:eastAsia="zh-TW"/>
        </w:rPr>
        <w:t>7</w:t>
      </w:r>
      <w:r>
        <w:rPr>
          <w:rFonts w:hint="eastAsia" w:eastAsia="PMingLiU"/>
          <w:sz w:val="21"/>
          <w:lang w:eastAsia="zh-TW"/>
        </w:rPr>
        <w:t>號、</w:t>
      </w:r>
      <w:r>
        <w:rPr>
          <w:rFonts w:eastAsia="PMingLiU"/>
          <w:sz w:val="21"/>
          <w:lang w:eastAsia="zh-TW"/>
        </w:rPr>
        <w:t>8</w:t>
      </w:r>
      <w:r>
        <w:rPr>
          <w:rFonts w:hint="eastAsia" w:eastAsia="PMingLiU"/>
          <w:sz w:val="21"/>
          <w:lang w:eastAsia="zh-TW"/>
        </w:rPr>
        <w:t>號、</w:t>
      </w:r>
      <w:r>
        <w:rPr>
          <w:rFonts w:eastAsia="PMingLiU"/>
          <w:sz w:val="21"/>
          <w:lang w:eastAsia="zh-TW"/>
        </w:rPr>
        <w:t>9</w:t>
      </w:r>
      <w:r>
        <w:rPr>
          <w:rFonts w:hint="eastAsia" w:eastAsia="PMingLiU"/>
          <w:sz w:val="21"/>
          <w:lang w:eastAsia="zh-TW"/>
        </w:rPr>
        <w:t>號修訂了《企業會計準則第</w:t>
      </w:r>
      <w:r>
        <w:rPr>
          <w:rFonts w:eastAsia="PMingLiU"/>
          <w:sz w:val="21"/>
          <w:lang w:eastAsia="zh-TW"/>
        </w:rPr>
        <w:t>22</w:t>
      </w:r>
      <w:r>
        <w:rPr>
          <w:rFonts w:hint="eastAsia" w:eastAsia="PMingLiU"/>
          <w:sz w:val="21"/>
          <w:lang w:eastAsia="zh-TW"/>
        </w:rPr>
        <w:t>號—金融工具確認和計量》</w:t>
      </w:r>
      <w:r>
        <w:rPr>
          <w:rFonts w:hint="eastAsia" w:ascii="PMingLiU" w:hAnsi="PMingLiU" w:eastAsia="PMingLiU"/>
          <w:sz w:val="21"/>
          <w:lang w:eastAsia="zh-TW"/>
        </w:rPr>
        <w:t>及</w:t>
      </w:r>
      <w:r>
        <w:rPr>
          <w:rFonts w:hint="eastAsia" w:eastAsia="PMingLiU"/>
          <w:sz w:val="21"/>
          <w:lang w:eastAsia="zh-TW"/>
        </w:rPr>
        <w:t>《企業會計準則第</w:t>
      </w:r>
      <w:r>
        <w:rPr>
          <w:rFonts w:eastAsia="PMingLiU"/>
          <w:sz w:val="21"/>
          <w:lang w:eastAsia="zh-TW"/>
        </w:rPr>
        <w:t>23</w:t>
      </w:r>
      <w:r>
        <w:rPr>
          <w:rFonts w:hint="eastAsia" w:eastAsia="PMingLiU"/>
          <w:sz w:val="21"/>
          <w:lang w:eastAsia="zh-TW"/>
        </w:rPr>
        <w:t>號—金融資產轉移》、《企業會計準則第</w:t>
      </w:r>
      <w:r>
        <w:rPr>
          <w:rFonts w:eastAsia="PMingLiU"/>
          <w:sz w:val="21"/>
          <w:lang w:eastAsia="zh-TW"/>
        </w:rPr>
        <w:t>24</w:t>
      </w:r>
      <w:r>
        <w:rPr>
          <w:rFonts w:hint="eastAsia" w:eastAsia="PMingLiU"/>
          <w:sz w:val="21"/>
          <w:lang w:eastAsia="zh-TW"/>
        </w:rPr>
        <w:t>號—套期會計》；</w:t>
      </w:r>
      <w:r>
        <w:rPr>
          <w:rFonts w:hint="eastAsia" w:ascii="PMingLiU" w:hAnsi="PMingLiU" w:eastAsia="PMingLiU"/>
          <w:sz w:val="21"/>
          <w:lang w:eastAsia="zh-TW"/>
        </w:rPr>
        <w:t>及</w:t>
      </w:r>
    </w:p>
    <w:p>
      <w:pPr>
        <w:pStyle w:val="2"/>
        <w:spacing w:beforeLines="50" w:afterLines="50" w:line="320" w:lineRule="exact"/>
        <w:ind w:left="720" w:firstLine="0" w:firstLineChars="0"/>
        <w:rPr>
          <w:rFonts w:eastAsia="PMingLiU"/>
          <w:sz w:val="21"/>
          <w:lang w:eastAsia="zh-TW"/>
        </w:rPr>
      </w:pPr>
      <w:r>
        <w:rPr>
          <w:rFonts w:eastAsia="PMingLiU"/>
          <w:sz w:val="21"/>
          <w:lang w:eastAsia="zh-TW"/>
        </w:rPr>
        <w:t>(ii)</w:t>
      </w:r>
      <w:r>
        <w:rPr>
          <w:rFonts w:hint="eastAsia" w:eastAsia="PMingLiU"/>
          <w:sz w:val="21"/>
          <w:lang w:eastAsia="zh-TW"/>
        </w:rPr>
        <w:t>財政部以財會【</w:t>
      </w:r>
      <w:r>
        <w:rPr>
          <w:rFonts w:eastAsia="PMingLiU"/>
          <w:sz w:val="21"/>
          <w:lang w:eastAsia="zh-TW"/>
        </w:rPr>
        <w:t>2017</w:t>
      </w:r>
      <w:r>
        <w:rPr>
          <w:rFonts w:hint="eastAsia" w:eastAsia="PMingLiU"/>
          <w:sz w:val="21"/>
          <w:lang w:eastAsia="zh-TW"/>
        </w:rPr>
        <w:t>】</w:t>
      </w:r>
      <w:r>
        <w:rPr>
          <w:rFonts w:eastAsia="PMingLiU"/>
          <w:sz w:val="21"/>
          <w:lang w:eastAsia="zh-TW"/>
        </w:rPr>
        <w:t>14</w:t>
      </w:r>
      <w:r>
        <w:rPr>
          <w:rFonts w:hint="eastAsia" w:eastAsia="PMingLiU"/>
          <w:sz w:val="21"/>
          <w:lang w:eastAsia="zh-TW"/>
        </w:rPr>
        <w:t>號修訂了《企業會計準則第</w:t>
      </w:r>
      <w:r>
        <w:rPr>
          <w:rFonts w:eastAsia="PMingLiU"/>
          <w:sz w:val="21"/>
          <w:lang w:eastAsia="zh-TW"/>
        </w:rPr>
        <w:t>37</w:t>
      </w:r>
      <w:r>
        <w:rPr>
          <w:rFonts w:hint="eastAsia" w:eastAsia="PMingLiU"/>
          <w:sz w:val="21"/>
          <w:lang w:eastAsia="zh-TW"/>
        </w:rPr>
        <w:t>號——金融工具列報》；</w:t>
      </w:r>
    </w:p>
    <w:p>
      <w:pPr>
        <w:pStyle w:val="2"/>
        <w:spacing w:beforeLines="50" w:afterLines="50" w:line="320" w:lineRule="exact"/>
        <w:ind w:left="720" w:firstLine="0" w:firstLineChars="0"/>
        <w:rPr>
          <w:sz w:val="21"/>
          <w:lang w:eastAsia="zh-TW"/>
        </w:rPr>
      </w:pPr>
      <w:r>
        <w:rPr>
          <w:rFonts w:hint="eastAsia" w:ascii="PMingLiU" w:hAnsi="PMingLiU" w:eastAsia="PMingLiU"/>
          <w:sz w:val="21"/>
          <w:lang w:eastAsia="zh-TW"/>
        </w:rPr>
        <w:t>以上政策</w:t>
      </w:r>
      <w:r>
        <w:rPr>
          <w:rFonts w:hint="eastAsia" w:eastAsia="PMingLiU"/>
          <w:sz w:val="21"/>
          <w:lang w:eastAsia="zh-TW"/>
        </w:rPr>
        <w:t>自</w:t>
      </w:r>
      <w:r>
        <w:rPr>
          <w:rFonts w:eastAsia="PMingLiU"/>
          <w:sz w:val="21"/>
          <w:lang w:eastAsia="zh-TW"/>
        </w:rPr>
        <w:t>2018</w:t>
      </w:r>
      <w:r>
        <w:rPr>
          <w:rFonts w:hint="eastAsia" w:eastAsia="PMingLiU"/>
          <w:sz w:val="21"/>
          <w:lang w:eastAsia="zh-TW"/>
        </w:rPr>
        <w:t>年</w:t>
      </w:r>
      <w:r>
        <w:rPr>
          <w:rFonts w:eastAsia="PMingLiU"/>
          <w:sz w:val="21"/>
          <w:lang w:eastAsia="zh-TW"/>
        </w:rPr>
        <w:t>1</w:t>
      </w:r>
      <w:r>
        <w:rPr>
          <w:rFonts w:hint="eastAsia" w:eastAsia="PMingLiU"/>
          <w:sz w:val="21"/>
          <w:lang w:eastAsia="zh-TW"/>
        </w:rPr>
        <w:t>月</w:t>
      </w:r>
      <w:r>
        <w:rPr>
          <w:rFonts w:eastAsia="PMingLiU"/>
          <w:sz w:val="21"/>
          <w:lang w:eastAsia="zh-TW"/>
        </w:rPr>
        <w:t>1</w:t>
      </w:r>
      <w:r>
        <w:rPr>
          <w:rFonts w:hint="eastAsia" w:eastAsia="PMingLiU"/>
          <w:sz w:val="21"/>
          <w:lang w:eastAsia="zh-TW"/>
        </w:rPr>
        <w:t>日起實施。準則規定，在準則實施日，企業須按照規定對金融工具進行分類和計量，涉及前期比較財務報表數據與本準則要求不一致的，則無需調整。金融工具原賬面價值和在本準則實施日的新賬面價值之間的差額，須計入本準則實施日所在年度報告期間的期初留存收益或其他綜合收益</w:t>
      </w:r>
      <w:r>
        <w:rPr>
          <w:rFonts w:hint="eastAsia" w:ascii="PMingLiU" w:hAnsi="PMingLiU" w:eastAsia="PMingLiU"/>
          <w:sz w:val="21"/>
          <w:lang w:eastAsia="zh-TW"/>
        </w:rPr>
        <w:t>；</w:t>
      </w:r>
      <w:r>
        <w:rPr>
          <w:rFonts w:hint="eastAsia"/>
          <w:sz w:val="21"/>
          <w:lang w:eastAsia="zh-TW"/>
        </w:rPr>
        <w:t xml:space="preserve"> </w:t>
      </w:r>
    </w:p>
    <w:p>
      <w:pPr>
        <w:pStyle w:val="2"/>
        <w:numPr>
          <w:ilvl w:val="0"/>
          <w:numId w:val="1"/>
        </w:numPr>
        <w:spacing w:beforeLines="50" w:afterLines="50" w:line="320" w:lineRule="exact"/>
        <w:ind w:firstLineChars="0"/>
        <w:rPr>
          <w:sz w:val="21"/>
          <w:lang w:eastAsia="zh-TW"/>
        </w:rPr>
      </w:pPr>
      <w:r>
        <w:rPr>
          <w:rFonts w:hint="eastAsia" w:eastAsia="PMingLiU"/>
          <w:sz w:val="21"/>
          <w:lang w:eastAsia="zh-TW"/>
        </w:rPr>
        <w:t>財政部以財會【</w:t>
      </w:r>
      <w:r>
        <w:rPr>
          <w:rFonts w:eastAsia="PMingLiU"/>
          <w:sz w:val="21"/>
          <w:lang w:eastAsia="zh-TW"/>
        </w:rPr>
        <w:t>2017</w:t>
      </w:r>
      <w:r>
        <w:rPr>
          <w:rFonts w:hint="eastAsia" w:eastAsia="PMingLiU"/>
          <w:sz w:val="21"/>
          <w:lang w:eastAsia="zh-TW"/>
        </w:rPr>
        <w:t>】</w:t>
      </w:r>
      <w:r>
        <w:rPr>
          <w:rFonts w:eastAsia="PMingLiU"/>
          <w:sz w:val="21"/>
          <w:lang w:eastAsia="zh-TW"/>
        </w:rPr>
        <w:t>22</w:t>
      </w:r>
      <w:r>
        <w:rPr>
          <w:rFonts w:hint="eastAsia" w:eastAsia="PMingLiU"/>
          <w:sz w:val="21"/>
          <w:lang w:eastAsia="zh-TW"/>
        </w:rPr>
        <w:t>號發佈了《企業會計準則第</w:t>
      </w:r>
      <w:r>
        <w:rPr>
          <w:rFonts w:eastAsia="PMingLiU"/>
          <w:sz w:val="21"/>
          <w:lang w:eastAsia="zh-TW"/>
        </w:rPr>
        <w:t>14</w:t>
      </w:r>
      <w:r>
        <w:rPr>
          <w:rFonts w:hint="eastAsia" w:eastAsia="PMingLiU"/>
          <w:sz w:val="21"/>
          <w:lang w:eastAsia="zh-TW"/>
        </w:rPr>
        <w:t>號—收入》。</w:t>
      </w:r>
    </w:p>
    <w:p>
      <w:pPr>
        <w:pStyle w:val="2"/>
        <w:spacing w:beforeLines="50" w:afterLines="50" w:line="320" w:lineRule="exact"/>
        <w:ind w:left="720" w:firstLine="0" w:firstLineChars="0"/>
        <w:rPr>
          <w:rFonts w:eastAsia="PMingLiU"/>
          <w:sz w:val="21"/>
          <w:lang w:eastAsia="zh-TW"/>
        </w:rPr>
      </w:pPr>
      <w:r>
        <w:rPr>
          <w:rFonts w:hint="eastAsia" w:ascii="PMingLiU" w:hAnsi="PMingLiU" w:eastAsia="PMingLiU"/>
          <w:sz w:val="21"/>
          <w:lang w:eastAsia="zh-TW"/>
        </w:rPr>
        <w:t>以上政策</w:t>
      </w:r>
      <w:r>
        <w:rPr>
          <w:rFonts w:hint="eastAsia" w:eastAsia="PMingLiU"/>
          <w:sz w:val="21"/>
          <w:lang w:eastAsia="zh-TW"/>
        </w:rPr>
        <w:t>自</w:t>
      </w:r>
      <w:r>
        <w:rPr>
          <w:rFonts w:eastAsia="PMingLiU"/>
          <w:sz w:val="21"/>
          <w:lang w:eastAsia="zh-TW"/>
        </w:rPr>
        <w:t>2018</w:t>
      </w:r>
      <w:r>
        <w:rPr>
          <w:rFonts w:hint="eastAsia" w:eastAsia="PMingLiU"/>
          <w:sz w:val="21"/>
          <w:lang w:eastAsia="zh-TW"/>
        </w:rPr>
        <w:t>年</w:t>
      </w:r>
      <w:r>
        <w:rPr>
          <w:rFonts w:eastAsia="PMingLiU"/>
          <w:sz w:val="21"/>
          <w:lang w:eastAsia="zh-TW"/>
        </w:rPr>
        <w:t>1</w:t>
      </w:r>
      <w:r>
        <w:rPr>
          <w:rFonts w:hint="eastAsia" w:eastAsia="PMingLiU"/>
          <w:sz w:val="21"/>
          <w:lang w:eastAsia="zh-TW"/>
        </w:rPr>
        <w:t>月</w:t>
      </w:r>
      <w:r>
        <w:rPr>
          <w:rFonts w:eastAsia="PMingLiU"/>
          <w:sz w:val="21"/>
          <w:lang w:eastAsia="zh-TW"/>
        </w:rPr>
        <w:t>1</w:t>
      </w:r>
      <w:r>
        <w:rPr>
          <w:rFonts w:hint="eastAsia" w:eastAsia="PMingLiU"/>
          <w:sz w:val="21"/>
          <w:lang w:eastAsia="zh-TW"/>
        </w:rPr>
        <w:t>日起實施。準則規定，首次執行本準則的企業，須根據首次執行本準則的累計影響數，調整首次執行本準則當年年初留存收益及財務報表其他項目金額，對可比期間信息不予調整。同時，企業須於附注中披露，與收入相關會計準則制度的原規定相比，執行本準則對當期財務報表相關項目的影響金額，如有重大影響的，</w:t>
      </w:r>
      <w:r>
        <w:rPr>
          <w:rFonts w:hint="eastAsia" w:ascii="PMingLiU" w:hAnsi="PMingLiU" w:eastAsia="PMingLiU"/>
          <w:sz w:val="21"/>
          <w:lang w:eastAsia="zh-TW"/>
        </w:rPr>
        <w:t>須</w:t>
      </w:r>
      <w:r>
        <w:rPr>
          <w:rFonts w:hint="eastAsia" w:eastAsia="PMingLiU"/>
          <w:sz w:val="21"/>
          <w:lang w:eastAsia="zh-TW"/>
        </w:rPr>
        <w:t>披露其原因。</w:t>
      </w:r>
      <w:r>
        <w:rPr>
          <w:rFonts w:hint="eastAsia"/>
          <w:sz w:val="21"/>
          <w:lang w:eastAsia="zh-TW"/>
        </w:rPr>
        <w:t xml:space="preserve"> </w:t>
      </w:r>
    </w:p>
    <w:p>
      <w:pPr>
        <w:pStyle w:val="10"/>
        <w:ind w:right="440"/>
        <w:jc w:val="both"/>
        <w:rPr>
          <w:rFonts w:eastAsia="PMingLiU"/>
          <w:sz w:val="21"/>
          <w:lang w:eastAsia="zh-TW"/>
        </w:rPr>
      </w:pPr>
    </w:p>
    <w:p>
      <w:pPr>
        <w:pStyle w:val="10"/>
        <w:ind w:right="440"/>
        <w:jc w:val="both"/>
        <w:rPr>
          <w:rFonts w:ascii="Calibri" w:hAnsi="Calibri" w:eastAsia="PMingLiU" w:cs="Times New Roman"/>
          <w:i/>
          <w:color w:val="auto"/>
          <w:sz w:val="21"/>
          <w:szCs w:val="21"/>
          <w:lang w:eastAsia="zh-TW"/>
        </w:rPr>
      </w:pPr>
      <w:r>
        <w:rPr>
          <w:rFonts w:hint="eastAsia" w:eastAsia="PMingLiU"/>
          <w:i/>
          <w:sz w:val="21"/>
          <w:lang w:eastAsia="zh-TW"/>
        </w:rPr>
        <w:t>會計政策變更後採用的會計政策</w:t>
      </w:r>
      <w:r>
        <w:rPr>
          <w:rFonts w:hint="eastAsia" w:ascii="Calibri" w:hAnsi="Calibri" w:eastAsia="PMingLiU"/>
          <w:i/>
          <w:sz w:val="21"/>
          <w:lang w:eastAsia="zh-TW"/>
        </w:rPr>
        <w:t>及其影響</w:t>
      </w:r>
    </w:p>
    <w:p>
      <w:pPr>
        <w:pStyle w:val="2"/>
        <w:spacing w:beforeLines="50" w:afterLines="50" w:line="320" w:lineRule="exact"/>
        <w:ind w:firstLine="0" w:firstLineChars="0"/>
        <w:rPr>
          <w:sz w:val="21"/>
          <w:szCs w:val="21"/>
          <w:lang w:eastAsia="zh-TW"/>
        </w:rPr>
      </w:pPr>
      <w:r>
        <w:rPr>
          <w:rFonts w:hint="eastAsia" w:eastAsia="PMingLiU"/>
          <w:sz w:val="21"/>
          <w:lang w:eastAsia="zh-TW"/>
        </w:rPr>
        <w:t>財政部修訂的《企業會計準則第</w:t>
      </w:r>
      <w:r>
        <w:rPr>
          <w:rFonts w:eastAsia="PMingLiU"/>
          <w:sz w:val="21"/>
          <w:lang w:eastAsia="zh-TW"/>
        </w:rPr>
        <w:t>22</w:t>
      </w:r>
      <w:r>
        <w:rPr>
          <w:rFonts w:hint="eastAsia" w:eastAsia="PMingLiU"/>
          <w:sz w:val="21"/>
          <w:lang w:eastAsia="zh-TW"/>
        </w:rPr>
        <w:t>號—金融工具確認和計量》、《企業會計準則第</w:t>
      </w:r>
      <w:r>
        <w:rPr>
          <w:rFonts w:eastAsia="PMingLiU"/>
          <w:sz w:val="21"/>
          <w:lang w:eastAsia="zh-TW"/>
        </w:rPr>
        <w:t>23</w:t>
      </w:r>
      <w:r>
        <w:rPr>
          <w:rFonts w:hint="eastAsia" w:eastAsia="PMingLiU"/>
          <w:sz w:val="21"/>
          <w:lang w:eastAsia="zh-TW"/>
        </w:rPr>
        <w:t>號—金融資產轉移》、《企業會計準則第</w:t>
      </w:r>
      <w:r>
        <w:rPr>
          <w:rFonts w:eastAsia="PMingLiU"/>
          <w:sz w:val="21"/>
          <w:lang w:eastAsia="zh-TW"/>
        </w:rPr>
        <w:t>24</w:t>
      </w:r>
      <w:r>
        <w:rPr>
          <w:rFonts w:hint="eastAsia" w:eastAsia="PMingLiU"/>
          <w:sz w:val="21"/>
          <w:lang w:eastAsia="zh-TW"/>
        </w:rPr>
        <w:t>號—套期會計》</w:t>
      </w:r>
      <w:r>
        <w:rPr>
          <w:rFonts w:hint="eastAsia" w:ascii="PMingLiU" w:hAnsi="PMingLiU" w:eastAsia="PMingLiU"/>
          <w:sz w:val="21"/>
          <w:lang w:eastAsia="zh-TW"/>
        </w:rPr>
        <w:t>及</w:t>
      </w:r>
      <w:r>
        <w:rPr>
          <w:rFonts w:hint="eastAsia" w:eastAsia="PMingLiU"/>
          <w:sz w:val="21"/>
          <w:lang w:eastAsia="zh-TW"/>
        </w:rPr>
        <w:t>《企業會計準則第</w:t>
      </w:r>
      <w:r>
        <w:rPr>
          <w:rFonts w:eastAsia="PMingLiU"/>
          <w:sz w:val="21"/>
          <w:lang w:eastAsia="zh-TW"/>
        </w:rPr>
        <w:t>37</w:t>
      </w:r>
      <w:r>
        <w:rPr>
          <w:rFonts w:hint="eastAsia" w:eastAsia="PMingLiU"/>
          <w:sz w:val="21"/>
          <w:lang w:eastAsia="zh-TW"/>
        </w:rPr>
        <w:t>號——金融工具列報》，修訂的主要內容包括：（</w:t>
      </w:r>
      <w:r>
        <w:rPr>
          <w:rFonts w:eastAsia="PMingLiU"/>
          <w:sz w:val="21"/>
          <w:lang w:eastAsia="zh-TW"/>
        </w:rPr>
        <w:t>1</w:t>
      </w:r>
      <w:r>
        <w:rPr>
          <w:rFonts w:hint="eastAsia" w:eastAsia="PMingLiU"/>
          <w:sz w:val="21"/>
          <w:lang w:eastAsia="zh-TW"/>
        </w:rPr>
        <w:t>）以持有金融資產的“業務模式”和“合同現金流量特徵”作為金融資產分類的判斷依據，將金融資產分類為“以攤余成本計量的金融資產”、“以公允價值計量且其變動計入其他綜合收益的金融資產”和“以公允價值計量且其變動計入當期損益的金融資產”三類；（</w:t>
      </w:r>
      <w:r>
        <w:rPr>
          <w:rFonts w:eastAsia="PMingLiU"/>
          <w:sz w:val="21"/>
          <w:lang w:eastAsia="zh-TW"/>
        </w:rPr>
        <w:t>2</w:t>
      </w:r>
      <w:r>
        <w:rPr>
          <w:rFonts w:hint="eastAsia" w:eastAsia="PMingLiU"/>
          <w:sz w:val="21"/>
          <w:lang w:eastAsia="zh-TW"/>
        </w:rPr>
        <w:t>）金融資產減值損失由“已發生損失法”改為“預期損失法”，以更加及時、足額地計提金融資產</w:t>
      </w:r>
      <w:r>
        <w:rPr>
          <w:rFonts w:hint="eastAsia" w:eastAsia="PMingLiU"/>
          <w:sz w:val="21"/>
          <w:szCs w:val="21"/>
          <w:lang w:eastAsia="zh-TW"/>
        </w:rPr>
        <w:t>減值準備，揭示和防控金融資產信用風險；（</w:t>
      </w:r>
      <w:r>
        <w:rPr>
          <w:rFonts w:eastAsia="PMingLiU"/>
          <w:sz w:val="21"/>
          <w:szCs w:val="21"/>
          <w:lang w:eastAsia="zh-TW"/>
        </w:rPr>
        <w:t>3</w:t>
      </w:r>
      <w:r>
        <w:rPr>
          <w:rFonts w:hint="eastAsia" w:eastAsia="PMingLiU"/>
          <w:sz w:val="21"/>
          <w:szCs w:val="21"/>
          <w:lang w:eastAsia="zh-TW"/>
        </w:rPr>
        <w:t>）指定為以公允價值計量且其變動計入其他綜合收益的金融資產的非交易性權益工具投資，後續計量計入其他綜合收益的部分在處置時不能轉入當期損益，改為直接調整留存收益；（</w:t>
      </w:r>
      <w:r>
        <w:rPr>
          <w:rFonts w:eastAsia="PMingLiU"/>
          <w:sz w:val="21"/>
          <w:szCs w:val="21"/>
          <w:lang w:eastAsia="zh-TW"/>
        </w:rPr>
        <w:t>4</w:t>
      </w:r>
      <w:r>
        <w:rPr>
          <w:rFonts w:hint="eastAsia" w:eastAsia="PMingLiU"/>
          <w:sz w:val="21"/>
          <w:szCs w:val="21"/>
          <w:lang w:eastAsia="zh-TW"/>
        </w:rPr>
        <w:t>）修訂套期會計相關規定，使套期會計更加如實地反映企業的風險管理活動；（</w:t>
      </w:r>
      <w:r>
        <w:rPr>
          <w:rFonts w:eastAsia="PMingLiU"/>
          <w:sz w:val="21"/>
          <w:szCs w:val="21"/>
          <w:lang w:eastAsia="zh-TW"/>
        </w:rPr>
        <w:t>5</w:t>
      </w:r>
      <w:r>
        <w:rPr>
          <w:rFonts w:hint="eastAsia" w:eastAsia="PMingLiU"/>
          <w:sz w:val="21"/>
          <w:szCs w:val="21"/>
          <w:lang w:eastAsia="zh-TW"/>
        </w:rPr>
        <w:t>）金融資產轉移的判斷原則及其會計處理進一步明確；（</w:t>
      </w:r>
      <w:r>
        <w:rPr>
          <w:rFonts w:eastAsia="PMingLiU"/>
          <w:sz w:val="21"/>
          <w:szCs w:val="21"/>
          <w:lang w:eastAsia="zh-TW"/>
        </w:rPr>
        <w:t>6</w:t>
      </w:r>
      <w:r>
        <w:rPr>
          <w:rFonts w:hint="eastAsia" w:eastAsia="PMingLiU"/>
          <w:sz w:val="21"/>
          <w:szCs w:val="21"/>
          <w:lang w:eastAsia="zh-TW"/>
        </w:rPr>
        <w:t>）金融工具披露要求相應調整。</w:t>
      </w:r>
    </w:p>
    <w:p>
      <w:pPr>
        <w:pStyle w:val="2"/>
        <w:spacing w:beforeLines="50" w:afterLines="50" w:line="320" w:lineRule="exact"/>
        <w:ind w:firstLine="0" w:firstLineChars="0"/>
        <w:rPr>
          <w:sz w:val="21"/>
          <w:lang w:eastAsia="zh-TW"/>
        </w:rPr>
      </w:pPr>
      <w:r>
        <w:rPr>
          <w:rFonts w:hint="eastAsia" w:eastAsia="PMingLiU"/>
          <w:sz w:val="21"/>
          <w:lang w:eastAsia="zh-TW"/>
        </w:rPr>
        <w:t>財政部修訂的《企業會計準則第</w:t>
      </w:r>
      <w:r>
        <w:rPr>
          <w:rFonts w:eastAsia="PMingLiU"/>
          <w:sz w:val="21"/>
          <w:lang w:eastAsia="zh-TW"/>
        </w:rPr>
        <w:t>14</w:t>
      </w:r>
      <w:r>
        <w:rPr>
          <w:rFonts w:hint="eastAsia" w:eastAsia="PMingLiU"/>
          <w:sz w:val="21"/>
          <w:lang w:eastAsia="zh-TW"/>
        </w:rPr>
        <w:t>號—收入》，修訂的主要內容包括：（</w:t>
      </w:r>
      <w:r>
        <w:rPr>
          <w:rFonts w:eastAsia="PMingLiU"/>
          <w:sz w:val="21"/>
          <w:lang w:eastAsia="zh-TW"/>
        </w:rPr>
        <w:t>1</w:t>
      </w:r>
      <w:r>
        <w:rPr>
          <w:rFonts w:hint="eastAsia" w:eastAsia="PMingLiU"/>
          <w:sz w:val="21"/>
          <w:lang w:eastAsia="zh-TW"/>
        </w:rPr>
        <w:t>）將現行收入和建造合同兩項準則納入統一的收入確認模型；（</w:t>
      </w:r>
      <w:r>
        <w:rPr>
          <w:rFonts w:eastAsia="PMingLiU"/>
          <w:sz w:val="21"/>
          <w:lang w:eastAsia="zh-TW"/>
        </w:rPr>
        <w:t>2</w:t>
      </w:r>
      <w:r>
        <w:rPr>
          <w:rFonts w:hint="eastAsia" w:eastAsia="PMingLiU"/>
          <w:sz w:val="21"/>
          <w:lang w:eastAsia="zh-TW"/>
        </w:rPr>
        <w:t>）以控制權轉移替代風險報酬轉移作為收入確認時點的判斷標準；（</w:t>
      </w:r>
      <w:r>
        <w:rPr>
          <w:rFonts w:eastAsia="PMingLiU"/>
          <w:sz w:val="21"/>
          <w:lang w:eastAsia="zh-TW"/>
        </w:rPr>
        <w:t>3</w:t>
      </w:r>
      <w:r>
        <w:rPr>
          <w:rFonts w:hint="eastAsia" w:eastAsia="PMingLiU"/>
          <w:sz w:val="21"/>
          <w:lang w:eastAsia="zh-TW"/>
        </w:rPr>
        <w:t>）對於包含多重交易安排的合同的會計處理提供更明確的指引；（</w:t>
      </w:r>
      <w:r>
        <w:rPr>
          <w:rFonts w:eastAsia="PMingLiU"/>
          <w:sz w:val="21"/>
          <w:lang w:eastAsia="zh-TW"/>
        </w:rPr>
        <w:t>4</w:t>
      </w:r>
      <w:r>
        <w:rPr>
          <w:rFonts w:hint="eastAsia" w:eastAsia="PMingLiU"/>
          <w:sz w:val="21"/>
          <w:lang w:eastAsia="zh-TW"/>
        </w:rPr>
        <w:t>）對於某些特定交易（或事項）的收入確認和計量給出了明確規定。</w:t>
      </w:r>
      <w:r>
        <w:rPr>
          <w:rFonts w:hint="eastAsia"/>
          <w:sz w:val="21"/>
          <w:lang w:eastAsia="zh-TW"/>
        </w:rPr>
        <w:t xml:space="preserve"> </w:t>
      </w:r>
    </w:p>
    <w:p>
      <w:pPr>
        <w:pStyle w:val="2"/>
        <w:spacing w:beforeLines="50" w:afterLines="50" w:line="320" w:lineRule="exact"/>
        <w:ind w:firstLine="0" w:firstLineChars="0"/>
        <w:rPr>
          <w:sz w:val="21"/>
          <w:lang w:eastAsia="zh-TW"/>
        </w:rPr>
      </w:pPr>
      <w:r>
        <w:rPr>
          <w:rFonts w:hint="eastAsia" w:eastAsia="PMingLiU"/>
          <w:sz w:val="21"/>
          <w:lang w:eastAsia="zh-TW"/>
        </w:rPr>
        <w:t>上述收入會計政策變更預計不會導致本公司收入確認方式發生重大變化，對本公司當期及前期的淨利潤、總資產和淨資產不產生重大影響。上述金融工具相關會計政策變更對本公司</w:t>
      </w:r>
      <w:r>
        <w:rPr>
          <w:rFonts w:eastAsia="PMingLiU"/>
          <w:sz w:val="21"/>
          <w:lang w:eastAsia="zh-TW"/>
        </w:rPr>
        <w:t>2018</w:t>
      </w:r>
      <w:r>
        <w:rPr>
          <w:rFonts w:hint="eastAsia" w:eastAsia="PMingLiU"/>
          <w:sz w:val="21"/>
          <w:lang w:eastAsia="zh-TW"/>
        </w:rPr>
        <w:t>年期初留存收益和其他綜合收益不產生重大影響，也無需進行追溯調整。</w:t>
      </w:r>
    </w:p>
    <w:p>
      <w:pPr>
        <w:pStyle w:val="10"/>
        <w:ind w:right="440"/>
        <w:jc w:val="both"/>
        <w:rPr>
          <w:rFonts w:ascii="宋体" w:hAnsi="宋体" w:eastAsia="PMingLiU" w:cs="Times New Roman"/>
          <w:color w:val="auto"/>
          <w:sz w:val="21"/>
          <w:szCs w:val="21"/>
          <w:lang w:eastAsia="zh-TW"/>
        </w:rPr>
      </w:pPr>
    </w:p>
    <w:p>
      <w:pPr>
        <w:pStyle w:val="2"/>
        <w:spacing w:beforeLines="50" w:afterLines="50" w:line="320" w:lineRule="exact"/>
        <w:ind w:firstLine="0" w:firstLineChars="0"/>
        <w:rPr>
          <w:rFonts w:eastAsia="PMingLiU"/>
          <w:sz w:val="21"/>
          <w:szCs w:val="21"/>
          <w:lang w:eastAsia="zh-TW"/>
        </w:rPr>
      </w:pPr>
      <w:r>
        <w:rPr>
          <w:rFonts w:hint="eastAsia" w:eastAsia="PMingLiU"/>
          <w:sz w:val="21"/>
          <w:lang w:eastAsia="zh-TW"/>
        </w:rPr>
        <w:t>由於上述會計準則的變化，</w:t>
      </w:r>
      <w:r>
        <w:rPr>
          <w:rFonts w:hint="eastAsia" w:ascii="PMingLiU" w:hAnsi="PMingLiU" w:eastAsia="PMingLiU"/>
          <w:sz w:val="21"/>
          <w:lang w:eastAsia="zh-TW"/>
        </w:rPr>
        <w:t>自本報告期業績</w:t>
      </w:r>
      <w:r>
        <w:rPr>
          <w:rFonts w:hint="eastAsia" w:eastAsia="PMingLiU"/>
          <w:sz w:val="21"/>
          <w:lang w:eastAsia="zh-TW"/>
        </w:rPr>
        <w:t>開始公司須對原會計政策進行相應變更並執行上述經</w:t>
      </w:r>
      <w:r>
        <w:rPr>
          <w:rFonts w:hint="eastAsia" w:eastAsia="PMingLiU"/>
          <w:sz w:val="21"/>
          <w:szCs w:val="21"/>
          <w:lang w:eastAsia="zh-TW"/>
        </w:rPr>
        <w:t>更新後的會計政策</w:t>
      </w:r>
      <w:r>
        <w:rPr>
          <w:rFonts w:hint="eastAsia" w:eastAsia="PMingLiU"/>
          <w:sz w:val="21"/>
          <w:lang w:eastAsia="zh-TW"/>
        </w:rPr>
        <w:t>。</w:t>
      </w:r>
      <w:r>
        <w:rPr>
          <w:rFonts w:eastAsia="PMingLiU"/>
          <w:sz w:val="21"/>
          <w:lang w:eastAsia="zh-TW"/>
        </w:rPr>
        <w:t xml:space="preserve"> </w:t>
      </w:r>
      <w:r>
        <w:rPr>
          <w:rFonts w:hint="eastAsia" w:eastAsia="PMingLiU"/>
          <w:sz w:val="21"/>
          <w:szCs w:val="21"/>
          <w:lang w:eastAsia="zh-TW"/>
        </w:rPr>
        <w:t>董事會已於本公告日期審議並通過上述對適用會計政策的變更，而本公告所披露之本報告期內數據已經採納並反映有關經更新後的會計政策。</w:t>
      </w:r>
    </w:p>
    <w:p>
      <w:pPr>
        <w:pStyle w:val="10"/>
        <w:ind w:right="440"/>
        <w:jc w:val="both"/>
        <w:rPr>
          <w:rFonts w:ascii="宋体" w:hAnsi="宋体" w:eastAsia="PMingLiU" w:cs="Times New Roman"/>
          <w:color w:val="auto"/>
          <w:sz w:val="21"/>
          <w:szCs w:val="21"/>
          <w:lang w:eastAsia="zh-TW"/>
        </w:rPr>
      </w:pPr>
    </w:p>
    <w:p>
      <w:pPr>
        <w:pStyle w:val="10"/>
        <w:ind w:right="440"/>
        <w:jc w:val="both"/>
        <w:rPr>
          <w:rFonts w:ascii="宋体" w:hAnsi="宋体" w:eastAsia="PMingLiU" w:cs="Times New Roman"/>
          <w:color w:val="auto"/>
          <w:sz w:val="21"/>
          <w:szCs w:val="21"/>
          <w:lang w:eastAsia="zh-TW"/>
        </w:rPr>
      </w:pPr>
    </w:p>
    <w:p>
      <w:pPr>
        <w:pStyle w:val="10"/>
        <w:ind w:right="440"/>
        <w:jc w:val="right"/>
        <w:rPr>
          <w:rFonts w:ascii="宋体" w:hAnsi="宋体" w:eastAsia="宋体" w:cs="Times New Roman"/>
          <w:color w:val="auto"/>
          <w:sz w:val="21"/>
          <w:szCs w:val="21"/>
          <w:lang w:eastAsia="zh-TW"/>
        </w:rPr>
      </w:pPr>
    </w:p>
    <w:p>
      <w:pPr>
        <w:pStyle w:val="10"/>
        <w:ind w:right="440"/>
        <w:jc w:val="right"/>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山東新華製藥股份有限公司</w:t>
      </w:r>
    </w:p>
    <w:p>
      <w:pPr>
        <w:pStyle w:val="10"/>
        <w:ind w:right="380" w:firstLine="7245" w:firstLineChars="3450"/>
        <w:rPr>
          <w:rFonts w:ascii="宋体" w:hAnsi="宋体" w:eastAsia="PMingLiU" w:cs="Times New Roman"/>
          <w:color w:val="auto"/>
          <w:sz w:val="21"/>
          <w:szCs w:val="21"/>
          <w:lang w:eastAsia="zh-TW"/>
        </w:rPr>
      </w:pPr>
      <w:r>
        <w:rPr>
          <w:rFonts w:hint="eastAsia" w:ascii="宋体" w:hAnsi="宋体" w:eastAsia="PMingLiU" w:cs="PMingLiU"/>
          <w:color w:val="auto"/>
          <w:sz w:val="21"/>
          <w:szCs w:val="21"/>
          <w:lang w:eastAsia="zh-TW"/>
        </w:rPr>
        <w:t>承董事會命</w:t>
      </w:r>
    </w:p>
    <w:p>
      <w:pPr>
        <w:pStyle w:val="10"/>
        <w:ind w:right="380"/>
        <w:jc w:val="center"/>
        <w:rPr>
          <w:rFonts w:ascii="宋体" w:hAnsi="宋体" w:eastAsia="宋体" w:cs="Times New Roman"/>
          <w:color w:val="auto"/>
          <w:sz w:val="21"/>
          <w:szCs w:val="21"/>
          <w:lang w:eastAsia="zh-TW"/>
        </w:rPr>
      </w:pPr>
      <w:r>
        <w:rPr>
          <w:rFonts w:ascii="宋体" w:hAnsi="宋体" w:eastAsia="PMingLiU" w:cs="宋体"/>
          <w:color w:val="auto"/>
          <w:sz w:val="21"/>
          <w:szCs w:val="21"/>
          <w:lang w:eastAsia="zh-TW"/>
        </w:rPr>
        <w:t xml:space="preserve">                                                            </w:t>
      </w:r>
      <w:r>
        <w:rPr>
          <w:rFonts w:hint="eastAsia" w:ascii="宋体" w:hAnsi="宋体" w:eastAsia="PMingLiU" w:cs="PMingLiU"/>
          <w:color w:val="auto"/>
          <w:sz w:val="21"/>
          <w:szCs w:val="21"/>
          <w:lang w:eastAsia="zh-TW"/>
        </w:rPr>
        <w:t>張代銘</w:t>
      </w:r>
    </w:p>
    <w:p>
      <w:pPr>
        <w:pStyle w:val="10"/>
        <w:ind w:right="380"/>
        <w:jc w:val="center"/>
        <w:rPr>
          <w:rFonts w:ascii="宋体" w:hAnsi="宋体" w:eastAsia="宋体" w:cs="Times New Roman"/>
          <w:color w:val="auto"/>
          <w:sz w:val="21"/>
          <w:szCs w:val="21"/>
          <w:lang w:eastAsia="zh-TW"/>
        </w:rPr>
      </w:pPr>
      <w:r>
        <w:rPr>
          <w:rFonts w:ascii="宋体" w:hAnsi="宋体" w:eastAsia="PMingLiU" w:cs="宋体"/>
          <w:color w:val="auto"/>
          <w:sz w:val="21"/>
          <w:szCs w:val="21"/>
          <w:lang w:eastAsia="zh-TW"/>
        </w:rPr>
        <w:t xml:space="preserve">                                                            </w:t>
      </w:r>
      <w:r>
        <w:rPr>
          <w:rFonts w:hint="eastAsia" w:ascii="宋体" w:hAnsi="宋体" w:eastAsia="PMingLiU" w:cs="PMingLiU"/>
          <w:color w:val="auto"/>
          <w:sz w:val="21"/>
          <w:szCs w:val="21"/>
          <w:lang w:eastAsia="zh-TW"/>
        </w:rPr>
        <w:t>董事長</w:t>
      </w:r>
    </w:p>
    <w:p>
      <w:pPr>
        <w:pStyle w:val="10"/>
        <w:ind w:right="380"/>
        <w:rPr>
          <w:rFonts w:ascii="宋体" w:hAnsi="宋体" w:eastAsia="宋体" w:cs="Times New Roman"/>
          <w:color w:val="auto"/>
          <w:sz w:val="21"/>
          <w:szCs w:val="21"/>
          <w:lang w:eastAsia="zh-TW"/>
        </w:rPr>
      </w:pPr>
      <w:r>
        <w:rPr>
          <w:rFonts w:hint="eastAsia" w:ascii="宋体" w:hAnsi="宋体" w:eastAsia="PMingLiU" w:cs="PMingLiU"/>
          <w:color w:val="auto"/>
          <w:sz w:val="21"/>
          <w:szCs w:val="21"/>
          <w:lang w:eastAsia="zh-TW"/>
        </w:rPr>
        <w:t>二零一</w:t>
      </w:r>
      <w:r>
        <w:rPr>
          <w:rFonts w:hint="eastAsia" w:ascii="宋体" w:hAnsi="宋体" w:eastAsia="宋体" w:cs="PMingLiU"/>
          <w:color w:val="auto"/>
          <w:sz w:val="21"/>
          <w:szCs w:val="21"/>
          <w:lang w:eastAsia="zh-TW"/>
        </w:rPr>
        <w:t>八</w:t>
      </w:r>
      <w:r>
        <w:rPr>
          <w:rFonts w:hint="eastAsia" w:ascii="宋体" w:hAnsi="宋体" w:eastAsia="PMingLiU" w:cs="PMingLiU"/>
          <w:color w:val="auto"/>
          <w:sz w:val="21"/>
          <w:szCs w:val="21"/>
          <w:lang w:eastAsia="zh-TW"/>
        </w:rPr>
        <w:t>年四月</w:t>
      </w:r>
      <w:r>
        <w:rPr>
          <w:rFonts w:hint="eastAsia" w:ascii="宋体" w:hAnsi="宋体" w:eastAsia="宋体" w:cs="PMingLiU"/>
          <w:color w:val="auto"/>
          <w:sz w:val="21"/>
          <w:szCs w:val="21"/>
          <w:lang w:eastAsia="zh-TW"/>
        </w:rPr>
        <w:t>二十</w:t>
      </w:r>
      <w:r>
        <w:rPr>
          <w:rFonts w:hint="eastAsia" w:ascii="宋体" w:hAnsi="宋体" w:eastAsia="PMingLiU" w:cs="PMingLiU"/>
          <w:color w:val="auto"/>
          <w:sz w:val="21"/>
          <w:szCs w:val="21"/>
          <w:lang w:eastAsia="zh-TW"/>
        </w:rPr>
        <w:t>日，中國</w:t>
      </w:r>
      <w:r>
        <w:rPr>
          <w:rFonts w:ascii="宋体" w:hAnsi="宋体" w:eastAsia="PMingLiU" w:cs="宋体"/>
          <w:color w:val="auto"/>
          <w:sz w:val="21"/>
          <w:szCs w:val="21"/>
          <w:lang w:eastAsia="zh-TW"/>
        </w:rPr>
        <w:t xml:space="preserve"> </w:t>
      </w:r>
      <w:r>
        <w:rPr>
          <w:rFonts w:hint="eastAsia" w:ascii="宋体" w:hAnsi="宋体" w:eastAsia="PMingLiU" w:cs="PMingLiU"/>
          <w:color w:val="auto"/>
          <w:sz w:val="21"/>
          <w:szCs w:val="21"/>
          <w:lang w:eastAsia="zh-TW"/>
        </w:rPr>
        <w:t>淄博</w:t>
      </w:r>
    </w:p>
    <w:p>
      <w:pPr>
        <w:pStyle w:val="10"/>
        <w:ind w:right="380"/>
        <w:rPr>
          <w:rFonts w:ascii="宋体" w:hAnsi="宋体" w:eastAsia="PMingLiU" w:cs="Times New Roman"/>
          <w:color w:val="auto"/>
          <w:sz w:val="21"/>
          <w:szCs w:val="21"/>
          <w:lang w:eastAsia="zh-TW"/>
        </w:rPr>
      </w:pPr>
    </w:p>
    <w:p>
      <w:pPr>
        <w:autoSpaceDE w:val="0"/>
        <w:autoSpaceDN w:val="0"/>
        <w:adjustRightInd w:val="0"/>
        <w:rPr>
          <w:rFonts w:eastAsia="PMingLiU"/>
          <w:lang w:eastAsia="zh-TW"/>
        </w:rPr>
      </w:pPr>
      <w:r>
        <w:rPr>
          <w:rFonts w:hint="eastAsia" w:eastAsia="PMingLiU" w:cs="PMingLiU"/>
          <w:lang w:eastAsia="zh-TW"/>
        </w:rPr>
        <w:t>於本公告日期，本公司董事會由下列董事組成：</w:t>
      </w:r>
    </w:p>
    <w:p>
      <w:pPr>
        <w:autoSpaceDE w:val="0"/>
        <w:autoSpaceDN w:val="0"/>
        <w:adjustRightInd w:val="0"/>
        <w:rPr>
          <w:rFonts w:eastAsia="PMingLiU"/>
          <w:lang w:eastAsia="zh-TW"/>
        </w:rPr>
      </w:pPr>
    </w:p>
    <w:tbl>
      <w:tblPr>
        <w:tblW w:w="83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4181"/>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181" w:type="dxa"/>
            <w:vAlign w:val="top"/>
          </w:tcPr>
          <w:p>
            <w:pPr>
              <w:autoSpaceDE w:val="0"/>
              <w:autoSpaceDN w:val="0"/>
              <w:adjustRightInd w:val="0"/>
              <w:rPr>
                <w:rFonts w:eastAsia="PMingLiU"/>
                <w:lang w:eastAsia="zh-TW"/>
              </w:rPr>
            </w:pPr>
            <w:r>
              <w:rPr>
                <w:rFonts w:hint="eastAsia" w:eastAsia="PMingLiU" w:cs="PMingLiU"/>
                <w:lang w:eastAsia="zh-TW"/>
              </w:rPr>
              <w:t>執行董事：</w:t>
            </w:r>
          </w:p>
          <w:p>
            <w:pPr>
              <w:autoSpaceDE w:val="0"/>
              <w:autoSpaceDN w:val="0"/>
              <w:adjustRightInd w:val="0"/>
              <w:rPr>
                <w:rFonts w:eastAsia="PMingLiU"/>
                <w:lang w:eastAsia="zh-TW"/>
              </w:rPr>
            </w:pPr>
            <w:r>
              <w:rPr>
                <w:rFonts w:hint="eastAsia" w:eastAsia="PMingLiU" w:cs="PMingLiU"/>
                <w:lang w:eastAsia="zh-TW"/>
              </w:rPr>
              <w:t>張代銘先生（董事長）</w:t>
            </w:r>
          </w:p>
          <w:p>
            <w:pPr>
              <w:autoSpaceDE w:val="0"/>
              <w:autoSpaceDN w:val="0"/>
              <w:adjustRightInd w:val="0"/>
            </w:pPr>
            <w:r>
              <w:rPr>
                <w:rFonts w:hint="eastAsia" w:eastAsia="PMingLiU" w:cs="PMingLiU"/>
                <w:lang w:eastAsia="zh-TW"/>
              </w:rPr>
              <w:t>杜德平先生</w:t>
            </w:r>
          </w:p>
          <w:p>
            <w:pPr>
              <w:autoSpaceDE w:val="0"/>
              <w:autoSpaceDN w:val="0"/>
              <w:adjustRightInd w:val="0"/>
              <w:rPr>
                <w:rFonts w:eastAsia="PMingLiU"/>
                <w:lang w:eastAsia="zh-TW"/>
              </w:rPr>
            </w:pPr>
          </w:p>
        </w:tc>
        <w:tc>
          <w:tcPr>
            <w:tcW w:w="4181" w:type="dxa"/>
            <w:vAlign w:val="top"/>
          </w:tcPr>
          <w:p>
            <w:pPr>
              <w:autoSpaceDE w:val="0"/>
              <w:autoSpaceDN w:val="0"/>
              <w:adjustRightInd w:val="0"/>
              <w:rPr>
                <w:rFonts w:eastAsia="PMingLiU"/>
                <w:lang w:eastAsia="zh-TW"/>
              </w:rPr>
            </w:pPr>
            <w:r>
              <w:rPr>
                <w:rFonts w:hint="eastAsia" w:eastAsia="PMingLiU" w:cs="PMingLiU"/>
                <w:lang w:eastAsia="zh-TW"/>
              </w:rPr>
              <w:t>獨立非執行董事：</w:t>
            </w:r>
          </w:p>
          <w:p>
            <w:pPr>
              <w:autoSpaceDE w:val="0"/>
              <w:autoSpaceDN w:val="0"/>
              <w:adjustRightInd w:val="0"/>
              <w:rPr>
                <w:rFonts w:eastAsia="PMingLiU"/>
                <w:lang w:eastAsia="zh-TW"/>
              </w:rPr>
            </w:pPr>
            <w:r>
              <w:rPr>
                <w:rFonts w:hint="eastAsia" w:eastAsia="PMingLiU" w:cs="PMingLiU"/>
                <w:lang w:eastAsia="zh-TW"/>
              </w:rPr>
              <w:t>杜冠華先生</w:t>
            </w:r>
          </w:p>
          <w:p>
            <w:pPr>
              <w:autoSpaceDE w:val="0"/>
              <w:autoSpaceDN w:val="0"/>
              <w:adjustRightInd w:val="0"/>
              <w:rPr>
                <w:rFonts w:cs="PMingLiU"/>
              </w:rPr>
            </w:pPr>
            <w:r>
              <w:rPr>
                <w:rFonts w:hint="eastAsia" w:eastAsia="PMingLiU" w:cs="PMingLiU"/>
                <w:lang w:eastAsia="zh-TW"/>
              </w:rPr>
              <w:t>李文明先生</w:t>
            </w:r>
          </w:p>
          <w:p>
            <w:pPr>
              <w:autoSpaceDE w:val="0"/>
              <w:autoSpaceDN w:val="0"/>
              <w:adjustRightInd w:val="0"/>
            </w:pPr>
            <w:r>
              <w:rPr>
                <w:rFonts w:hint="eastAsia" w:eastAsia="PMingLiU" w:cs="PMingLiU"/>
                <w:lang w:eastAsia="zh-TW"/>
              </w:rPr>
              <w:t>陳仲戟先生</w:t>
            </w:r>
          </w:p>
          <w:p>
            <w:pPr>
              <w:autoSpaceDE w:val="0"/>
              <w:autoSpaceDN w:val="0"/>
              <w:adjustRightInd w:val="0"/>
              <w:rPr>
                <w:rFonts w:eastAsia="PMingLiU"/>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181" w:type="dxa"/>
            <w:vAlign w:val="top"/>
          </w:tcPr>
          <w:p>
            <w:pPr>
              <w:autoSpaceDE w:val="0"/>
              <w:autoSpaceDN w:val="0"/>
              <w:adjustRightInd w:val="0"/>
              <w:rPr>
                <w:lang w:eastAsia="zh-TW"/>
              </w:rPr>
            </w:pPr>
            <w:r>
              <w:rPr>
                <w:rFonts w:hint="eastAsia" w:eastAsia="PMingLiU" w:cs="PMingLiU"/>
                <w:lang w:eastAsia="zh-TW"/>
              </w:rPr>
              <w:t>非執行董事：</w:t>
            </w:r>
          </w:p>
          <w:p>
            <w:pPr>
              <w:autoSpaceDE w:val="0"/>
              <w:autoSpaceDN w:val="0"/>
              <w:adjustRightInd w:val="0"/>
              <w:rPr>
                <w:lang w:eastAsia="zh-TW"/>
              </w:rPr>
            </w:pPr>
            <w:r>
              <w:rPr>
                <w:rFonts w:hint="eastAsia" w:eastAsia="PMingLiU" w:cs="PMingLiU"/>
                <w:lang w:eastAsia="zh-TW"/>
              </w:rPr>
              <w:t>任福龍先生</w:t>
            </w:r>
          </w:p>
          <w:p>
            <w:pPr>
              <w:autoSpaceDE w:val="0"/>
              <w:autoSpaceDN w:val="0"/>
              <w:adjustRightInd w:val="0"/>
              <w:rPr>
                <w:rFonts w:eastAsia="PMingLiU"/>
                <w:lang w:eastAsia="zh-TW"/>
              </w:rPr>
            </w:pPr>
            <w:r>
              <w:rPr>
                <w:rFonts w:hint="eastAsia" w:eastAsia="PMingLiU" w:cs="PMingLiU"/>
                <w:lang w:eastAsia="zh-TW"/>
              </w:rPr>
              <w:t>徐</w:t>
            </w:r>
            <w:r>
              <w:rPr>
                <w:rFonts w:eastAsia="PMingLiU"/>
                <w:lang w:eastAsia="zh-TW"/>
              </w:rPr>
              <w:t xml:space="preserve">  </w:t>
            </w:r>
            <w:r>
              <w:rPr>
                <w:rFonts w:hint="eastAsia" w:eastAsia="PMingLiU" w:cs="PMingLiU"/>
                <w:lang w:eastAsia="zh-TW"/>
              </w:rPr>
              <w:t>列先生</w:t>
            </w:r>
          </w:p>
          <w:p>
            <w:pPr>
              <w:autoSpaceDE w:val="0"/>
              <w:autoSpaceDN w:val="0"/>
              <w:adjustRightInd w:val="0"/>
              <w:rPr>
                <w:rFonts w:eastAsia="PMingLiU"/>
                <w:lang w:eastAsia="zh-TW"/>
              </w:rPr>
            </w:pPr>
            <w:r>
              <w:rPr>
                <w:rFonts w:hint="eastAsia" w:eastAsia="PMingLiU" w:cs="PMingLiU"/>
                <w:lang w:eastAsia="zh-TW"/>
              </w:rPr>
              <w:t>趙</w:t>
            </w:r>
            <w:r>
              <w:rPr>
                <w:rFonts w:eastAsia="PMingLiU"/>
                <w:lang w:eastAsia="zh-TW"/>
              </w:rPr>
              <w:t xml:space="preserve">  </w:t>
            </w:r>
            <w:r>
              <w:rPr>
                <w:rFonts w:hint="eastAsia" w:eastAsia="PMingLiU" w:cs="PMingLiU"/>
                <w:lang w:eastAsia="zh-TW"/>
              </w:rPr>
              <w:t>斌先生</w:t>
            </w:r>
          </w:p>
        </w:tc>
        <w:tc>
          <w:tcPr>
            <w:tcW w:w="4181" w:type="dxa"/>
            <w:vAlign w:val="top"/>
          </w:tcPr>
          <w:p>
            <w:pPr>
              <w:autoSpaceDE w:val="0"/>
              <w:autoSpaceDN w:val="0"/>
              <w:adjustRightInd w:val="0"/>
              <w:rPr>
                <w:rFonts w:eastAsia="PMingLiU"/>
                <w:lang w:eastAsia="zh-TW"/>
              </w:rPr>
            </w:pPr>
          </w:p>
        </w:tc>
      </w:tr>
    </w:tbl>
    <w:p>
      <w:pPr>
        <w:pStyle w:val="10"/>
        <w:ind w:right="380"/>
        <w:rPr>
          <w:rFonts w:cs="Times New Roman"/>
          <w:color w:val="auto"/>
        </w:rPr>
      </w:pPr>
    </w:p>
    <w:sectPr>
      <w:footerReference r:id="rId4" w:type="default"/>
      <w:footerReference r:id="rId5" w:type="even"/>
      <w:pgSz w:w="11907" w:h="16839"/>
      <w:pgMar w:top="1276" w:right="1170" w:bottom="1276" w:left="120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PMCHM I+ Times">
    <w:altName w:val="宋体"/>
    <w:panose1 w:val="00000000000000000000"/>
    <w:charset w:val="86"/>
    <w:family w:val="auto"/>
    <w:pitch w:val="default"/>
    <w:sig w:usb0="00000001" w:usb1="080E0000" w:usb2="00000010" w:usb3="00000000" w:csb0="0004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hAnchor="margin" w:vAnchor="text" w:xAlign="center" w:y="1"/>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hAnchor="margin" w:vAnchor="text"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4069834">
    <w:nsid w:val="63C8474A"/>
    <w:multiLevelType w:val="multilevel"/>
    <w:tmpl w:val="63C8474A"/>
    <w:lvl w:ilvl="0" w:tentative="1">
      <w:start w:val="1"/>
      <w:numFmt w:val="decimal"/>
      <w:lvlText w:val="(%1)"/>
      <w:lvlJc w:val="left"/>
      <w:pPr>
        <w:ind w:left="720" w:hanging="360"/>
      </w:pPr>
      <w:rPr>
        <w:rFonts w:hint="default" w:ascii="PMingLiU" w:hAnsi="PMingLiU" w:eastAsia="PMingLi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740698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rawingGridVerticalSpacing w:val="120"/>
  <w:displayHorizontalDrawingGridEvery w:val="0"/>
  <w:displayVerticalDrawingGridEvery w:val="3"/>
  <w:doNotShadeFormData w:val="1"/>
  <w:characterSpacingControl w:val="compressPunctuation"/>
  <w:compat>
    <w:spaceForUL/>
    <w:balanceSingleByteDoubleByteWidth/>
    <w:doNotLeaveBackslashAlone/>
    <w:ulTrailSpace/>
    <w:splitPgBreakAndParaMark/>
    <w:doNotExpandShiftReturn/>
    <w:alignTablesRowByRow/>
    <w:adjustLineHeightInTable/>
    <w:doNotUseHTMLParagraphAutoSpacing/>
    <w:useWord97LineBreakRules/>
    <w:doNotBreakWrappedTables/>
    <w:doNotWrapTextWithPunct/>
    <w:doNotUseEastAsianBreakRules/>
    <w:growAutofit/>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paragraph" w:styleId="2">
    <w:name w:val="Body Text Indent"/>
    <w:basedOn w:val="1"/>
    <w:link w:val="22"/>
    <w:uiPriority w:val="0"/>
    <w:pPr>
      <w:spacing w:after="0" w:line="240" w:lineRule="auto"/>
      <w:ind w:firstLine="480" w:firstLineChars="200"/>
    </w:pPr>
    <w:rPr>
      <w:rFonts w:ascii="宋体" w:hAnsi="宋体"/>
      <w:sz w:val="24"/>
      <w:szCs w:val="24"/>
    </w:rPr>
  </w:style>
  <w:style w:type="paragraph" w:styleId="3">
    <w:name w:val="Plain Text"/>
    <w:basedOn w:val="1"/>
    <w:link w:val="20"/>
    <w:uiPriority w:val="99"/>
    <w:pPr>
      <w:jc w:val="left"/>
    </w:pPr>
    <w:rPr>
      <w:rFonts w:ascii="MingLiU" w:hAnsi="Courier New" w:eastAsia="MingLiU" w:cs="MingLiU"/>
      <w:sz w:val="24"/>
      <w:szCs w:val="24"/>
      <w:lang w:eastAsia="zh-TW"/>
    </w:rPr>
  </w:style>
  <w:style w:type="paragraph" w:styleId="4">
    <w:name w:val="Balloon Text"/>
    <w:basedOn w:val="1"/>
    <w:link w:val="18"/>
    <w:semiHidden/>
    <w:uiPriority w:val="99"/>
    <w:rPr>
      <w:sz w:val="18"/>
      <w:szCs w:val="18"/>
    </w:rPr>
  </w:style>
  <w:style w:type="paragraph" w:styleId="5">
    <w:name w:val="footer"/>
    <w:basedOn w:val="1"/>
    <w:link w:val="19"/>
    <w:uiPriority w:val="99"/>
    <w:pPr>
      <w:tabs>
        <w:tab w:val="center" w:pos="4153"/>
        <w:tab w:val="right" w:pos="8306"/>
      </w:tabs>
      <w:snapToGrid w:val="0"/>
      <w:jc w:val="left"/>
    </w:pPr>
    <w:rPr>
      <w:sz w:val="18"/>
      <w:szCs w:val="18"/>
    </w:rPr>
  </w:style>
  <w:style w:type="paragraph" w:styleId="6">
    <w:name w:val="header"/>
    <w:basedOn w:val="1"/>
    <w:link w:val="21"/>
    <w:semiHidden/>
    <w:uiPriority w:val="99"/>
    <w:pPr>
      <w:pBdr>
        <w:bottom w:val="single" w:color="auto" w:sz="6" w:space="1"/>
      </w:pBdr>
      <w:tabs>
        <w:tab w:val="center" w:pos="4153"/>
        <w:tab w:val="right" w:pos="8306"/>
      </w:tabs>
      <w:snapToGrid w:val="0"/>
      <w:spacing w:before="40" w:after="40"/>
      <w:jc w:val="center"/>
    </w:pPr>
    <w:rPr>
      <w:sz w:val="18"/>
      <w:szCs w:val="18"/>
    </w:rPr>
  </w:style>
  <w:style w:type="paragraph" w:styleId="7">
    <w:name w:val="Title"/>
    <w:basedOn w:val="1"/>
    <w:next w:val="1"/>
    <w:link w:val="17"/>
    <w:qFormat/>
    <w:uiPriority w:val="99"/>
    <w:pPr>
      <w:keepNext/>
      <w:keepLines/>
      <w:spacing w:before="340" w:after="330" w:line="578" w:lineRule="auto"/>
      <w:jc w:val="center"/>
    </w:pPr>
    <w:rPr>
      <w:b/>
      <w:bCs/>
      <w:kern w:val="32"/>
      <w:sz w:val="32"/>
      <w:szCs w:val="32"/>
    </w:rPr>
  </w:style>
  <w:style w:type="character" w:styleId="9">
    <w:name w:val="page number"/>
    <w:uiPriority w:val="99"/>
    <w:rPr>
      <w:rFonts w:cs="Times New Roman"/>
    </w:rPr>
  </w:style>
  <w:style w:type="paragraph" w:customStyle="1" w:styleId="10">
    <w:name w:val="Default"/>
    <w:uiPriority w:val="99"/>
    <w:pPr>
      <w:widowControl w:val="0"/>
      <w:autoSpaceDE w:val="0"/>
      <w:autoSpaceDN w:val="0"/>
      <w:adjustRightInd w:val="0"/>
      <w:spacing w:after="200" w:line="276" w:lineRule="auto"/>
    </w:pPr>
    <w:rPr>
      <w:rFonts w:ascii="PMCHM I+ Times" w:eastAsia="PMCHM I+ Times" w:cs="PMCHM I+ Times"/>
      <w:color w:val="000000"/>
      <w:sz w:val="24"/>
      <w:szCs w:val="24"/>
      <w:lang w:val="en-US" w:eastAsia="zh-CN"/>
    </w:rPr>
  </w:style>
  <w:style w:type="paragraph" w:customStyle="1" w:styleId="11">
    <w:name w:val="CM1"/>
    <w:basedOn w:val="10"/>
    <w:next w:val="10"/>
    <w:uiPriority w:val="99"/>
    <w:rPr>
      <w:color w:val="auto"/>
    </w:rPr>
  </w:style>
  <w:style w:type="paragraph" w:customStyle="1" w:styleId="12">
    <w:name w:val="CM2"/>
    <w:basedOn w:val="10"/>
    <w:next w:val="10"/>
    <w:uiPriority w:val="99"/>
    <w:rPr>
      <w:color w:val="auto"/>
    </w:rPr>
  </w:style>
  <w:style w:type="paragraph" w:customStyle="1" w:styleId="13">
    <w:name w:val="CM4"/>
    <w:basedOn w:val="10"/>
    <w:next w:val="10"/>
    <w:uiPriority w:val="99"/>
    <w:rPr>
      <w:color w:val="auto"/>
    </w:rPr>
  </w:style>
  <w:style w:type="paragraph" w:customStyle="1" w:styleId="14">
    <w:name w:val="CM5"/>
    <w:basedOn w:val="10"/>
    <w:next w:val="10"/>
    <w:uiPriority w:val="99"/>
    <w:rPr>
      <w:color w:val="auto"/>
    </w:rPr>
  </w:style>
  <w:style w:type="paragraph" w:customStyle="1" w:styleId="15">
    <w:name w:val="CM3"/>
    <w:basedOn w:val="10"/>
    <w:next w:val="10"/>
    <w:uiPriority w:val="99"/>
    <w:pPr>
      <w:spacing w:line="240" w:lineRule="atLeast"/>
    </w:pPr>
    <w:rPr>
      <w:color w:val="auto"/>
    </w:rPr>
  </w:style>
  <w:style w:type="paragraph" w:customStyle="1" w:styleId="16">
    <w:name w:val="Char Char Char Char"/>
    <w:basedOn w:val="1"/>
    <w:uiPriority w:val="0"/>
    <w:pPr>
      <w:widowControl/>
      <w:spacing w:after="160" w:line="240" w:lineRule="exact"/>
      <w:jc w:val="left"/>
    </w:pPr>
    <w:rPr>
      <w:kern w:val="0"/>
      <w:sz w:val="20"/>
      <w:szCs w:val="20"/>
    </w:rPr>
  </w:style>
  <w:style w:type="character" w:customStyle="1" w:styleId="17">
    <w:name w:val="Title Char"/>
    <w:link w:val="7"/>
    <w:locked/>
    <w:uiPriority w:val="99"/>
    <w:rPr>
      <w:rFonts w:eastAsia="宋体" w:cs="Times New Roman"/>
      <w:b/>
      <w:bCs/>
      <w:kern w:val="32"/>
      <w:sz w:val="32"/>
      <w:szCs w:val="32"/>
      <w:lang w:val="en-US" w:eastAsia="zh-CN" w:bidi="ar-SA"/>
    </w:rPr>
  </w:style>
  <w:style w:type="character" w:customStyle="1" w:styleId="18">
    <w:name w:val="Balloon Text Char"/>
    <w:link w:val="4"/>
    <w:semiHidden/>
    <w:uiPriority w:val="99"/>
    <w:rPr>
      <w:sz w:val="18"/>
      <w:szCs w:val="18"/>
    </w:rPr>
  </w:style>
  <w:style w:type="character" w:customStyle="1" w:styleId="19">
    <w:name w:val="Footer Char"/>
    <w:link w:val="5"/>
    <w:semiHidden/>
    <w:locked/>
    <w:uiPriority w:val="99"/>
    <w:rPr>
      <w:rFonts w:eastAsia="宋体" w:cs="Times New Roman"/>
      <w:kern w:val="2"/>
      <w:sz w:val="18"/>
      <w:szCs w:val="18"/>
      <w:lang w:val="en-US" w:eastAsia="zh-CN" w:bidi="ar-SA"/>
    </w:rPr>
  </w:style>
  <w:style w:type="character" w:customStyle="1" w:styleId="20">
    <w:name w:val="Plain Text Char"/>
    <w:link w:val="3"/>
    <w:semiHidden/>
    <w:uiPriority w:val="99"/>
    <w:rPr>
      <w:rFonts w:ascii="宋体" w:hAnsi="Courier New" w:cs="Courier New"/>
      <w:szCs w:val="21"/>
    </w:rPr>
  </w:style>
  <w:style w:type="character" w:customStyle="1" w:styleId="21">
    <w:name w:val="Header Char"/>
    <w:link w:val="6"/>
    <w:semiHidden/>
    <w:locked/>
    <w:uiPriority w:val="99"/>
    <w:rPr>
      <w:rFonts w:eastAsia="宋体" w:cs="Times New Roman"/>
      <w:kern w:val="2"/>
      <w:sz w:val="18"/>
      <w:szCs w:val="18"/>
      <w:lang w:val="en-US" w:eastAsia="zh-CN" w:bidi="ar-SA"/>
    </w:rPr>
  </w:style>
  <w:style w:type="character" w:customStyle="1" w:styleId="22">
    <w:name w:val="Body Text Indent Char"/>
    <w:link w:val="2"/>
    <w:uiPriority w:val="0"/>
    <w:rPr>
      <w:rFonts w:ascii="宋体" w:hAnsi="宋体"/>
      <w:kern w:val="2"/>
      <w:sz w:val="24"/>
      <w:szCs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x6x8.com</Company>
  <Pages>6</Pages>
  <Words>746</Words>
  <Characters>4255</Characters>
  <Lines>35</Lines>
  <Paragraphs>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2017-04-10T05:09:00Z</dcterms:created>
  <dc:creator>vvvvvv</dc:creator>
  <cp:lastModifiedBy>曹长求</cp:lastModifiedBy>
  <cp:lastPrinted>2018-04-11T02:13:00Z</cp:lastPrinted>
  <dcterms:modified xsi:type="dcterms:W3CDTF">2018-04-18T06:23:11Z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