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rPr>
          <w:i/>
          <w:sz w:val="18"/>
          <w:szCs w:val="18"/>
        </w:rPr>
      </w:pPr>
      <w:r>
        <w:rPr>
          <w:rFonts w:hint="eastAsia" w:eastAsia="PMingLiU"/>
          <w:i/>
          <w:sz w:val="18"/>
          <w:szCs w:val="18"/>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pPr>
        <w:autoSpaceDE w:val="0"/>
        <w:autoSpaceDN w:val="0"/>
        <w:adjustRightInd w:val="0"/>
        <w:rPr>
          <w:rFonts w:ascii="宋体" w:hAnsi="宋体"/>
          <w:i/>
          <w:color w:val="231F20"/>
          <w:kern w:val="0"/>
          <w:szCs w:val="21"/>
          <w:lang w:eastAsia="zh-TW"/>
        </w:rPr>
      </w:pPr>
    </w:p>
    <w:p>
      <w:pPr>
        <w:autoSpaceDE w:val="0"/>
        <w:autoSpaceDN w:val="0"/>
        <w:adjustRightInd w:val="0"/>
        <w:rPr>
          <w:rFonts w:ascii="宋体" w:hAnsi="宋体"/>
          <w:color w:val="231F20"/>
          <w:kern w:val="0"/>
          <w:sz w:val="28"/>
          <w:szCs w:val="18"/>
          <w:lang w:eastAsia="zh-TW"/>
        </w:rPr>
      </w:pPr>
      <w:r>
        <w:rPr>
          <w:rFonts w:ascii="PMingLiU" w:hAnsi="PMingLiU" w:eastAsia="PMingLiU" w:cs="PMingLiU"/>
          <w:kern w:val="0"/>
          <w:sz w:val="17"/>
          <w:szCs w:val="17"/>
          <w:lang w:val="en-US" w:eastAsia="zh-CN" w:bidi="ar-SA"/>
        </w:rPr>
        <w:pict>
          <v:shape id="图片 2" o:spid="_x0000_s1027" type="#_x0000_t75" style="position:absolute;left:0;margin-left:225pt;margin-top:9.75pt;height:39pt;width:36pt;rotation:0f;z-index:251659264;" o:ole="f" fillcolor="#FFFFFF" filled="f" o:preferrelative="t" stroked="f" coordorigin="0,0" coordsize="21600,21600">
            <v:fill on="f" color2="#FFFFFF" focus="0%"/>
            <v:imagedata gain="65536f" blacklevel="0f" gamma="0" chromakey="#FFFFFF" o:title="" r:id="rId7"/>
            <o:lock v:ext="edit" position="f" selection="f" grouping="f" rotation="f" cropping="f" text="f" aspectratio="t"/>
          </v:shape>
        </w:pict>
      </w:r>
    </w:p>
    <w:p>
      <w:pPr>
        <w:autoSpaceDE w:val="0"/>
        <w:autoSpaceDN w:val="0"/>
        <w:adjustRightInd w:val="0"/>
        <w:jc w:val="center"/>
        <w:rPr>
          <w:rFonts w:ascii="宋体" w:hAnsi="宋体"/>
          <w:b/>
          <w:bCs/>
          <w:color w:val="231F20"/>
          <w:kern w:val="0"/>
          <w:sz w:val="24"/>
          <w:szCs w:val="18"/>
        </w:rPr>
      </w:pPr>
    </w:p>
    <w:p>
      <w:pPr>
        <w:autoSpaceDE w:val="0"/>
        <w:autoSpaceDN w:val="0"/>
        <w:adjustRightInd w:val="0"/>
        <w:jc w:val="center"/>
        <w:rPr>
          <w:rFonts w:ascii="宋体" w:hAnsi="宋体"/>
          <w:b/>
          <w:bCs/>
          <w:color w:val="231F20"/>
          <w:kern w:val="0"/>
          <w:sz w:val="24"/>
          <w:szCs w:val="18"/>
        </w:rPr>
      </w:pPr>
    </w:p>
    <w:p>
      <w:pPr>
        <w:autoSpaceDE w:val="0"/>
        <w:autoSpaceDN w:val="0"/>
        <w:adjustRightInd w:val="0"/>
        <w:jc w:val="center"/>
        <w:rPr>
          <w:rFonts w:ascii="宋体" w:hAnsi="宋体"/>
          <w:b/>
          <w:bCs/>
          <w:color w:val="231F20"/>
          <w:kern w:val="0"/>
          <w:sz w:val="24"/>
          <w:szCs w:val="18"/>
          <w:lang w:eastAsia="zh-TW"/>
        </w:rPr>
      </w:pPr>
      <w:r>
        <w:rPr>
          <w:rFonts w:hint="eastAsia" w:ascii="宋体" w:hAnsi="宋体" w:eastAsia="PMingLiU"/>
          <w:b/>
          <w:bCs/>
          <w:color w:val="231F20"/>
          <w:kern w:val="0"/>
          <w:sz w:val="24"/>
          <w:szCs w:val="18"/>
          <w:lang w:eastAsia="zh-TW"/>
        </w:rPr>
        <w:t>山東新華製藥股份有限公司</w:t>
      </w:r>
    </w:p>
    <w:p>
      <w:pPr>
        <w:autoSpaceDE w:val="0"/>
        <w:autoSpaceDN w:val="0"/>
        <w:adjustRightInd w:val="0"/>
        <w:jc w:val="center"/>
        <w:rPr>
          <w:rFonts w:ascii="宋体" w:hAnsi="宋体"/>
          <w:b/>
          <w:bCs/>
          <w:color w:val="231F20"/>
          <w:kern w:val="0"/>
          <w:sz w:val="18"/>
          <w:szCs w:val="18"/>
          <w:lang w:eastAsia="zh-TW"/>
        </w:rPr>
      </w:pPr>
      <w:r>
        <w:rPr>
          <w:rFonts w:ascii="宋体" w:hAnsi="宋体" w:eastAsia="PMingLiU"/>
          <w:b/>
          <w:bCs/>
          <w:color w:val="231F20"/>
          <w:kern w:val="0"/>
          <w:sz w:val="24"/>
          <w:szCs w:val="18"/>
          <w:lang w:eastAsia="zh-TW"/>
        </w:rPr>
        <w:t>Shandong Xinhua Pharmaceutical Company Limited</w:t>
      </w:r>
    </w:p>
    <w:p>
      <w:pPr>
        <w:autoSpaceDE w:val="0"/>
        <w:autoSpaceDN w:val="0"/>
        <w:adjustRightInd w:val="0"/>
        <w:jc w:val="center"/>
        <w:rPr>
          <w:rFonts w:ascii="宋体" w:hAnsi="宋体"/>
          <w:color w:val="231F20"/>
          <w:kern w:val="0"/>
          <w:sz w:val="18"/>
          <w:szCs w:val="18"/>
          <w:lang w:eastAsia="zh-TW"/>
        </w:rPr>
      </w:pPr>
      <w:r>
        <w:rPr>
          <w:rFonts w:hint="eastAsia" w:ascii="宋体" w:hAnsi="宋体" w:eastAsia="PMingLiU"/>
          <w:color w:val="231F20"/>
          <w:kern w:val="0"/>
          <w:sz w:val="18"/>
          <w:szCs w:val="18"/>
          <w:lang w:eastAsia="zh-TW"/>
        </w:rPr>
        <w:t>（於中華人民共和國註冊成立之股份有限公司）</w:t>
      </w:r>
    </w:p>
    <w:p>
      <w:pPr>
        <w:autoSpaceDE w:val="0"/>
        <w:autoSpaceDN w:val="0"/>
        <w:adjustRightInd w:val="0"/>
        <w:jc w:val="center"/>
        <w:rPr>
          <w:rFonts w:ascii="宋体" w:hAnsi="宋体"/>
          <w:color w:val="231F20"/>
          <w:kern w:val="0"/>
          <w:sz w:val="20"/>
          <w:szCs w:val="20"/>
        </w:rPr>
      </w:pPr>
      <w:r>
        <w:rPr>
          <w:rFonts w:hint="eastAsia" w:ascii="宋体" w:hAnsi="宋体" w:eastAsia="PMingLiU"/>
          <w:color w:val="231F20"/>
          <w:kern w:val="0"/>
          <w:sz w:val="20"/>
          <w:szCs w:val="20"/>
          <w:lang w:eastAsia="zh-TW"/>
        </w:rPr>
        <w:t>（股份代碼：</w:t>
      </w:r>
      <w:r>
        <w:rPr>
          <w:rFonts w:ascii="宋体" w:hAnsi="宋体" w:eastAsia="PMingLiU"/>
          <w:color w:val="231F20"/>
          <w:kern w:val="0"/>
          <w:sz w:val="20"/>
          <w:szCs w:val="20"/>
          <w:lang w:eastAsia="zh-TW"/>
        </w:rPr>
        <w:t>0719</w:t>
      </w:r>
      <w:r>
        <w:rPr>
          <w:rFonts w:hint="eastAsia" w:ascii="宋体" w:hAnsi="宋体" w:eastAsia="PMingLiU"/>
          <w:color w:val="231F20"/>
          <w:kern w:val="0"/>
          <w:sz w:val="20"/>
          <w:szCs w:val="20"/>
          <w:lang w:eastAsia="zh-TW"/>
        </w:rPr>
        <w:t>）</w:t>
      </w:r>
    </w:p>
    <w:p>
      <w:pPr>
        <w:autoSpaceDE w:val="0"/>
        <w:autoSpaceDN w:val="0"/>
        <w:adjustRightInd w:val="0"/>
        <w:jc w:val="center"/>
        <w:rPr>
          <w:rFonts w:ascii="宋体" w:hAnsi="宋体"/>
          <w:color w:val="231F20"/>
          <w:kern w:val="0"/>
          <w:sz w:val="20"/>
          <w:szCs w:val="20"/>
          <w:lang w:eastAsia="zh-TW"/>
        </w:rPr>
      </w:pPr>
    </w:p>
    <w:p>
      <w:pPr>
        <w:autoSpaceDE w:val="0"/>
        <w:autoSpaceDN w:val="0"/>
        <w:adjustRightInd w:val="0"/>
        <w:jc w:val="center"/>
        <w:rPr>
          <w:rFonts w:ascii="宋体" w:hAnsi="宋体"/>
          <w:b/>
          <w:bCs/>
          <w:color w:val="231F20"/>
          <w:kern w:val="0"/>
          <w:sz w:val="26"/>
          <w:szCs w:val="26"/>
          <w:lang w:eastAsia="zh-TW"/>
        </w:rPr>
      </w:pPr>
      <w:r>
        <w:rPr>
          <w:rFonts w:hint="eastAsia" w:ascii="宋体" w:hAnsi="宋体" w:eastAsia="PMingLiU"/>
          <w:b/>
          <w:bCs/>
          <w:color w:val="231F20"/>
          <w:kern w:val="0"/>
          <w:sz w:val="26"/>
          <w:szCs w:val="26"/>
          <w:lang w:eastAsia="zh-TW"/>
        </w:rPr>
        <w:t>海外監管公告</w:t>
      </w:r>
    </w:p>
    <w:p>
      <w:pPr>
        <w:autoSpaceDE w:val="0"/>
        <w:autoSpaceDN w:val="0"/>
        <w:adjustRightInd w:val="0"/>
        <w:jc w:val="center"/>
        <w:rPr>
          <w:rFonts w:ascii="宋体" w:hAnsi="宋体"/>
          <w:b/>
          <w:bCs/>
          <w:color w:val="231F20"/>
          <w:kern w:val="0"/>
          <w:sz w:val="26"/>
          <w:szCs w:val="26"/>
          <w:lang w:eastAsia="zh-TW"/>
        </w:rPr>
      </w:pPr>
    </w:p>
    <w:tbl>
      <w:tblPr>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280" w:type="dxa"/>
            <w:vAlign w:val="top"/>
          </w:tcPr>
          <w:p>
            <w:pPr>
              <w:autoSpaceDE w:val="0"/>
              <w:autoSpaceDN w:val="0"/>
              <w:adjustRightInd w:val="0"/>
              <w:rPr>
                <w:rFonts w:ascii="宋体" w:hAnsi="宋体"/>
                <w:color w:val="231F20"/>
                <w:kern w:val="0"/>
                <w:szCs w:val="21"/>
              </w:rPr>
            </w:pPr>
          </w:p>
          <w:p>
            <w:pPr>
              <w:autoSpaceDE w:val="0"/>
              <w:autoSpaceDN w:val="0"/>
              <w:adjustRightInd w:val="0"/>
              <w:rPr>
                <w:rFonts w:ascii="宋体" w:hAnsi="宋体"/>
                <w:color w:val="231F20"/>
                <w:kern w:val="0"/>
                <w:szCs w:val="21"/>
                <w:lang w:eastAsia="zh-TW"/>
              </w:rPr>
            </w:pPr>
            <w:r>
              <w:rPr>
                <w:rFonts w:hint="eastAsia" w:ascii="宋体" w:hAnsi="宋体" w:eastAsia="PMingLiU"/>
                <w:color w:val="231F20"/>
                <w:kern w:val="0"/>
                <w:szCs w:val="21"/>
                <w:lang w:eastAsia="zh-TW"/>
              </w:rPr>
              <w:t>本公告乃根據香港聯合交易所有限公司證券上市規則第</w:t>
            </w:r>
            <w:r>
              <w:rPr>
                <w:rFonts w:ascii="宋体" w:hAnsi="宋体" w:eastAsia="PMingLiU"/>
                <w:color w:val="231F20"/>
                <w:kern w:val="0"/>
                <w:szCs w:val="21"/>
                <w:lang w:eastAsia="zh-TW"/>
              </w:rPr>
              <w:t>13.</w:t>
            </w:r>
            <w:r>
              <w:rPr>
                <w:rFonts w:hint="eastAsia" w:ascii="宋体" w:hAnsi="宋体"/>
                <w:color w:val="231F20"/>
                <w:kern w:val="0"/>
                <w:szCs w:val="21"/>
              </w:rPr>
              <w:t>10B</w:t>
            </w:r>
            <w:r>
              <w:rPr>
                <w:rFonts w:hint="eastAsia" w:ascii="宋体" w:hAnsi="宋体" w:eastAsia="PMingLiU"/>
                <w:color w:val="231F20"/>
                <w:kern w:val="0"/>
                <w:szCs w:val="21"/>
                <w:lang w:eastAsia="zh-TW"/>
              </w:rPr>
              <w:t>條作出。</w:t>
            </w:r>
          </w:p>
        </w:tc>
      </w:tr>
    </w:tbl>
    <w:p>
      <w:pPr>
        <w:autoSpaceDE w:val="0"/>
        <w:autoSpaceDN w:val="0"/>
        <w:adjustRightInd w:val="0"/>
        <w:rPr>
          <w:rFonts w:ascii="宋体" w:hAnsi="宋体"/>
          <w:color w:val="231F20"/>
          <w:kern w:val="0"/>
          <w:szCs w:val="21"/>
          <w:lang w:eastAsia="zh-TW"/>
        </w:rPr>
      </w:pPr>
    </w:p>
    <w:p>
      <w:pPr>
        <w:snapToGrid w:val="0"/>
        <w:spacing w:beforeLines="50" w:line="360" w:lineRule="auto"/>
        <w:jc w:val="both"/>
        <w:rPr>
          <w:rFonts w:ascii="宋体" w:hAnsi="宋体" w:eastAsia="PMingLiU"/>
          <w:color w:val="231F20"/>
          <w:kern w:val="0"/>
          <w:szCs w:val="21"/>
          <w:lang w:eastAsia="zh-TW"/>
        </w:rPr>
      </w:pPr>
      <w:r>
        <w:rPr>
          <w:rFonts w:hint="eastAsia" w:ascii="宋体" w:hAnsi="宋体" w:eastAsia="宋体"/>
          <w:color w:val="231F20"/>
          <w:kern w:val="0"/>
          <w:szCs w:val="21"/>
          <w:lang w:eastAsia="zh-TW"/>
        </w:rPr>
        <w:t>山東新華製藥股份有限公司（「本公司」）於</w:t>
      </w:r>
      <w:r>
        <w:rPr>
          <w:rFonts w:ascii="宋体" w:hAnsi="宋体" w:eastAsia="宋体"/>
          <w:color w:val="231F20"/>
          <w:kern w:val="0"/>
          <w:szCs w:val="21"/>
          <w:lang w:eastAsia="zh-TW"/>
        </w:rPr>
        <w:t>201</w:t>
      </w:r>
      <w:r>
        <w:rPr>
          <w:rFonts w:hint="eastAsia" w:ascii="宋体" w:hAnsi="宋体" w:eastAsia="宋体"/>
          <w:color w:val="231F20"/>
          <w:kern w:val="0"/>
          <w:szCs w:val="21"/>
          <w:lang w:val="en-US" w:eastAsia="zh-CN"/>
        </w:rPr>
        <w:t>8</w:t>
      </w:r>
      <w:r>
        <w:rPr>
          <w:rFonts w:hint="eastAsia" w:ascii="宋体" w:hAnsi="宋体" w:eastAsia="宋体"/>
          <w:color w:val="231F20"/>
          <w:kern w:val="0"/>
          <w:szCs w:val="21"/>
          <w:lang w:eastAsia="zh-TW"/>
        </w:rPr>
        <w:t>年</w:t>
      </w:r>
      <w:r>
        <w:rPr>
          <w:rFonts w:hint="eastAsia" w:ascii="宋体" w:hAnsi="宋体" w:eastAsia="宋体"/>
          <w:color w:val="231F20"/>
          <w:kern w:val="0"/>
          <w:szCs w:val="21"/>
          <w:lang w:val="en-US" w:eastAsia="zh-CN"/>
        </w:rPr>
        <w:t>2</w:t>
      </w:r>
      <w:r>
        <w:rPr>
          <w:rFonts w:hint="eastAsia" w:ascii="宋体" w:hAnsi="宋体" w:eastAsia="宋体"/>
          <w:color w:val="231F20"/>
          <w:kern w:val="0"/>
          <w:szCs w:val="21"/>
          <w:lang w:eastAsia="zh-TW"/>
        </w:rPr>
        <w:t>月</w:t>
      </w:r>
      <w:r>
        <w:rPr>
          <w:rFonts w:hint="eastAsia" w:ascii="宋体" w:hAnsi="宋体" w:eastAsia="宋体"/>
          <w:color w:val="231F20"/>
          <w:kern w:val="0"/>
          <w:szCs w:val="21"/>
          <w:lang w:val="en-US" w:eastAsia="zh-CN"/>
        </w:rPr>
        <w:t>14</w:t>
      </w:r>
      <w:r>
        <w:rPr>
          <w:rFonts w:hint="eastAsia" w:ascii="宋体" w:hAnsi="宋体" w:eastAsia="宋体"/>
          <w:color w:val="231F20"/>
          <w:kern w:val="0"/>
          <w:szCs w:val="21"/>
          <w:lang w:eastAsia="zh-TW"/>
        </w:rPr>
        <w:t>日在巨潮資訊網（</w:t>
      </w:r>
      <w:r>
        <w:fldChar w:fldCharType="begin"/>
      </w:r>
      <w:r>
        <w:instrText xml:space="preserve"> HYPERLINK "http://www.cninfo.com.cn" </w:instrText>
      </w:r>
      <w:r>
        <w:fldChar w:fldCharType="separate"/>
      </w:r>
      <w:r>
        <w:rPr>
          <w:rStyle w:val="7"/>
          <w:rFonts w:ascii="宋体" w:hAnsi="宋体" w:eastAsia="宋体"/>
          <w:kern w:val="0"/>
          <w:szCs w:val="21"/>
          <w:lang w:eastAsia="zh-TW"/>
        </w:rPr>
        <w:t>http://www.cninfo.com.cn</w:t>
      </w:r>
      <w:r>
        <w:rPr>
          <w:rStyle w:val="7"/>
          <w:rFonts w:ascii="宋体" w:hAnsi="宋体" w:eastAsia="PMingLiU"/>
          <w:kern w:val="0"/>
          <w:szCs w:val="21"/>
          <w:lang w:eastAsia="zh-TW"/>
        </w:rPr>
        <w:fldChar w:fldCharType="end"/>
      </w:r>
      <w:r>
        <w:rPr>
          <w:rFonts w:hint="eastAsia" w:ascii="宋体" w:hAnsi="宋体" w:eastAsia="宋体"/>
          <w:color w:val="231F20"/>
          <w:kern w:val="0"/>
          <w:szCs w:val="21"/>
          <w:lang w:eastAsia="zh-TW"/>
        </w:rPr>
        <w:t>）刊登本公司《山東新華製藥股份有限公司關於關於終止籌畫發行A股股份購買資產暨股票複牌公告</w:t>
      </w:r>
      <w:r>
        <w:rPr>
          <w:rFonts w:hint="eastAsia" w:ascii="宋体" w:hAnsi="宋体" w:eastAsia="宋体"/>
          <w:color w:val="231F20"/>
          <w:kern w:val="0"/>
          <w:szCs w:val="21"/>
          <w:lang w:eastAsia="zh-TW"/>
        </w:rPr>
        <w:t>》</w:t>
      </w:r>
      <w:r>
        <w:rPr>
          <w:rFonts w:hint="eastAsia" w:ascii="宋体" w:hAnsi="宋体" w:eastAsia="宋体"/>
          <w:color w:val="231F20"/>
          <w:kern w:val="0"/>
          <w:szCs w:val="21"/>
          <w:lang w:eastAsia="zh-CN"/>
        </w:rPr>
        <w:t>等公告</w:t>
      </w:r>
      <w:r>
        <w:rPr>
          <w:rFonts w:hint="eastAsia" w:ascii="宋体" w:hAnsi="宋体" w:eastAsia="宋体"/>
          <w:color w:val="231F20"/>
          <w:kern w:val="0"/>
          <w:szCs w:val="21"/>
          <w:lang w:eastAsia="zh-TW"/>
        </w:rPr>
        <w:t>，茲載列有關文檔之中文版，以供參閱。</w:t>
      </w:r>
    </w:p>
    <w:p>
      <w:pPr>
        <w:autoSpaceDE w:val="0"/>
        <w:autoSpaceDN w:val="0"/>
        <w:adjustRightInd w:val="0"/>
        <w:rPr>
          <w:rFonts w:ascii="宋体" w:hAnsi="宋体"/>
          <w:color w:val="231F20"/>
          <w:kern w:val="0"/>
          <w:szCs w:val="21"/>
        </w:rPr>
      </w:pPr>
    </w:p>
    <w:p>
      <w:pPr>
        <w:autoSpaceDE w:val="0"/>
        <w:autoSpaceDN w:val="0"/>
        <w:adjustRightInd w:val="0"/>
        <w:rPr>
          <w:rFonts w:ascii="宋体" w:hAnsi="宋体"/>
          <w:color w:val="231F20"/>
          <w:kern w:val="0"/>
          <w:szCs w:val="21"/>
        </w:rPr>
      </w:pPr>
    </w:p>
    <w:p>
      <w:pPr>
        <w:autoSpaceDE w:val="0"/>
        <w:autoSpaceDN w:val="0"/>
        <w:adjustRightInd w:val="0"/>
        <w:ind w:right="420"/>
        <w:jc w:val="center"/>
        <w:rPr>
          <w:rFonts w:ascii="宋体" w:hAnsi="宋体"/>
          <w:color w:val="231F20"/>
          <w:kern w:val="0"/>
          <w:szCs w:val="21"/>
          <w:lang w:eastAsia="zh-TW"/>
        </w:rPr>
      </w:pP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承董事會命</w:t>
      </w:r>
    </w:p>
    <w:p>
      <w:pPr>
        <w:autoSpaceDE w:val="0"/>
        <w:autoSpaceDN w:val="0"/>
        <w:adjustRightInd w:val="0"/>
        <w:ind w:right="315"/>
        <w:jc w:val="right"/>
        <w:rPr>
          <w:rFonts w:ascii="宋体" w:hAnsi="宋体"/>
          <w:color w:val="231F20"/>
          <w:kern w:val="0"/>
          <w:szCs w:val="21"/>
          <w:lang w:eastAsia="zh-TW"/>
        </w:rPr>
      </w:pPr>
      <w:r>
        <w:rPr>
          <w:rFonts w:hint="eastAsia" w:ascii="宋体" w:hAnsi="宋体" w:eastAsia="宋体"/>
          <w:color w:val="231F20"/>
          <w:kern w:val="0"/>
          <w:szCs w:val="21"/>
          <w:lang w:eastAsia="zh-TW"/>
        </w:rPr>
        <w:t>山東新華製藥股份有限公司</w:t>
      </w:r>
    </w:p>
    <w:p>
      <w:pPr>
        <w:autoSpaceDE w:val="0"/>
        <w:autoSpaceDN w:val="0"/>
        <w:adjustRightInd w:val="0"/>
        <w:ind w:right="420" w:firstLine="6405" w:firstLineChars="3050"/>
        <w:rPr>
          <w:rFonts w:ascii="宋体" w:hAnsi="宋体"/>
          <w:color w:val="231F20"/>
          <w:kern w:val="0"/>
          <w:szCs w:val="21"/>
        </w:rPr>
      </w:pPr>
      <w:r>
        <w:rPr>
          <w:rFonts w:hint="eastAsia" w:ascii="宋体" w:hAnsi="宋体" w:eastAsia="宋体"/>
          <w:color w:val="231F20"/>
          <w:kern w:val="0"/>
          <w:szCs w:val="21"/>
          <w:lang w:eastAsia="zh-TW"/>
        </w:rPr>
        <w:t>張代銘</w:t>
      </w:r>
    </w:p>
    <w:p>
      <w:pPr>
        <w:autoSpaceDE w:val="0"/>
        <w:autoSpaceDN w:val="0"/>
        <w:adjustRightInd w:val="0"/>
        <w:ind w:right="420" w:firstLine="6405" w:firstLineChars="3050"/>
        <w:rPr>
          <w:rFonts w:ascii="宋体" w:hAnsi="宋体"/>
          <w:color w:val="231F20"/>
          <w:kern w:val="0"/>
          <w:szCs w:val="21"/>
          <w:lang w:eastAsia="zh-TW"/>
        </w:rPr>
      </w:pPr>
      <w:r>
        <w:rPr>
          <w:rFonts w:hint="eastAsia" w:ascii="宋体" w:hAnsi="宋体" w:eastAsia="宋体"/>
          <w:color w:val="231F20"/>
          <w:kern w:val="0"/>
          <w:szCs w:val="21"/>
          <w:lang w:eastAsia="zh-TW"/>
        </w:rPr>
        <w:t>董事長</w:t>
      </w:r>
    </w:p>
    <w:p>
      <w:pPr>
        <w:autoSpaceDE w:val="0"/>
        <w:autoSpaceDN w:val="0"/>
        <w:adjustRightInd w:val="0"/>
        <w:rPr>
          <w:rFonts w:ascii="宋体" w:hAnsi="宋体"/>
          <w:color w:val="231F20"/>
          <w:kern w:val="0"/>
          <w:szCs w:val="21"/>
          <w:lang w:eastAsia="zh-TW"/>
        </w:rPr>
      </w:pPr>
    </w:p>
    <w:p>
      <w:pPr>
        <w:autoSpaceDE w:val="0"/>
        <w:autoSpaceDN w:val="0"/>
        <w:adjustRightInd w:val="0"/>
        <w:rPr>
          <w:rFonts w:ascii="宋体" w:hAnsi="宋体"/>
          <w:color w:val="231F20"/>
          <w:kern w:val="0"/>
          <w:szCs w:val="21"/>
          <w:lang w:eastAsia="zh-TW"/>
        </w:rPr>
      </w:pPr>
      <w:r>
        <w:rPr>
          <w:rFonts w:hint="eastAsia" w:ascii="宋体" w:hAnsi="宋体" w:eastAsia="宋体"/>
          <w:color w:val="231F20"/>
          <w:kern w:val="0"/>
          <w:szCs w:val="21"/>
          <w:lang w:eastAsia="zh-TW"/>
        </w:rPr>
        <w:t>中國</w:t>
      </w: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淄博</w:t>
      </w: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二零一</w:t>
      </w:r>
      <w:r>
        <w:rPr>
          <w:rFonts w:hint="eastAsia" w:ascii="宋体" w:hAnsi="宋体" w:eastAsia="宋体"/>
          <w:color w:val="231F20"/>
          <w:kern w:val="0"/>
          <w:szCs w:val="21"/>
          <w:lang w:eastAsia="zh-CN"/>
        </w:rPr>
        <w:t>八</w:t>
      </w:r>
      <w:r>
        <w:rPr>
          <w:rFonts w:hint="eastAsia" w:ascii="宋体" w:hAnsi="宋体" w:eastAsia="宋体"/>
          <w:color w:val="231F20"/>
          <w:kern w:val="0"/>
          <w:szCs w:val="21"/>
          <w:lang w:eastAsia="zh-TW"/>
        </w:rPr>
        <w:t>年</w:t>
      </w:r>
      <w:r>
        <w:rPr>
          <w:rFonts w:hint="eastAsia" w:ascii="宋体" w:hAnsi="宋体" w:eastAsia="宋体"/>
          <w:color w:val="231F20"/>
          <w:kern w:val="0"/>
          <w:szCs w:val="21"/>
          <w:lang w:eastAsia="zh-CN"/>
        </w:rPr>
        <w:t>二</w:t>
      </w:r>
      <w:r>
        <w:rPr>
          <w:rFonts w:hint="eastAsia" w:ascii="宋体" w:hAnsi="宋体" w:eastAsia="宋体"/>
          <w:color w:val="231F20"/>
          <w:kern w:val="0"/>
          <w:szCs w:val="21"/>
          <w:lang w:eastAsia="zh-TW"/>
        </w:rPr>
        <w:t>月</w:t>
      </w:r>
      <w:r>
        <w:rPr>
          <w:rFonts w:hint="eastAsia" w:ascii="宋体" w:hAnsi="宋体" w:eastAsia="宋体"/>
          <w:color w:val="231F20"/>
          <w:kern w:val="0"/>
          <w:szCs w:val="21"/>
          <w:lang w:eastAsia="zh-CN"/>
        </w:rPr>
        <w:t>十四</w:t>
      </w:r>
      <w:r>
        <w:rPr>
          <w:rFonts w:hint="eastAsia" w:ascii="宋体" w:hAnsi="宋体" w:eastAsia="宋体"/>
          <w:color w:val="231F20"/>
          <w:kern w:val="0"/>
          <w:szCs w:val="21"/>
          <w:lang w:eastAsia="zh-TW"/>
        </w:rPr>
        <w:t>日</w:t>
      </w:r>
    </w:p>
    <w:p>
      <w:pPr>
        <w:autoSpaceDE w:val="0"/>
        <w:autoSpaceDN w:val="0"/>
        <w:adjustRightInd w:val="0"/>
        <w:rPr>
          <w:rFonts w:ascii="宋体" w:hAnsi="宋体"/>
          <w:color w:val="231F20"/>
          <w:kern w:val="0"/>
          <w:szCs w:val="21"/>
          <w:lang w:eastAsia="zh-TW"/>
        </w:rPr>
      </w:pPr>
    </w:p>
    <w:p>
      <w:pPr>
        <w:kinsoku w:val="0"/>
        <w:snapToGrid w:val="0"/>
        <w:rPr>
          <w:lang w:eastAsia="zh-TW"/>
        </w:rPr>
      </w:pPr>
      <w:r>
        <w:rPr>
          <w:rFonts w:ascii="Calibri" w:hAnsi="Calibri" w:eastAsia="宋体" w:cs="黑体"/>
          <w:kern w:val="2"/>
          <w:sz w:val="21"/>
          <w:szCs w:val="22"/>
          <w:lang w:val="en-US" w:eastAsia="zh-CN" w:bidi="ar-SA"/>
        </w:rPr>
        <w:pict>
          <v:rect id="文本框 2" o:spid="_x0000_s1028" style="position:absolute;left:0;margin-left:468pt;margin-top:9pt;height:36pt;width:72pt;rotation:0f;z-index:251658240;" o:ole="f" fillcolor="#FFFFFF" filled="f" o:preferrelative="t" stroked="f" coordsize="21600,21600">
            <v:fill on="f" color2="#FFFFFF" focus="0%"/>
            <v:imagedata gain="65536f" blacklevel="0f" gamma="0"/>
            <o:lock v:ext="edit" position="f" selection="f" grouping="f" rotation="f" cropping="f" text="f" aspectratio="f"/>
            <v:textbox>
              <w:txbxContent>
                <w:p>
                  <w:pPr>
                    <w:rPr>
                      <w:sz w:val="16"/>
                      <w:szCs w:val="16"/>
                    </w:rPr>
                  </w:pPr>
                </w:p>
              </w:txbxContent>
            </v:textbox>
          </v:rect>
        </w:pict>
      </w:r>
      <w:r>
        <w:rPr>
          <w:rFonts w:hint="eastAsia" w:eastAsia="PMingLiU"/>
          <w:lang w:eastAsia="zh-TW"/>
        </w:rPr>
        <w:t>於本公告日期，本公司董事會之成員如下：</w:t>
      </w:r>
    </w:p>
    <w:p>
      <w:pPr>
        <w:kinsoku w:val="0"/>
        <w:snapToGrid w:val="0"/>
        <w:rPr>
          <w:lang w:eastAsia="zh-TW"/>
        </w:rPr>
      </w:pPr>
    </w:p>
    <w:p>
      <w:pPr>
        <w:kinsoku w:val="0"/>
        <w:snapToGrid w:val="0"/>
        <w:rPr>
          <w:lang w:eastAsia="zh-TW"/>
        </w:rPr>
      </w:pPr>
    </w:p>
    <w:tbl>
      <w:tblPr>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r>
              <w:rPr>
                <w:rFonts w:hint="eastAsia" w:eastAsia="PMingLiU"/>
                <w:lang w:eastAsia="zh-TW"/>
              </w:rPr>
              <w:t>執行董事</w:t>
            </w:r>
          </w:p>
        </w:tc>
        <w:tc>
          <w:tcPr>
            <w:tcW w:w="2841" w:type="dxa"/>
            <w:vAlign w:val="top"/>
          </w:tcPr>
          <w:p>
            <w:pPr>
              <w:kinsoku w:val="0"/>
              <w:snapToGrid w:val="0"/>
            </w:pPr>
            <w:r>
              <w:rPr>
                <w:rFonts w:hint="eastAsia" w:eastAsia="PMingLiU"/>
                <w:lang w:eastAsia="zh-TW"/>
              </w:rPr>
              <w:t>非執行董事</w:t>
            </w:r>
          </w:p>
        </w:tc>
        <w:tc>
          <w:tcPr>
            <w:tcW w:w="2841" w:type="dxa"/>
            <w:vAlign w:val="top"/>
          </w:tcPr>
          <w:p>
            <w:pPr>
              <w:kinsoku w:val="0"/>
              <w:snapToGrid w:val="0"/>
            </w:pPr>
            <w:r>
              <w:rPr>
                <w:rFonts w:hint="eastAsia" w:eastAsia="PMingLiU"/>
                <w:lang w:eastAsia="zh-TW"/>
              </w:rPr>
              <w:t>獨立非執行董事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r>
              <w:rPr>
                <w:rFonts w:hint="eastAsia" w:eastAsia="PMingLiU"/>
                <w:lang w:eastAsia="zh-TW"/>
              </w:rPr>
              <w:t>張代銘先生（董事長）</w:t>
            </w:r>
          </w:p>
        </w:tc>
        <w:tc>
          <w:tcPr>
            <w:tcW w:w="2841" w:type="dxa"/>
            <w:vAlign w:val="top"/>
          </w:tcPr>
          <w:p>
            <w:pPr>
              <w:kinsoku w:val="0"/>
              <w:snapToGrid w:val="0"/>
            </w:pPr>
            <w:r>
              <w:rPr>
                <w:rFonts w:hint="eastAsia" w:eastAsia="PMingLiU"/>
                <w:lang w:eastAsia="zh-TW"/>
              </w:rPr>
              <w:t>任福龍先生</w:t>
            </w:r>
          </w:p>
        </w:tc>
        <w:tc>
          <w:tcPr>
            <w:tcW w:w="2841" w:type="dxa"/>
            <w:vAlign w:val="top"/>
          </w:tcPr>
          <w:p>
            <w:pPr>
              <w:kinsoku w:val="0"/>
              <w:snapToGrid w:val="0"/>
            </w:pPr>
            <w:r>
              <w:rPr>
                <w:rFonts w:hint="eastAsia" w:eastAsia="PMingLiU"/>
                <w:lang w:eastAsia="zh-TW"/>
              </w:rPr>
              <w:t>杜冠華先生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r>
              <w:rPr>
                <w:rFonts w:hint="eastAsia" w:eastAsia="PMingLiU"/>
                <w:lang w:eastAsia="zh-TW"/>
              </w:rPr>
              <w:t>杜德平先生</w:t>
            </w:r>
          </w:p>
        </w:tc>
        <w:tc>
          <w:tcPr>
            <w:tcW w:w="2841" w:type="dxa"/>
            <w:vAlign w:val="top"/>
          </w:tcPr>
          <w:p>
            <w:pPr>
              <w:kinsoku w:val="0"/>
              <w:snapToGrid w:val="0"/>
            </w:pPr>
            <w:r>
              <w:rPr>
                <w:rFonts w:hint="eastAsia" w:eastAsia="PMingLiU"/>
                <w:lang w:eastAsia="zh-TW"/>
              </w:rPr>
              <w:t>徐</w:t>
            </w:r>
            <w:r>
              <w:rPr>
                <w:rFonts w:eastAsia="PMingLiU"/>
                <w:lang w:eastAsia="zh-TW"/>
              </w:rPr>
              <w:t xml:space="preserve">  </w:t>
            </w:r>
            <w:r>
              <w:rPr>
                <w:rFonts w:hint="eastAsia" w:eastAsia="PMingLiU"/>
                <w:lang w:eastAsia="zh-TW"/>
              </w:rPr>
              <w:t>列先生</w:t>
            </w:r>
          </w:p>
        </w:tc>
        <w:tc>
          <w:tcPr>
            <w:tcW w:w="2841" w:type="dxa"/>
            <w:vAlign w:val="top"/>
          </w:tcPr>
          <w:p>
            <w:pPr>
              <w:kinsoku w:val="0"/>
              <w:snapToGrid w:val="0"/>
            </w:pPr>
            <w:r>
              <w:rPr>
                <w:rFonts w:hint="eastAsia" w:eastAsia="PMingLiU"/>
                <w:lang w:eastAsia="zh-TW"/>
              </w:rPr>
              <w:t>李文明先生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p>
        </w:tc>
        <w:tc>
          <w:tcPr>
            <w:tcW w:w="2841" w:type="dxa"/>
            <w:vAlign w:val="top"/>
          </w:tcPr>
          <w:p>
            <w:pPr>
              <w:kinsoku w:val="0"/>
              <w:snapToGrid w:val="0"/>
            </w:pPr>
            <w:r>
              <w:rPr>
                <w:rFonts w:hint="eastAsia" w:eastAsia="PMingLiU"/>
                <w:lang w:eastAsia="zh-TW"/>
              </w:rPr>
              <w:t>趙</w:t>
            </w:r>
            <w:r>
              <w:rPr>
                <w:rFonts w:eastAsia="PMingLiU"/>
                <w:lang w:eastAsia="zh-TW"/>
              </w:rPr>
              <w:t xml:space="preserve">  </w:t>
            </w:r>
            <w:r>
              <w:rPr>
                <w:rFonts w:hint="eastAsia" w:eastAsia="PMingLiU"/>
                <w:lang w:eastAsia="zh-TW"/>
              </w:rPr>
              <w:t>斌先生</w:t>
            </w:r>
          </w:p>
        </w:tc>
        <w:tc>
          <w:tcPr>
            <w:tcW w:w="2841" w:type="dxa"/>
            <w:vAlign w:val="top"/>
          </w:tcPr>
          <w:p>
            <w:pPr>
              <w:kinsoku w:val="0"/>
              <w:snapToGrid w:val="0"/>
            </w:pPr>
            <w:r>
              <w:rPr>
                <w:rFonts w:hint="eastAsia" w:eastAsia="PMingLiU"/>
                <w:lang w:eastAsia="zh-TW"/>
              </w:rPr>
              <w:t>陳仲戟先生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vAlign w:val="top"/>
          </w:tcPr>
          <w:p>
            <w:pPr>
              <w:kinsoku w:val="0"/>
              <w:snapToGrid w:val="0"/>
            </w:pPr>
          </w:p>
        </w:tc>
        <w:tc>
          <w:tcPr>
            <w:tcW w:w="2841" w:type="dxa"/>
            <w:vAlign w:val="top"/>
          </w:tcPr>
          <w:p>
            <w:pPr>
              <w:kinsoku w:val="0"/>
              <w:snapToGrid w:val="0"/>
            </w:pPr>
          </w:p>
        </w:tc>
        <w:tc>
          <w:tcPr>
            <w:tcW w:w="2841" w:type="dxa"/>
            <w:vAlign w:val="top"/>
          </w:tcPr>
          <w:p>
            <w:pPr>
              <w:kinsoku w:val="0"/>
              <w:snapToGrid w:val="0"/>
            </w:pPr>
          </w:p>
        </w:tc>
      </w:tr>
    </w:tbl>
    <w:p>
      <w:r>
        <w:br w:type="page"/>
      </w:r>
    </w:p>
    <w:p>
      <w:pPr>
        <w:jc w:val="center"/>
        <w:rPr>
          <w:highlight w:val="none"/>
        </w:rPr>
      </w:pPr>
      <w:r>
        <w:rPr>
          <w:rFonts w:hint="eastAsia"/>
        </w:rPr>
        <w:t>证券代码：000756             证券简称：新华制药             公告编号</w:t>
      </w:r>
      <w:r>
        <w:rPr>
          <w:rFonts w:hint="eastAsia"/>
          <w:highlight w:val="none"/>
        </w:rPr>
        <w:t>：201</w:t>
      </w:r>
      <w:r>
        <w:rPr>
          <w:rFonts w:hint="eastAsia"/>
          <w:color w:val="auto"/>
          <w:highlight w:val="none"/>
        </w:rPr>
        <w:t>8-</w:t>
      </w:r>
      <w:r>
        <w:rPr>
          <w:rFonts w:hint="eastAsia"/>
          <w:color w:val="auto"/>
          <w:highlight w:val="none"/>
          <w:lang w:val="en-US" w:eastAsia="zh-CN"/>
        </w:rPr>
        <w:t>08</w:t>
      </w:r>
    </w:p>
    <w:p>
      <w:pPr>
        <w:jc w:val="center"/>
      </w:pPr>
    </w:p>
    <w:p>
      <w:pPr>
        <w:jc w:val="center"/>
        <w:rPr>
          <w:b/>
          <w:bCs/>
          <w:sz w:val="28"/>
          <w:szCs w:val="28"/>
        </w:rPr>
      </w:pPr>
      <w:r>
        <w:rPr>
          <w:rFonts w:hint="eastAsia"/>
          <w:b/>
          <w:bCs/>
          <w:sz w:val="28"/>
          <w:szCs w:val="28"/>
        </w:rPr>
        <w:t>山东新华制药股份有限公司</w:t>
      </w:r>
    </w:p>
    <w:p>
      <w:pPr>
        <w:jc w:val="center"/>
        <w:rPr>
          <w:b/>
          <w:bCs/>
          <w:sz w:val="28"/>
          <w:szCs w:val="28"/>
        </w:rPr>
      </w:pPr>
      <w:r>
        <w:rPr>
          <w:rFonts w:hint="eastAsia"/>
          <w:b/>
          <w:bCs/>
          <w:sz w:val="28"/>
          <w:szCs w:val="28"/>
        </w:rPr>
        <w:t>关于终止筹划发行A股股份购买资产暨股票复牌公告</w:t>
      </w:r>
    </w:p>
    <w:p>
      <w:pPr>
        <w:spacing w:line="440" w:lineRule="exact"/>
        <w:ind w:firstLine="480" w:firstLineChars="200"/>
        <w:rPr>
          <w:rFonts w:ascii="楷体_GB2312" w:eastAsia="楷体_GB2312"/>
          <w:sz w:val="24"/>
        </w:rPr>
      </w:pPr>
      <w:r>
        <w:rPr>
          <w:rFonts w:hint="eastAsia" w:ascii="楷体_GB2312" w:eastAsia="楷体_GB2312"/>
          <w:sz w:val="24"/>
        </w:rPr>
        <w:t>本公司及董事会全体成员保证信息披露的内容真实、准确、完整，没有虚假记载、误导性陈述或重大遗漏。</w:t>
      </w:r>
    </w:p>
    <w:p>
      <w:pPr>
        <w:spacing w:beforeLines="50" w:line="360" w:lineRule="auto"/>
        <w:ind w:firstLine="480" w:firstLineChars="200"/>
        <w:rPr>
          <w:sz w:val="24"/>
        </w:rPr>
      </w:pPr>
      <w:r>
        <w:rPr>
          <w:rFonts w:hint="eastAsia"/>
          <w:sz w:val="24"/>
        </w:rPr>
        <w:t>山东新华制药股份有限公司（以下简称“公司”）因筹划重大事项，涉及发行股份购买资产，根据《主板信息披露业务备忘录第9号—上市公司停复牌业务》，公司向深圳证券交易所（下称“深交所”）申请公司A股股票（证券简称：新华制药，证券代码：000756）于2018年1月25日（星期四）开市起停牌，并发布《关于筹划发行股份购买资产的A股停牌公告》（公告编号：2018-04）。停牌期间，公司已根据相关规定及时履行信息披露义务，分别于2018年2月1日、2018年2月8日发布《关于筹划发行股份购买资产的A股停牌进展公告》（公告编号：2018-05、2018-06）。详情请查阅2018年1月25日、2018年2月1日、2018年2月8日刊登在《证券时报》、巨潮资讯网的</w:t>
      </w:r>
      <w:r>
        <w:rPr>
          <w:rFonts w:hint="eastAsia"/>
          <w:sz w:val="24"/>
          <w:lang w:eastAsia="zh-CN"/>
        </w:rPr>
        <w:t>公告编号</w:t>
      </w:r>
      <w:r>
        <w:rPr>
          <w:rFonts w:hint="eastAsia"/>
          <w:sz w:val="24"/>
          <w:lang w:val="en-US" w:eastAsia="zh-CN"/>
        </w:rPr>
        <w:t>2018-05</w:t>
      </w:r>
      <w:r>
        <w:rPr>
          <w:rFonts w:hint="eastAsia"/>
          <w:sz w:val="24"/>
        </w:rPr>
        <w:t>《新华制药：关于筹划发行股份购买资产的A股停牌公告》、</w:t>
      </w:r>
      <w:r>
        <w:rPr>
          <w:rFonts w:hint="eastAsia"/>
          <w:sz w:val="24"/>
          <w:lang w:eastAsia="zh-CN"/>
        </w:rPr>
        <w:t>公告编号</w:t>
      </w:r>
      <w:r>
        <w:rPr>
          <w:rFonts w:hint="eastAsia"/>
          <w:sz w:val="24"/>
          <w:lang w:val="en-US" w:eastAsia="zh-CN"/>
        </w:rPr>
        <w:t>2018-06</w:t>
      </w:r>
      <w:r>
        <w:rPr>
          <w:rFonts w:hint="eastAsia"/>
          <w:sz w:val="24"/>
        </w:rPr>
        <w:t>《新华制药：关于筹划发行股份购买资产的A股停牌进展公告》。</w:t>
      </w:r>
    </w:p>
    <w:p>
      <w:pPr>
        <w:spacing w:beforeLines="50" w:line="360" w:lineRule="auto"/>
        <w:ind w:firstLine="480" w:firstLineChars="200"/>
        <w:rPr>
          <w:sz w:val="24"/>
        </w:rPr>
      </w:pPr>
      <w:r>
        <w:rPr>
          <w:rFonts w:hint="eastAsia"/>
          <w:sz w:val="24"/>
        </w:rPr>
        <w:t>现经审慎考虑，公司决定终止筹划本次发行股份购买资产事项，具体情况如下：</w:t>
      </w:r>
    </w:p>
    <w:p>
      <w:pPr>
        <w:spacing w:beforeLines="50" w:line="360" w:lineRule="auto"/>
        <w:ind w:firstLine="560"/>
        <w:rPr>
          <w:b/>
          <w:sz w:val="24"/>
        </w:rPr>
      </w:pPr>
      <w:r>
        <w:rPr>
          <w:rFonts w:hint="eastAsia"/>
          <w:b/>
          <w:sz w:val="24"/>
        </w:rPr>
        <w:t>一、本次筹划发行股份购买资产事项的具体情况</w:t>
      </w:r>
    </w:p>
    <w:p>
      <w:pPr>
        <w:spacing w:beforeLines="50" w:line="360" w:lineRule="auto"/>
        <w:ind w:firstLine="560"/>
        <w:rPr>
          <w:sz w:val="24"/>
        </w:rPr>
      </w:pPr>
      <w:r>
        <w:rPr>
          <w:sz w:val="24"/>
        </w:rPr>
        <w:t>公司本次拟以发行股份的方式购买资产，</w:t>
      </w:r>
      <w:r>
        <w:rPr>
          <w:rFonts w:hint="eastAsia"/>
          <w:sz w:val="24"/>
        </w:rPr>
        <w:t>初步计划本次交易涉及标的资产所属行业包括医药制造业、化工中间体行业，本次发行股份购买资产的交易对方为公司控股股东、实际控制人，与公司存在关联关系。</w:t>
      </w:r>
    </w:p>
    <w:p>
      <w:pPr>
        <w:spacing w:beforeLines="50" w:line="360" w:lineRule="auto"/>
        <w:ind w:firstLine="560"/>
        <w:rPr>
          <w:b/>
          <w:sz w:val="24"/>
        </w:rPr>
      </w:pPr>
      <w:r>
        <w:rPr>
          <w:b/>
          <w:sz w:val="24"/>
        </w:rPr>
        <w:t>二、</w:t>
      </w:r>
      <w:r>
        <w:rPr>
          <w:rFonts w:hint="eastAsia"/>
          <w:b/>
          <w:sz w:val="24"/>
        </w:rPr>
        <w:t>公司在筹划发行股份购买资产事项期间所做的主要工作</w:t>
      </w:r>
    </w:p>
    <w:p>
      <w:pPr>
        <w:spacing w:beforeLines="50" w:line="360" w:lineRule="auto"/>
        <w:ind w:firstLine="560"/>
        <w:rPr>
          <w:sz w:val="24"/>
        </w:rPr>
      </w:pPr>
      <w:r>
        <w:rPr>
          <w:rFonts w:hint="eastAsia"/>
          <w:sz w:val="24"/>
        </w:rPr>
        <w:t>停牌期间，公司与各相关方严格按照中国证监会和深圳证券交易所等有关规定，努力推进本次发行A股股份购买资产的各项工作。公司与相关各方就本次重大资产重组方案进行论证及协商，组织中介机构对标的资产进行尽职调查、审计、评估等工作。</w:t>
      </w:r>
    </w:p>
    <w:p>
      <w:pPr>
        <w:spacing w:beforeLines="50" w:line="360" w:lineRule="auto"/>
        <w:ind w:firstLine="560"/>
        <w:rPr>
          <w:sz w:val="24"/>
        </w:rPr>
      </w:pPr>
      <w:r>
        <w:rPr>
          <w:rFonts w:hint="eastAsia"/>
          <w:sz w:val="24"/>
        </w:rPr>
        <w:t>根据相关规定，公司自停牌之日起，对本次交易涉及的内幕信息知情人进行了登记和申报，根据本次发行A股股份购买资产进度报送交易进程备忘录。同时，严格履行了相关信息披露义务。</w:t>
      </w:r>
    </w:p>
    <w:p>
      <w:pPr>
        <w:spacing w:beforeLines="50" w:line="360" w:lineRule="auto"/>
        <w:ind w:firstLine="560"/>
        <w:rPr>
          <w:b/>
          <w:sz w:val="24"/>
        </w:rPr>
      </w:pPr>
      <w:r>
        <w:rPr>
          <w:b/>
          <w:sz w:val="24"/>
        </w:rPr>
        <w:t>三、</w:t>
      </w:r>
      <w:r>
        <w:rPr>
          <w:rFonts w:hint="eastAsia"/>
          <w:b/>
          <w:sz w:val="24"/>
        </w:rPr>
        <w:t>终止筹划发行股份购买资产事项的原因</w:t>
      </w:r>
    </w:p>
    <w:p>
      <w:pPr>
        <w:spacing w:beforeLines="50" w:line="360" w:lineRule="auto"/>
        <w:ind w:firstLine="560"/>
        <w:rPr>
          <w:sz w:val="24"/>
        </w:rPr>
      </w:pPr>
      <w:r>
        <w:rPr>
          <w:rFonts w:hint="eastAsia"/>
          <w:sz w:val="24"/>
        </w:rPr>
        <w:t>为推进本次发行股份购买资产事项，自公司股票停牌以来，公司与交易对方就购买标的资产事项进行了积极沟通，但是鉴于近期证券市场环境变化，公司未能与交易对方就标的资产交易方式等核心条款达成一致意见，导致本次发行股份购买资产事项无法如期推进。鉴于继续推进将面临诸多不确定因素，为维护公司及其股东的利益，经综合考量、审慎考虑，公司决定终止筹划本次发行股份购买资产事项。</w:t>
      </w:r>
    </w:p>
    <w:p>
      <w:pPr>
        <w:spacing w:beforeLines="50" w:line="360" w:lineRule="auto"/>
        <w:ind w:firstLine="560"/>
        <w:rPr>
          <w:b/>
          <w:sz w:val="24"/>
        </w:rPr>
      </w:pPr>
      <w:r>
        <w:rPr>
          <w:b/>
          <w:sz w:val="24"/>
        </w:rPr>
        <w:t>四、</w:t>
      </w:r>
      <w:r>
        <w:rPr>
          <w:rFonts w:hint="eastAsia"/>
          <w:b/>
          <w:sz w:val="24"/>
        </w:rPr>
        <w:t>终止筹划发行股份购买资产事项对公司的影响</w:t>
      </w:r>
    </w:p>
    <w:p>
      <w:pPr>
        <w:spacing w:beforeLines="50" w:line="360" w:lineRule="auto"/>
        <w:ind w:firstLine="560"/>
        <w:rPr>
          <w:sz w:val="24"/>
        </w:rPr>
      </w:pPr>
      <w:r>
        <w:rPr>
          <w:rFonts w:hint="eastAsia"/>
          <w:sz w:val="24"/>
        </w:rPr>
        <w:t>本次发行股份购买资产事项处于筹划阶段，公司未与交易对方签署正式收购协议，因此本次终止筹划发行A股股份购买资产后，交易各方均无需承担法律责任。</w:t>
      </w:r>
    </w:p>
    <w:p>
      <w:pPr>
        <w:spacing w:beforeLines="50" w:line="360" w:lineRule="auto"/>
        <w:ind w:firstLine="560"/>
        <w:rPr>
          <w:sz w:val="24"/>
        </w:rPr>
      </w:pPr>
      <w:r>
        <w:rPr>
          <w:rFonts w:hint="eastAsia"/>
          <w:sz w:val="24"/>
        </w:rPr>
        <w:t>公司本次终止筹划发行股份购买资产事项，是基于对公司及交易对方现状的审慎判断，不会对公司目前的生产经营造成重大不利影响。</w:t>
      </w:r>
    </w:p>
    <w:p>
      <w:pPr>
        <w:spacing w:beforeLines="50" w:line="360" w:lineRule="auto"/>
        <w:ind w:firstLine="560"/>
        <w:rPr>
          <w:b/>
          <w:sz w:val="24"/>
        </w:rPr>
      </w:pPr>
      <w:r>
        <w:rPr>
          <w:rFonts w:hint="eastAsia"/>
          <w:b/>
          <w:sz w:val="24"/>
        </w:rPr>
        <w:t>五、相关承诺</w:t>
      </w:r>
    </w:p>
    <w:p>
      <w:pPr>
        <w:spacing w:beforeLines="50" w:line="360" w:lineRule="auto"/>
        <w:ind w:firstLine="560"/>
        <w:rPr>
          <w:rFonts w:hint="eastAsia"/>
          <w:sz w:val="24"/>
        </w:rPr>
      </w:pPr>
      <w:r>
        <w:rPr>
          <w:rFonts w:hint="eastAsia"/>
          <w:sz w:val="24"/>
        </w:rPr>
        <w:t>根据相关规定，公司承诺自</w:t>
      </w:r>
      <w:r>
        <w:rPr>
          <w:rFonts w:hint="eastAsia"/>
          <w:sz w:val="24"/>
          <w:lang w:val="en-US" w:eastAsia="zh-CN"/>
        </w:rPr>
        <w:t>A股</w:t>
      </w:r>
      <w:r>
        <w:rPr>
          <w:rFonts w:hint="eastAsia"/>
          <w:sz w:val="24"/>
        </w:rPr>
        <w:t>股票复牌公告之日起至少1个月内不再筹划</w:t>
      </w:r>
      <w:r>
        <w:rPr>
          <w:rFonts w:hint="eastAsia"/>
          <w:sz w:val="24"/>
          <w:lang w:eastAsia="zh-CN"/>
        </w:rPr>
        <w:t>重大资产重组事项</w:t>
      </w:r>
      <w:r>
        <w:rPr>
          <w:rFonts w:hint="eastAsia"/>
          <w:sz w:val="24"/>
        </w:rPr>
        <w:t>。</w:t>
      </w:r>
    </w:p>
    <w:p>
      <w:pPr>
        <w:spacing w:beforeLines="50" w:line="360" w:lineRule="auto"/>
        <w:ind w:firstLine="560"/>
        <w:rPr>
          <w:b/>
          <w:sz w:val="24"/>
        </w:rPr>
      </w:pPr>
      <w:r>
        <w:rPr>
          <w:b/>
          <w:sz w:val="24"/>
        </w:rPr>
        <w:t>六、股票复牌安排</w:t>
      </w:r>
    </w:p>
    <w:p>
      <w:pPr>
        <w:spacing w:beforeLines="50" w:line="360" w:lineRule="auto"/>
        <w:ind w:firstLine="560"/>
        <w:rPr>
          <w:color w:val="auto"/>
          <w:sz w:val="24"/>
        </w:rPr>
      </w:pPr>
      <w:r>
        <w:rPr>
          <w:rFonts w:hint="eastAsia"/>
          <w:sz w:val="24"/>
        </w:rPr>
        <w:t>根据相关规定，经公司向深交所申请，公司A股股票（证券简称：新华制药，证券代码：000756）将于2018</w:t>
      </w:r>
      <w:r>
        <w:rPr>
          <w:rFonts w:hint="eastAsia"/>
          <w:color w:val="auto"/>
          <w:sz w:val="24"/>
        </w:rPr>
        <w:t>年2月</w:t>
      </w:r>
      <w:r>
        <w:rPr>
          <w:rFonts w:hint="eastAsia"/>
          <w:color w:val="auto"/>
          <w:sz w:val="24"/>
          <w:highlight w:val="none"/>
        </w:rPr>
        <w:t>14</w:t>
      </w:r>
      <w:r>
        <w:rPr>
          <w:rFonts w:hint="eastAsia"/>
          <w:color w:val="auto"/>
          <w:sz w:val="24"/>
        </w:rPr>
        <w:t>日开市起复牌。</w:t>
      </w:r>
    </w:p>
    <w:p>
      <w:pPr>
        <w:spacing w:beforeLines="50" w:line="360" w:lineRule="auto"/>
        <w:ind w:firstLine="480" w:firstLineChars="200"/>
        <w:rPr>
          <w:color w:val="auto"/>
          <w:sz w:val="24"/>
        </w:rPr>
      </w:pPr>
      <w:r>
        <w:rPr>
          <w:rFonts w:hint="eastAsia"/>
          <w:color w:val="auto"/>
          <w:sz w:val="24"/>
        </w:rPr>
        <w:t>特此公告</w:t>
      </w:r>
    </w:p>
    <w:p>
      <w:pPr>
        <w:adjustRightInd w:val="0"/>
        <w:spacing w:beforeLines="50" w:line="360" w:lineRule="auto"/>
        <w:ind w:firstLine="4560" w:firstLineChars="1900"/>
        <w:rPr>
          <w:color w:val="auto"/>
          <w:sz w:val="24"/>
        </w:rPr>
      </w:pPr>
      <w:r>
        <w:rPr>
          <w:rFonts w:hint="eastAsia"/>
          <w:color w:val="auto"/>
          <w:sz w:val="24"/>
        </w:rPr>
        <w:t>山东新华制药股份有限公司董事会</w:t>
      </w:r>
    </w:p>
    <w:p>
      <w:pPr>
        <w:spacing w:beforeLines="50" w:line="360" w:lineRule="auto"/>
        <w:jc w:val="center"/>
        <w:rPr>
          <w:color w:val="auto"/>
          <w:sz w:val="24"/>
        </w:rPr>
      </w:pPr>
      <w:r>
        <w:rPr>
          <w:rFonts w:hint="eastAsia"/>
          <w:color w:val="auto"/>
          <w:sz w:val="24"/>
        </w:rPr>
        <w:t xml:space="preserve">                </w:t>
      </w:r>
      <w:r>
        <w:rPr>
          <w:color w:val="auto"/>
          <w:sz w:val="24"/>
        </w:rPr>
        <w:t xml:space="preserve">                     </w:t>
      </w:r>
      <w:r>
        <w:rPr>
          <w:rFonts w:hint="eastAsia"/>
          <w:color w:val="auto"/>
          <w:sz w:val="24"/>
        </w:rPr>
        <w:t xml:space="preserve"> 2018年2月1</w:t>
      </w:r>
      <w:r>
        <w:rPr>
          <w:rFonts w:hint="eastAsia"/>
          <w:color w:val="auto"/>
          <w:sz w:val="24"/>
          <w:lang w:val="en-US" w:eastAsia="zh-CN"/>
        </w:rPr>
        <w:t>4</w:t>
      </w:r>
      <w:r>
        <w:rPr>
          <w:rFonts w:hint="eastAsia"/>
          <w:color w:val="auto"/>
          <w:sz w:val="24"/>
        </w:rPr>
        <w:t>日</w:t>
      </w:r>
    </w:p>
    <w:p>
      <w:r>
        <w:t xml:space="preserve"> </w:t>
      </w:r>
    </w:p>
    <w:p/>
    <w:p>
      <w:pPr>
        <w:jc w:val="center"/>
        <w:rPr>
          <w:rFonts w:ascii="Times New Roman" w:hAnsi="Times New Roman" w:eastAsia="黑体"/>
          <w:b/>
          <w:sz w:val="36"/>
        </w:rPr>
      </w:pPr>
    </w:p>
    <w:p>
      <w:pPr>
        <w:spacing w:beforeLines="100" w:afterLines="100" w:line="480" w:lineRule="auto"/>
        <w:jc w:val="center"/>
        <w:rPr>
          <w:rFonts w:ascii="Times New Roman" w:hAnsi="Times New Roman" w:eastAsia="黑体"/>
          <w:b/>
          <w:sz w:val="48"/>
          <w:szCs w:val="48"/>
        </w:rPr>
      </w:pPr>
      <w:r>
        <w:rPr>
          <w:rFonts w:hint="eastAsia" w:ascii="Times New Roman" w:hAnsi="Times New Roman" w:eastAsia="黑体"/>
          <w:b/>
          <w:sz w:val="48"/>
          <w:szCs w:val="48"/>
        </w:rPr>
        <w:t>中泰证券股份有限公司</w:t>
      </w:r>
    </w:p>
    <w:p>
      <w:pPr>
        <w:spacing w:beforeLines="100" w:afterLines="100" w:line="480" w:lineRule="auto"/>
        <w:jc w:val="center"/>
        <w:rPr>
          <w:rFonts w:ascii="Times New Roman" w:hAnsi="Times New Roman" w:eastAsia="黑体"/>
          <w:b/>
          <w:sz w:val="48"/>
          <w:szCs w:val="48"/>
        </w:rPr>
      </w:pPr>
      <w:r>
        <w:rPr>
          <w:rFonts w:hint="eastAsia" w:ascii="Times New Roman" w:hAnsi="Times New Roman" w:eastAsia="黑体"/>
          <w:b/>
          <w:sz w:val="48"/>
          <w:szCs w:val="48"/>
        </w:rPr>
        <w:t>关于</w:t>
      </w:r>
    </w:p>
    <w:p>
      <w:pPr>
        <w:spacing w:beforeLines="100" w:afterLines="100" w:line="480" w:lineRule="auto"/>
        <w:jc w:val="center"/>
        <w:rPr>
          <w:rFonts w:ascii="Times New Roman" w:hAnsi="Times New Roman" w:eastAsia="黑体"/>
          <w:b/>
          <w:sz w:val="48"/>
          <w:szCs w:val="48"/>
        </w:rPr>
      </w:pPr>
      <w:r>
        <w:rPr>
          <w:rFonts w:hint="eastAsia" w:ascii="Times New Roman" w:hAnsi="Times New Roman" w:eastAsia="黑体"/>
          <w:b/>
          <w:sz w:val="48"/>
          <w:szCs w:val="48"/>
        </w:rPr>
        <w:t>山东新华制药股份有限公司</w:t>
      </w:r>
    </w:p>
    <w:p>
      <w:pPr>
        <w:spacing w:beforeLines="100" w:afterLines="100" w:line="480" w:lineRule="auto"/>
        <w:jc w:val="center"/>
        <w:rPr>
          <w:rFonts w:ascii="Times New Roman" w:hAnsi="Times New Roman" w:eastAsia="黑体"/>
          <w:b/>
          <w:sz w:val="48"/>
          <w:szCs w:val="48"/>
        </w:rPr>
      </w:pPr>
      <w:r>
        <w:rPr>
          <w:rFonts w:hint="eastAsia" w:ascii="Times New Roman" w:hAnsi="Times New Roman" w:eastAsia="黑体"/>
          <w:b/>
          <w:sz w:val="48"/>
          <w:szCs w:val="48"/>
        </w:rPr>
        <w:t>终止发行A股股份购买资产事项</w:t>
      </w:r>
    </w:p>
    <w:p>
      <w:pPr>
        <w:spacing w:beforeLines="100" w:afterLines="100" w:line="480" w:lineRule="auto"/>
        <w:jc w:val="center"/>
        <w:rPr>
          <w:rFonts w:ascii="Times New Roman" w:hAnsi="Times New Roman" w:eastAsia="黑体"/>
          <w:b/>
          <w:sz w:val="48"/>
          <w:szCs w:val="48"/>
        </w:rPr>
      </w:pPr>
      <w:r>
        <w:rPr>
          <w:rFonts w:hint="eastAsia" w:ascii="Times New Roman" w:hAnsi="Times New Roman" w:eastAsia="黑体"/>
          <w:b/>
          <w:sz w:val="48"/>
          <w:szCs w:val="48"/>
        </w:rPr>
        <w:t>之</w:t>
      </w:r>
    </w:p>
    <w:p>
      <w:pPr>
        <w:spacing w:beforeLines="100" w:afterLines="100" w:line="480" w:lineRule="auto"/>
        <w:jc w:val="center"/>
        <w:rPr>
          <w:rFonts w:ascii="Times New Roman" w:hAnsi="Times New Roman" w:eastAsia="黑体"/>
          <w:b/>
          <w:sz w:val="48"/>
          <w:szCs w:val="48"/>
        </w:rPr>
      </w:pPr>
      <w:r>
        <w:rPr>
          <w:rFonts w:hint="eastAsia" w:ascii="Times New Roman" w:hAnsi="Times New Roman" w:eastAsia="黑体"/>
          <w:b/>
          <w:sz w:val="48"/>
          <w:szCs w:val="48"/>
        </w:rPr>
        <w:t>独立财务顾问核查意见</w:t>
      </w:r>
    </w:p>
    <w:p/>
    <w:p/>
    <w:p/>
    <w:p/>
    <w:p/>
    <w:p/>
    <w:p/>
    <w:p/>
    <w:p/>
    <w:p/>
    <w:p>
      <w:pPr>
        <w:spacing w:beforeLines="50" w:afterLines="50" w:line="480" w:lineRule="auto"/>
        <w:jc w:val="center"/>
        <w:rPr>
          <w:rFonts w:ascii="Times New Roman" w:hAnsi="Times New Roman" w:eastAsia="黑体"/>
          <w:sz w:val="30"/>
          <w:szCs w:val="30"/>
        </w:rPr>
      </w:pPr>
      <w:r>
        <w:rPr>
          <w:rFonts w:hint="eastAsia" w:ascii="Times New Roman" w:hAnsi="Times New Roman" w:eastAsia="黑体"/>
          <w:sz w:val="30"/>
          <w:szCs w:val="30"/>
        </w:rPr>
        <w:t>独立财务顾问</w:t>
      </w:r>
    </w:p>
    <w:p>
      <w:pPr>
        <w:spacing w:beforeLines="50" w:afterLines="50" w:line="480" w:lineRule="auto"/>
        <w:jc w:val="center"/>
        <w:rPr>
          <w:rFonts w:ascii="Times New Roman" w:hAnsi="Times New Roman" w:eastAsia="黑体"/>
          <w:b/>
          <w:sz w:val="30"/>
          <w:szCs w:val="30"/>
        </w:rPr>
      </w:pPr>
      <w:r>
        <w:rPr>
          <w:rFonts w:ascii="Times New Roman" w:hAnsi="Times New Roman" w:eastAsia="宋体" w:cs="Times New Roman"/>
          <w:kern w:val="2"/>
          <w:sz w:val="18"/>
          <w:szCs w:val="22"/>
          <w:lang w:val="en-US" w:eastAsia="zh-CN" w:bidi="ar-SA"/>
        </w:rPr>
        <w:pict>
          <v:shape id="图片 2" o:spid="_x0000_s1029" type="#_x0000_t75" style="height:53.25pt;width:260.2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spacing w:beforeLines="50" w:afterLines="50" w:line="480" w:lineRule="auto"/>
        <w:jc w:val="center"/>
        <w:rPr>
          <w:rFonts w:ascii="Times New Roman" w:hAnsi="Times New Roman" w:eastAsia="黑体"/>
          <w:sz w:val="30"/>
          <w:szCs w:val="30"/>
        </w:rPr>
        <w:sectPr>
          <w:headerReference r:id="rId4" w:type="default"/>
          <w:footerReference r:id="rId5" w:type="default"/>
          <w:pgSz w:w="11906" w:h="16838"/>
          <w:pgMar w:top="1440" w:right="1800" w:bottom="1440" w:left="1800" w:header="851" w:footer="992" w:gutter="0"/>
          <w:cols w:space="720" w:num="1"/>
          <w:docGrid w:type="lines" w:linePitch="312" w:charSpace="0"/>
        </w:sectPr>
      </w:pPr>
      <w:r>
        <w:rPr>
          <w:rFonts w:hint="eastAsia" w:ascii="Times New Roman" w:hAnsi="Times New Roman" w:eastAsia="黑体"/>
          <w:sz w:val="30"/>
          <w:szCs w:val="30"/>
        </w:rPr>
        <w:t>签署日期：二〇一八年二月</w:t>
      </w:r>
    </w:p>
    <w:p>
      <w:pPr>
        <w:widowControl/>
        <w:shd w:val="clear" w:color="auto" w:fill="FFFFFF"/>
        <w:spacing w:before="150" w:after="150"/>
        <w:jc w:val="center"/>
        <w:outlineLvl w:val="4"/>
        <w:rPr>
          <w:rFonts w:ascii="微软雅黑" w:hAnsi="微软雅黑" w:eastAsia="微软雅黑" w:cs="宋体"/>
          <w:b/>
          <w:bCs/>
          <w:color w:val="333333"/>
          <w:kern w:val="0"/>
          <w:sz w:val="24"/>
          <w:szCs w:val="24"/>
        </w:rPr>
      </w:pPr>
      <w:r>
        <w:rPr>
          <w:rFonts w:hint="eastAsia"/>
          <w:b/>
          <w:sz w:val="32"/>
          <w:szCs w:val="32"/>
        </w:rPr>
        <w:t>声明</w:t>
      </w:r>
    </w:p>
    <w:p>
      <w:pPr>
        <w:widowControl/>
        <w:shd w:val="clear" w:color="auto" w:fill="FFFFFF"/>
        <w:spacing w:beforeLines="50" w:line="360" w:lineRule="auto"/>
        <w:ind w:firstLine="480" w:firstLineChars="200"/>
        <w:jc w:val="left"/>
        <w:rPr>
          <w:rFonts w:ascii="Times New Roman" w:hAnsi="Times New Roman"/>
          <w:sz w:val="24"/>
          <w:szCs w:val="24"/>
        </w:rPr>
      </w:pPr>
      <w:r>
        <w:rPr>
          <w:rFonts w:ascii="Times New Roman" w:hAnsi="Times New Roman"/>
          <w:sz w:val="24"/>
          <w:szCs w:val="24"/>
        </w:rPr>
        <w:t>中泰证券股份有限公司（以下简称</w:t>
      </w:r>
      <w:r>
        <w:rPr>
          <w:rFonts w:hint="eastAsia" w:ascii="Times New Roman" w:hAnsi="Times New Roman"/>
          <w:sz w:val="24"/>
          <w:szCs w:val="24"/>
        </w:rPr>
        <w:t>“</w:t>
      </w:r>
      <w:r>
        <w:rPr>
          <w:rFonts w:ascii="Times New Roman" w:hAnsi="Times New Roman"/>
          <w:sz w:val="24"/>
          <w:szCs w:val="24"/>
        </w:rPr>
        <w:t>中泰证券</w:t>
      </w:r>
      <w:r>
        <w:rPr>
          <w:rFonts w:hint="eastAsia" w:ascii="Times New Roman" w:hAnsi="Times New Roman"/>
          <w:sz w:val="24"/>
          <w:szCs w:val="24"/>
        </w:rPr>
        <w:t>”</w:t>
      </w:r>
      <w:r>
        <w:rPr>
          <w:rFonts w:ascii="Times New Roman" w:hAnsi="Times New Roman"/>
          <w:sz w:val="24"/>
          <w:szCs w:val="24"/>
        </w:rPr>
        <w:t>、</w:t>
      </w:r>
      <w:r>
        <w:rPr>
          <w:rFonts w:hint="eastAsia" w:ascii="Times New Roman" w:hAnsi="Times New Roman"/>
          <w:sz w:val="24"/>
          <w:szCs w:val="24"/>
        </w:rPr>
        <w:t>“</w:t>
      </w:r>
      <w:r>
        <w:rPr>
          <w:rFonts w:ascii="Times New Roman" w:hAnsi="Times New Roman"/>
          <w:sz w:val="24"/>
          <w:szCs w:val="24"/>
        </w:rPr>
        <w:t>本独立财务顾问</w:t>
      </w:r>
      <w:r>
        <w:rPr>
          <w:rFonts w:hint="eastAsia" w:ascii="Times New Roman" w:hAnsi="Times New Roman"/>
          <w:sz w:val="24"/>
          <w:szCs w:val="24"/>
        </w:rPr>
        <w:t>”</w:t>
      </w:r>
      <w:r>
        <w:rPr>
          <w:rFonts w:ascii="Times New Roman" w:hAnsi="Times New Roman"/>
          <w:sz w:val="24"/>
          <w:szCs w:val="24"/>
        </w:rPr>
        <w:t>）受山东新华制药股份有限公司（以下简称</w:t>
      </w:r>
      <w:r>
        <w:rPr>
          <w:rFonts w:hint="eastAsia" w:ascii="Times New Roman" w:hAnsi="Times New Roman"/>
          <w:sz w:val="24"/>
          <w:szCs w:val="24"/>
        </w:rPr>
        <w:t>“</w:t>
      </w:r>
      <w:r>
        <w:rPr>
          <w:rFonts w:ascii="Times New Roman" w:hAnsi="Times New Roman"/>
          <w:sz w:val="24"/>
          <w:szCs w:val="24"/>
        </w:rPr>
        <w:t>新华制药</w:t>
      </w:r>
      <w:r>
        <w:rPr>
          <w:rFonts w:hint="eastAsia" w:ascii="Times New Roman" w:hAnsi="Times New Roman"/>
          <w:sz w:val="24"/>
          <w:szCs w:val="24"/>
        </w:rPr>
        <w:t>”</w:t>
      </w:r>
      <w:r>
        <w:rPr>
          <w:rFonts w:ascii="Times New Roman" w:hAnsi="Times New Roman"/>
          <w:sz w:val="24"/>
          <w:szCs w:val="24"/>
        </w:rPr>
        <w:t>、</w:t>
      </w:r>
      <w:r>
        <w:rPr>
          <w:rFonts w:hint="eastAsia" w:ascii="Times New Roman" w:hAnsi="Times New Roman"/>
          <w:sz w:val="24"/>
          <w:szCs w:val="24"/>
        </w:rPr>
        <w:t>“</w:t>
      </w:r>
      <w:r>
        <w:rPr>
          <w:rFonts w:ascii="Times New Roman" w:hAnsi="Times New Roman"/>
          <w:sz w:val="24"/>
          <w:szCs w:val="24"/>
        </w:rPr>
        <w:t>上市公司</w:t>
      </w:r>
      <w:r>
        <w:rPr>
          <w:rFonts w:hint="eastAsia" w:ascii="Times New Roman" w:hAnsi="Times New Roman"/>
          <w:sz w:val="24"/>
          <w:szCs w:val="24"/>
        </w:rPr>
        <w:t>”</w:t>
      </w:r>
      <w:r>
        <w:rPr>
          <w:rFonts w:ascii="Times New Roman" w:hAnsi="Times New Roman"/>
          <w:sz w:val="24"/>
          <w:szCs w:val="24"/>
        </w:rPr>
        <w:t>或</w:t>
      </w:r>
      <w:r>
        <w:rPr>
          <w:rFonts w:hint="eastAsia" w:ascii="Times New Roman" w:hAnsi="Times New Roman"/>
          <w:sz w:val="24"/>
          <w:szCs w:val="24"/>
        </w:rPr>
        <w:t>“</w:t>
      </w:r>
      <w:r>
        <w:rPr>
          <w:rFonts w:ascii="Times New Roman" w:hAnsi="Times New Roman"/>
          <w:sz w:val="24"/>
          <w:szCs w:val="24"/>
        </w:rPr>
        <w:t>公司</w:t>
      </w:r>
      <w:r>
        <w:rPr>
          <w:rFonts w:hint="eastAsia" w:ascii="Times New Roman" w:hAnsi="Times New Roman"/>
          <w:sz w:val="24"/>
          <w:szCs w:val="24"/>
        </w:rPr>
        <w:t>”</w:t>
      </w:r>
      <w:r>
        <w:rPr>
          <w:rFonts w:ascii="Times New Roman" w:hAnsi="Times New Roman"/>
          <w:sz w:val="24"/>
          <w:szCs w:val="24"/>
        </w:rPr>
        <w:t>）委托，担任本次发行A股股份购买资产（以下简称</w:t>
      </w:r>
      <w:r>
        <w:rPr>
          <w:rFonts w:hint="eastAsia" w:ascii="Times New Roman" w:hAnsi="Times New Roman"/>
          <w:sz w:val="24"/>
          <w:szCs w:val="24"/>
        </w:rPr>
        <w:t>“</w:t>
      </w:r>
      <w:r>
        <w:rPr>
          <w:rFonts w:ascii="Times New Roman" w:hAnsi="Times New Roman"/>
          <w:sz w:val="24"/>
          <w:szCs w:val="24"/>
        </w:rPr>
        <w:t>本次交易</w:t>
      </w:r>
      <w:r>
        <w:rPr>
          <w:rFonts w:hint="eastAsia" w:ascii="Times New Roman" w:hAnsi="Times New Roman"/>
          <w:sz w:val="24"/>
          <w:szCs w:val="24"/>
        </w:rPr>
        <w:t>”</w:t>
      </w:r>
      <w:r>
        <w:rPr>
          <w:rFonts w:ascii="Times New Roman" w:hAnsi="Times New Roman"/>
          <w:sz w:val="24"/>
          <w:szCs w:val="24"/>
        </w:rPr>
        <w:t>）的独立财务顾问。</w:t>
      </w:r>
    </w:p>
    <w:p>
      <w:pPr>
        <w:widowControl/>
        <w:shd w:val="clear" w:color="auto" w:fill="FFFFFF"/>
        <w:spacing w:beforeLines="50" w:line="360" w:lineRule="auto"/>
        <w:ind w:firstLine="480" w:firstLineChars="200"/>
        <w:jc w:val="left"/>
        <w:rPr>
          <w:rFonts w:ascii="Times New Roman" w:hAnsi="Times New Roman"/>
          <w:sz w:val="24"/>
          <w:szCs w:val="24"/>
        </w:rPr>
      </w:pPr>
      <w:r>
        <w:rPr>
          <w:rFonts w:ascii="Times New Roman" w:hAnsi="Times New Roman"/>
          <w:sz w:val="24"/>
          <w:szCs w:val="24"/>
        </w:rPr>
        <w:t>本独立财务顾问核查意见是根据《中华人民共和国公司法》、《中华人民共和国证券法》、《上市公司重大资产重组管理办法》、</w:t>
      </w:r>
      <w:r>
        <w:rPr>
          <w:rFonts w:hint="eastAsia" w:ascii="Times New Roman" w:hAnsi="Times New Roman"/>
          <w:sz w:val="24"/>
          <w:szCs w:val="24"/>
        </w:rPr>
        <w:t>《</w:t>
      </w:r>
      <w:r>
        <w:rPr>
          <w:rFonts w:ascii="Times New Roman" w:hAnsi="Times New Roman"/>
          <w:sz w:val="24"/>
          <w:szCs w:val="24"/>
        </w:rPr>
        <w:t>深圳证券交易所股票上市规则》等法律、法规的有关规定，按照证券行业公认的业务标准、道德规范和诚实信用、勤勉尽责精神，遵循客观、公正原则，在认真审阅相关资料和充分了解本次交易行为的基础上，对新华制药终止本次发行A股股份购买资产事项出具核查意见。本独立财务顾问特作如下声明：</w:t>
      </w:r>
    </w:p>
    <w:p>
      <w:pPr>
        <w:widowControl/>
        <w:shd w:val="clear" w:color="auto" w:fill="FFFFFF"/>
        <w:spacing w:beforeLines="50" w:line="360" w:lineRule="auto"/>
        <w:ind w:firstLine="480" w:firstLineChars="200"/>
        <w:jc w:val="left"/>
        <w:rPr>
          <w:rFonts w:ascii="Times New Roman" w:hAnsi="Times New Roman"/>
          <w:sz w:val="24"/>
          <w:szCs w:val="24"/>
        </w:rPr>
      </w:pPr>
      <w:r>
        <w:rPr>
          <w:rFonts w:ascii="Times New Roman" w:hAnsi="Times New Roman"/>
          <w:sz w:val="24"/>
          <w:szCs w:val="24"/>
        </w:rPr>
        <w:t>1、本独立财务顾问核查意见所依据的文件、材料由新华制药、交易对方提供。新华制药和交易对方已向本独立财务顾问保证：其所提供和出具的所有文件、材料合法、真实、准确、完整、及时，不存在任何虚假记载、误导性陈述或重大遗漏，并对其合法性、真实性、准确性、完整性、及时性负责。本独立财务顾问不承担由此引起的任何风险责任。</w:t>
      </w:r>
    </w:p>
    <w:p>
      <w:pPr>
        <w:widowControl/>
        <w:shd w:val="clear" w:color="auto" w:fill="FFFFFF"/>
        <w:spacing w:beforeLines="50" w:line="360" w:lineRule="auto"/>
        <w:ind w:firstLine="480" w:firstLineChars="200"/>
        <w:jc w:val="left"/>
        <w:rPr>
          <w:rFonts w:ascii="Times New Roman" w:hAnsi="Times New Roman"/>
          <w:sz w:val="24"/>
          <w:szCs w:val="24"/>
        </w:rPr>
      </w:pPr>
      <w:r>
        <w:rPr>
          <w:rFonts w:ascii="Times New Roman" w:hAnsi="Times New Roman"/>
          <w:sz w:val="24"/>
          <w:szCs w:val="24"/>
        </w:rPr>
        <w:t>2、本独立财务顾问已对出具核查意见所依据的事实进行了尽职调查，对本核查意见内容的真实性、准确性和完整性负有诚实信用、勤勉尽责义务。</w:t>
      </w:r>
    </w:p>
    <w:p>
      <w:pPr>
        <w:widowControl/>
        <w:shd w:val="clear" w:color="auto" w:fill="FFFFFF"/>
        <w:spacing w:beforeLines="50" w:line="360" w:lineRule="auto"/>
        <w:ind w:firstLine="480" w:firstLineChars="200"/>
        <w:jc w:val="left"/>
        <w:rPr>
          <w:rFonts w:ascii="Times New Roman" w:hAnsi="Times New Roman"/>
          <w:sz w:val="24"/>
          <w:szCs w:val="24"/>
        </w:rPr>
      </w:pPr>
      <w:r>
        <w:rPr>
          <w:rFonts w:ascii="Times New Roman" w:hAnsi="Times New Roman"/>
          <w:sz w:val="24"/>
          <w:szCs w:val="24"/>
        </w:rPr>
        <w:t>3、本独立财务顾问提请投资者注意，本核查意见旨在就本次交易对新华制药全体股东是否公平、合理作出客观、公正的评价并发表意见，本独立财务顾问的职责范围并不包括应由新华制药董事会负责的对本次交易事项在商业上的可行性评论，不构成对新华制药的任何投资建议，对投资者依据本核查意见所做出的任何投资决策可能产生的风险，本独立财务顾问不承担任何责任。</w:t>
      </w:r>
    </w:p>
    <w:p>
      <w:pPr>
        <w:widowControl/>
        <w:shd w:val="clear" w:color="auto" w:fill="FFFFFF"/>
        <w:spacing w:beforeLines="50" w:line="360" w:lineRule="auto"/>
        <w:ind w:firstLine="480" w:firstLineChars="200"/>
        <w:jc w:val="left"/>
        <w:rPr>
          <w:rFonts w:ascii="Times New Roman" w:hAnsi="Times New Roman"/>
          <w:sz w:val="24"/>
          <w:szCs w:val="24"/>
        </w:rPr>
      </w:pPr>
      <w:r>
        <w:rPr>
          <w:rFonts w:ascii="Times New Roman" w:hAnsi="Times New Roman"/>
          <w:sz w:val="24"/>
          <w:szCs w:val="24"/>
        </w:rPr>
        <w:t>4、本独立财务顾问所表达的意见基于下述假设前提之上：国家现行法律、法规无重大变化，相关各方提供的文件资料真实、准确、完整；相关各方遵循诚实信用原则进行了友好协商。</w:t>
      </w:r>
    </w:p>
    <w:p>
      <w:pPr>
        <w:widowControl/>
        <w:shd w:val="clear" w:color="auto" w:fill="FFFFFF"/>
        <w:spacing w:beforeLines="50" w:line="360" w:lineRule="auto"/>
        <w:ind w:firstLine="480" w:firstLineChars="200"/>
        <w:jc w:val="left"/>
        <w:rPr>
          <w:rFonts w:ascii="Times New Roman" w:hAnsi="Times New Roman"/>
          <w:sz w:val="24"/>
          <w:szCs w:val="24"/>
        </w:rPr>
      </w:pPr>
      <w:r>
        <w:rPr>
          <w:rFonts w:ascii="Times New Roman" w:hAnsi="Times New Roman"/>
          <w:sz w:val="24"/>
          <w:szCs w:val="24"/>
        </w:rPr>
        <w:t>5、本独立财务顾问未委托和授权任何其它机构和个人提供未在本独立财务顾问核查意见中列载的信息和对本核查意见做任何解释或者说明。</w:t>
      </w:r>
    </w:p>
    <w:p>
      <w:pPr>
        <w:widowControl/>
        <w:shd w:val="clear" w:color="auto" w:fill="FFFFFF"/>
        <w:spacing w:beforeLines="50"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6、本独立财务顾问提请广大投资者认真阅读新华制药董事会发布的关于终止本次发行</w:t>
      </w:r>
      <w:r>
        <w:rPr>
          <w:rFonts w:hint="eastAsia" w:ascii="Times New Roman" w:hAnsi="Times New Roman"/>
          <w:color w:val="000000"/>
          <w:sz w:val="24"/>
          <w:szCs w:val="24"/>
        </w:rPr>
        <w:t>A股</w:t>
      </w:r>
      <w:r>
        <w:rPr>
          <w:rFonts w:ascii="Times New Roman" w:hAnsi="Times New Roman"/>
          <w:color w:val="000000"/>
          <w:sz w:val="24"/>
          <w:szCs w:val="24"/>
        </w:rPr>
        <w:t>股份购买资产的公告。</w:t>
      </w:r>
    </w:p>
    <w:p>
      <w:pPr>
        <w:widowControl/>
        <w:jc w:val="left"/>
      </w:pPr>
      <w:r>
        <w:br w:type="page"/>
      </w:r>
    </w:p>
    <w:p>
      <w:pPr>
        <w:spacing w:line="360" w:lineRule="auto"/>
        <w:ind w:firstLine="480" w:firstLineChars="200"/>
        <w:rPr>
          <w:rFonts w:ascii="Times New Roman" w:hAnsi="Times New Roman" w:eastAsia="宋体"/>
          <w:color w:val="000000"/>
          <w:sz w:val="24"/>
          <w:szCs w:val="24"/>
          <w:shd w:val="clear" w:color="auto" w:fill="FFFFFF"/>
        </w:rPr>
      </w:pPr>
      <w:r>
        <w:rPr>
          <w:rFonts w:ascii="Times New Roman" w:hAnsi="Times New Roman" w:eastAsia="宋体"/>
          <w:color w:val="000000"/>
          <w:sz w:val="24"/>
          <w:szCs w:val="24"/>
          <w:shd w:val="clear" w:color="auto" w:fill="FFFFFF"/>
        </w:rPr>
        <w:t>本独立财务顾问受新华制药委托，担任本次发行A股股份购买资产的独立财务顾问，按照相关规定审慎核查了本次发行A股股份购买资产终止的原因，出具本专项核查意见如下：</w:t>
      </w:r>
    </w:p>
    <w:p>
      <w:pPr>
        <w:spacing w:beforeLines="50" w:line="360" w:lineRule="auto"/>
        <w:ind w:firstLine="482" w:firstLineChars="200"/>
        <w:rPr>
          <w:rFonts w:ascii="Times New Roman" w:hAnsi="Times New Roman" w:eastAsia="宋体"/>
          <w:b/>
          <w:color w:val="000000"/>
          <w:sz w:val="24"/>
          <w:szCs w:val="24"/>
          <w:shd w:val="clear" w:color="auto" w:fill="FFFFFF"/>
        </w:rPr>
      </w:pPr>
      <w:r>
        <w:rPr>
          <w:rFonts w:ascii="Times New Roman" w:hAnsi="Times New Roman" w:eastAsia="宋体"/>
          <w:b/>
          <w:color w:val="000000"/>
          <w:sz w:val="24"/>
          <w:szCs w:val="24"/>
          <w:shd w:val="clear" w:color="auto" w:fill="FFFFFF"/>
        </w:rPr>
        <w:t>一、本次发行A股股份购买资产主要历程</w:t>
      </w:r>
    </w:p>
    <w:p>
      <w:pPr>
        <w:spacing w:beforeLines="50" w:line="360" w:lineRule="auto"/>
        <w:ind w:firstLine="480" w:firstLineChars="200"/>
        <w:rPr>
          <w:rFonts w:ascii="Times New Roman" w:hAnsi="Times New Roman" w:eastAsia="宋体"/>
          <w:color w:val="000000"/>
          <w:sz w:val="24"/>
          <w:szCs w:val="24"/>
          <w:shd w:val="clear" w:color="auto" w:fill="FFFFFF"/>
        </w:rPr>
      </w:pPr>
      <w:r>
        <w:rPr>
          <w:rFonts w:ascii="Times New Roman" w:hAnsi="Times New Roman" w:eastAsia="宋体"/>
          <w:color w:val="000000"/>
          <w:sz w:val="24"/>
          <w:szCs w:val="24"/>
          <w:shd w:val="clear" w:color="auto" w:fill="FFFFFF"/>
        </w:rPr>
        <w:t>山东新华制药股份有限公司因筹划重大事项，涉及发行股份购买资产，根据《主板信息披露业务备忘录第9号—上市公司停复牌业务》，公司向深圳证券交易所（下称“深交所”）申请公司A股股票（证券简称：新华制药，证券代码：000756）于2018年1月25日（星期四）开市起停牌，并发布《关于筹划发行股份购买资产的A股停牌公告》（公告编号：2018-04）。停牌期间，公司已根据相关规定及时履行信息披露义务，分别于2018年2月1日、2018年2月8日发布《关于筹划发行股份购买资产的A股停牌进展公告》（公告编号：2018-05、2018-06）。详情请查阅2018年1月25日、2018年2月1日、2018年2月8日刊登在《证券时报》、巨潮资讯网的《关于筹划发行股份购买资产的A股停牌公告》、《关于筹划发行股份购买资产的A股停牌进展公告》。</w:t>
      </w:r>
    </w:p>
    <w:p>
      <w:pPr>
        <w:spacing w:beforeLines="50" w:line="360" w:lineRule="auto"/>
        <w:ind w:firstLine="482" w:firstLineChars="200"/>
        <w:rPr>
          <w:rFonts w:ascii="Times New Roman" w:hAnsi="Times New Roman" w:eastAsia="宋体"/>
          <w:b/>
          <w:color w:val="000000"/>
          <w:sz w:val="24"/>
          <w:szCs w:val="24"/>
          <w:shd w:val="clear" w:color="auto" w:fill="FFFFFF"/>
        </w:rPr>
      </w:pPr>
      <w:r>
        <w:rPr>
          <w:rFonts w:ascii="Times New Roman" w:hAnsi="Times New Roman" w:eastAsia="宋体"/>
          <w:b/>
          <w:color w:val="000000"/>
          <w:sz w:val="24"/>
          <w:szCs w:val="24"/>
          <w:shd w:val="clear" w:color="auto" w:fill="FFFFFF"/>
        </w:rPr>
        <w:t>二、新华制药股票停牌期间公司所披露的进展信息的真实性</w:t>
      </w:r>
    </w:p>
    <w:p>
      <w:pPr>
        <w:spacing w:beforeLines="50" w:line="360" w:lineRule="auto"/>
        <w:ind w:firstLine="480" w:firstLineChars="200"/>
        <w:rPr>
          <w:rFonts w:ascii="Times New Roman" w:hAnsi="Times New Roman" w:eastAsia="宋体"/>
          <w:color w:val="000000"/>
          <w:sz w:val="24"/>
          <w:szCs w:val="24"/>
          <w:shd w:val="clear" w:color="auto" w:fill="FFFFFF"/>
        </w:rPr>
      </w:pPr>
      <w:r>
        <w:rPr>
          <w:rFonts w:ascii="Times New Roman" w:hAnsi="Times New Roman" w:eastAsia="宋体"/>
          <w:color w:val="000000"/>
          <w:sz w:val="24"/>
          <w:szCs w:val="24"/>
          <w:shd w:val="clear" w:color="auto" w:fill="FFFFFF"/>
        </w:rPr>
        <w:t>自新华制药筹划本次发行A股股份购买资产事项以来，公司严格按照中国证券监督管理委员会和深圳证券交易所的有关规定，公司及相关各方积极推进本次发行</w:t>
      </w:r>
      <w:r>
        <w:rPr>
          <w:rFonts w:hint="eastAsia" w:ascii="Times New Roman" w:hAnsi="Times New Roman" w:eastAsia="宋体"/>
          <w:color w:val="000000"/>
          <w:sz w:val="24"/>
          <w:szCs w:val="24"/>
          <w:shd w:val="clear" w:color="auto" w:fill="FFFFFF"/>
        </w:rPr>
        <w:t>A股</w:t>
      </w:r>
      <w:r>
        <w:rPr>
          <w:rFonts w:ascii="Times New Roman" w:hAnsi="Times New Roman" w:eastAsia="宋体"/>
          <w:color w:val="000000"/>
          <w:sz w:val="24"/>
          <w:szCs w:val="24"/>
          <w:shd w:val="clear" w:color="auto" w:fill="FFFFFF"/>
        </w:rPr>
        <w:t>股份购买资产所涉及的各项工作，并组织各中介机构针对标的资产进行尽职调查、审计、评估、方案论证等工作。中泰证券接受公司委托，与信永中和会计师事务所（特殊普通合伙）、北京德和衡律师事务所、</w:t>
      </w:r>
      <w:r>
        <w:rPr>
          <w:rFonts w:hint="eastAsia" w:ascii="Times New Roman" w:hAnsi="Times New Roman" w:eastAsia="宋体"/>
          <w:color w:val="000000"/>
          <w:sz w:val="24"/>
          <w:szCs w:val="24"/>
          <w:shd w:val="clear" w:color="auto" w:fill="FFFFFF"/>
        </w:rPr>
        <w:t>中联</w:t>
      </w:r>
      <w:r>
        <w:rPr>
          <w:rFonts w:ascii="Times New Roman" w:hAnsi="Times New Roman" w:eastAsia="宋体"/>
          <w:color w:val="000000"/>
          <w:sz w:val="24"/>
          <w:szCs w:val="24"/>
          <w:shd w:val="clear" w:color="auto" w:fill="FFFFFF"/>
        </w:rPr>
        <w:t>资产评估</w:t>
      </w:r>
      <w:r>
        <w:rPr>
          <w:rFonts w:hint="eastAsia" w:ascii="Times New Roman" w:hAnsi="Times New Roman" w:eastAsia="宋体"/>
          <w:color w:val="000000"/>
          <w:sz w:val="24"/>
          <w:szCs w:val="24"/>
          <w:shd w:val="clear" w:color="auto" w:fill="FFFFFF"/>
        </w:rPr>
        <w:t>集团</w:t>
      </w:r>
      <w:r>
        <w:rPr>
          <w:rFonts w:ascii="Times New Roman" w:hAnsi="Times New Roman" w:eastAsia="宋体"/>
          <w:color w:val="000000"/>
          <w:sz w:val="24"/>
          <w:szCs w:val="24"/>
          <w:shd w:val="clear" w:color="auto" w:fill="FFFFFF"/>
        </w:rPr>
        <w:t>有限公司等中介机构对本次交易的标的公司进行了财务、法律等方面的尽职调查工作，就本次交易的交易方案进行反复沟通和审慎论证。公司严格按照有关要求自停牌之日起，对本次交易涉及的内幕信息知情人进行了登记和申报，根据本次发行A股股份购买资产进度报送交易进程备忘录；在筹划本次发行A股股份购买资产事项的过程中至少每5个交易日披露发行股份购买资产事项的进展公告，本独立财务顾问认为，公司在本次发行A股股份购买资产事项停牌期间，公司所披露的进展信息是真实的。</w:t>
      </w:r>
    </w:p>
    <w:p>
      <w:pPr>
        <w:spacing w:beforeLines="50" w:line="360" w:lineRule="auto"/>
        <w:ind w:firstLine="482" w:firstLineChars="200"/>
        <w:rPr>
          <w:rFonts w:ascii="Times New Roman" w:hAnsi="Times New Roman" w:eastAsia="宋体"/>
          <w:b/>
          <w:color w:val="000000"/>
          <w:sz w:val="24"/>
          <w:szCs w:val="24"/>
          <w:shd w:val="clear" w:color="auto" w:fill="FFFFFF"/>
        </w:rPr>
      </w:pPr>
      <w:r>
        <w:rPr>
          <w:rFonts w:ascii="Times New Roman" w:hAnsi="Times New Roman" w:eastAsia="宋体"/>
          <w:b/>
          <w:color w:val="000000"/>
          <w:sz w:val="24"/>
          <w:szCs w:val="24"/>
          <w:shd w:val="clear" w:color="auto" w:fill="FFFFFF"/>
        </w:rPr>
        <w:t>三、本次发行</w:t>
      </w:r>
      <w:r>
        <w:rPr>
          <w:rFonts w:hint="eastAsia" w:ascii="Times New Roman" w:hAnsi="Times New Roman" w:eastAsia="宋体"/>
          <w:b/>
          <w:color w:val="000000"/>
          <w:sz w:val="24"/>
          <w:szCs w:val="24"/>
          <w:shd w:val="clear" w:color="auto" w:fill="FFFFFF"/>
        </w:rPr>
        <w:t>A股</w:t>
      </w:r>
      <w:r>
        <w:rPr>
          <w:rFonts w:ascii="Times New Roman" w:hAnsi="Times New Roman" w:eastAsia="宋体"/>
          <w:b/>
          <w:color w:val="000000"/>
          <w:sz w:val="24"/>
          <w:szCs w:val="24"/>
          <w:shd w:val="clear" w:color="auto" w:fill="FFFFFF"/>
        </w:rPr>
        <w:t>股份购买资产终止的原因及其合理性</w:t>
      </w:r>
    </w:p>
    <w:p>
      <w:pPr>
        <w:spacing w:beforeLines="50" w:line="360" w:lineRule="auto"/>
        <w:ind w:firstLine="480" w:firstLineChars="200"/>
        <w:rPr>
          <w:rFonts w:ascii="Times New Roman" w:hAnsi="Times New Roman" w:eastAsia="宋体"/>
          <w:color w:val="000000"/>
          <w:sz w:val="24"/>
          <w:szCs w:val="24"/>
          <w:shd w:val="clear" w:color="auto" w:fill="FFFFFF"/>
        </w:rPr>
      </w:pPr>
      <w:r>
        <w:rPr>
          <w:rFonts w:ascii="Times New Roman" w:hAnsi="Times New Roman" w:eastAsia="宋体"/>
          <w:color w:val="000000"/>
          <w:sz w:val="24"/>
          <w:szCs w:val="24"/>
          <w:shd w:val="clear" w:color="auto" w:fill="FFFFFF"/>
        </w:rPr>
        <w:t>本次筹划发行A股股份购买资产事项停牌以来，公司及相关各方积极推进本次发行A股股份购买资产所涉及的各项工作，并组织各中介机构针对标的资产进行尽职调查、审计、评估、方案论证等工作。</w:t>
      </w:r>
    </w:p>
    <w:p>
      <w:pPr>
        <w:spacing w:beforeLines="50" w:line="360" w:lineRule="auto"/>
        <w:ind w:firstLine="480" w:firstLineChars="200"/>
        <w:rPr>
          <w:rFonts w:ascii="Times New Roman" w:hAnsi="Times New Roman" w:eastAsia="宋体"/>
          <w:color w:val="000000"/>
          <w:sz w:val="24"/>
          <w:szCs w:val="24"/>
          <w:shd w:val="clear" w:color="auto" w:fill="FFFFFF"/>
        </w:rPr>
      </w:pPr>
      <w:r>
        <w:rPr>
          <w:rFonts w:ascii="Times New Roman" w:hAnsi="Times New Roman" w:eastAsia="宋体"/>
          <w:color w:val="000000"/>
          <w:sz w:val="24"/>
          <w:szCs w:val="24"/>
          <w:shd w:val="clear" w:color="auto" w:fill="FFFFFF"/>
        </w:rPr>
        <w:t>为推进本次发行股份购买资产事项，公司与交易对方就购买标的资产事项进行了积极沟通，但是鉴于近期证券市场环境变化，公司未能与交易对方就标的资产交易方式等核心条款达成一致意见，导致本次发行股份购买资产事项无法如期推进。鉴于继续推进将面临诸多不确定因素，为维护公司及其股东的利益，经综合考量、审慎考虑，公司决定终止筹划本次发行股份购买资产事项。</w:t>
      </w:r>
    </w:p>
    <w:p>
      <w:pPr>
        <w:spacing w:beforeLines="50" w:line="360" w:lineRule="auto"/>
        <w:ind w:firstLine="480" w:firstLineChars="200"/>
        <w:rPr>
          <w:rFonts w:ascii="Times New Roman" w:hAnsi="Times New Roman" w:eastAsia="宋体"/>
          <w:color w:val="000000"/>
          <w:sz w:val="24"/>
          <w:szCs w:val="24"/>
          <w:shd w:val="clear" w:color="auto" w:fill="FFFFFF"/>
        </w:rPr>
      </w:pPr>
      <w:r>
        <w:rPr>
          <w:rFonts w:ascii="Times New Roman" w:hAnsi="Times New Roman" w:eastAsia="宋体"/>
          <w:color w:val="000000"/>
          <w:sz w:val="24"/>
          <w:szCs w:val="24"/>
          <w:shd w:val="clear" w:color="auto" w:fill="FFFFFF"/>
        </w:rPr>
        <w:t>本次发行股份购买资产事项处于筹划阶段，交易各方尚未就具体交易方案达成一致意见并最终签署正式书面协议，交易各方对终止本次交易无需承担任何法律责任。本次终止筹划发行A股股份购买资产事项是公司本着审慎的原则，经充分调查论证与审慎研究，并与交易对方充分沟通协商的结果，不会对公司的正常生产经营造成不利影响。</w:t>
      </w:r>
    </w:p>
    <w:p>
      <w:pPr>
        <w:spacing w:beforeLines="50" w:line="360" w:lineRule="auto"/>
        <w:ind w:firstLine="480" w:firstLineChars="200"/>
        <w:rPr>
          <w:rFonts w:ascii="Times New Roman" w:hAnsi="Times New Roman" w:eastAsia="宋体"/>
          <w:color w:val="000000"/>
          <w:sz w:val="24"/>
          <w:szCs w:val="24"/>
          <w:shd w:val="clear" w:color="auto" w:fill="FFFFFF"/>
        </w:rPr>
      </w:pPr>
      <w:r>
        <w:rPr>
          <w:rFonts w:ascii="Times New Roman" w:hAnsi="Times New Roman" w:eastAsia="宋体"/>
          <w:color w:val="000000"/>
          <w:sz w:val="24"/>
          <w:szCs w:val="24"/>
          <w:shd w:val="clear" w:color="auto" w:fill="FFFFFF"/>
        </w:rPr>
        <w:t>根据《上市公司重大资产重组管理办法》等相关规定，公司承诺自股票复牌之日起1个月内不再筹划</w:t>
      </w:r>
      <w:r>
        <w:rPr>
          <w:rFonts w:hint="eastAsia" w:ascii="Times New Roman" w:hAnsi="Times New Roman" w:eastAsia="宋体"/>
          <w:color w:val="000000"/>
          <w:sz w:val="24"/>
          <w:szCs w:val="24"/>
          <w:shd w:val="clear" w:color="auto" w:fill="FFFFFF"/>
        </w:rPr>
        <w:t>重大资产重组事项</w:t>
      </w:r>
      <w:r>
        <w:rPr>
          <w:rFonts w:ascii="Times New Roman" w:hAnsi="Times New Roman" w:eastAsia="宋体"/>
          <w:color w:val="000000"/>
          <w:sz w:val="24"/>
          <w:szCs w:val="24"/>
          <w:shd w:val="clear" w:color="auto" w:fill="FFFFFF"/>
        </w:rPr>
        <w:t>。</w:t>
      </w:r>
    </w:p>
    <w:p>
      <w:pPr>
        <w:spacing w:beforeLines="50" w:line="360" w:lineRule="auto"/>
        <w:ind w:firstLine="482" w:firstLineChars="200"/>
        <w:rPr>
          <w:rFonts w:ascii="Times New Roman" w:hAnsi="Times New Roman" w:eastAsia="宋体"/>
          <w:b/>
          <w:color w:val="000000"/>
          <w:sz w:val="24"/>
          <w:szCs w:val="24"/>
          <w:shd w:val="clear" w:color="auto" w:fill="FFFFFF"/>
        </w:rPr>
      </w:pPr>
      <w:r>
        <w:rPr>
          <w:rFonts w:ascii="Times New Roman" w:hAnsi="Times New Roman" w:eastAsia="宋体"/>
          <w:b/>
          <w:color w:val="000000"/>
          <w:sz w:val="24"/>
          <w:szCs w:val="24"/>
          <w:shd w:val="clear" w:color="auto" w:fill="FFFFFF"/>
        </w:rPr>
        <w:t>四、独立财务顾问核查意见</w:t>
      </w:r>
    </w:p>
    <w:p>
      <w:pPr>
        <w:spacing w:beforeLines="50" w:line="360" w:lineRule="auto"/>
        <w:ind w:firstLine="480" w:firstLineChars="200"/>
        <w:rPr>
          <w:rFonts w:ascii="Times New Roman" w:hAnsi="Times New Roman" w:eastAsia="宋体"/>
          <w:color w:val="000000"/>
          <w:sz w:val="24"/>
          <w:szCs w:val="24"/>
          <w:shd w:val="clear" w:color="auto" w:fill="FFFFFF"/>
        </w:rPr>
      </w:pPr>
      <w:r>
        <w:rPr>
          <w:rFonts w:ascii="Times New Roman" w:hAnsi="Times New Roman" w:eastAsia="宋体"/>
          <w:color w:val="000000"/>
          <w:sz w:val="24"/>
          <w:szCs w:val="24"/>
          <w:shd w:val="clear" w:color="auto" w:fill="FFFFFF"/>
        </w:rPr>
        <w:t>经核查，本独立财务顾问认为，新华制药在本次发行A股股份购买资产事项停牌期间根据相关规定及时履行了信息披露义务。新华制药终止本次发行A股股份购买资产事项的程序及相关承诺符合《上市公司重大资产重组管理办法》等法律、法规及规范性文件的规定。</w:t>
      </w:r>
    </w:p>
    <w:p>
      <w:pPr>
        <w:widowControl/>
        <w:jc w:val="left"/>
        <w:rPr>
          <w:rFonts w:ascii="Times New Roman" w:hAnsi="Times New Roman" w:eastAsia="宋体"/>
          <w:color w:val="000000"/>
          <w:sz w:val="24"/>
          <w:szCs w:val="24"/>
          <w:shd w:val="clear" w:color="auto" w:fill="FFFFFF"/>
        </w:rPr>
      </w:pPr>
      <w:r>
        <w:rPr>
          <w:rFonts w:ascii="Times New Roman" w:hAnsi="Times New Roman" w:eastAsia="宋体"/>
          <w:color w:val="000000"/>
          <w:sz w:val="24"/>
          <w:szCs w:val="24"/>
          <w:shd w:val="clear" w:color="auto" w:fill="FFFFFF"/>
        </w:rPr>
        <w:br w:type="page"/>
      </w:r>
    </w:p>
    <w:p>
      <w:pPr>
        <w:spacing w:beforeLines="50" w:line="360" w:lineRule="auto"/>
        <w:ind w:firstLine="480" w:firstLineChars="200"/>
        <w:rPr>
          <w:rFonts w:ascii="Times New Roman" w:hAnsi="Times New Roman" w:eastAsia="宋体"/>
          <w:color w:val="000000"/>
          <w:sz w:val="24"/>
          <w:szCs w:val="24"/>
          <w:shd w:val="clear" w:color="auto" w:fill="FFFFFF"/>
        </w:rPr>
      </w:pPr>
      <w:r>
        <w:rPr>
          <w:rFonts w:ascii="Times New Roman" w:hAnsi="Times New Roman" w:eastAsia="宋体"/>
          <w:color w:val="000000"/>
          <w:sz w:val="24"/>
          <w:szCs w:val="24"/>
          <w:shd w:val="clear" w:color="auto" w:fill="FFFFFF"/>
        </w:rPr>
        <w:t xml:space="preserve">（此页无正文，为《中泰证券股份有限公司关于山东新华制药股份有限公司终止发行A股股份购买资产事项之独立财务顾问核查意见》之盖章页） </w:t>
      </w:r>
    </w:p>
    <w:p>
      <w:pPr>
        <w:spacing w:beforeLines="50" w:line="360" w:lineRule="auto"/>
        <w:ind w:firstLine="480" w:firstLineChars="200"/>
        <w:rPr>
          <w:rFonts w:ascii="Times New Roman" w:hAnsi="Times New Roman" w:eastAsia="宋体"/>
          <w:color w:val="000000"/>
          <w:sz w:val="24"/>
          <w:szCs w:val="24"/>
          <w:shd w:val="clear" w:color="auto" w:fill="FFFFFF"/>
        </w:rPr>
      </w:pPr>
    </w:p>
    <w:p>
      <w:pPr>
        <w:spacing w:beforeLines="50" w:line="360" w:lineRule="auto"/>
        <w:ind w:firstLine="480" w:firstLineChars="200"/>
        <w:rPr>
          <w:rFonts w:hint="eastAsia" w:ascii="Times New Roman" w:hAnsi="Times New Roman" w:eastAsia="宋体"/>
          <w:color w:val="000000"/>
          <w:sz w:val="24"/>
          <w:szCs w:val="24"/>
          <w:shd w:val="clear" w:color="auto" w:fill="FFFFFF"/>
          <w:lang w:val="en-US" w:eastAsia="zh-CN"/>
        </w:rPr>
      </w:pPr>
      <w:r>
        <w:rPr>
          <w:rFonts w:hint="eastAsia" w:ascii="Times New Roman" w:hAnsi="Times New Roman"/>
          <w:color w:val="000000"/>
          <w:sz w:val="24"/>
          <w:szCs w:val="24"/>
          <w:shd w:val="clear" w:color="auto" w:fill="FFFFFF"/>
          <w:lang w:val="en-US" w:eastAsia="zh-CN"/>
        </w:rPr>
        <w:t xml:space="preserve">   </w:t>
      </w:r>
    </w:p>
    <w:p>
      <w:pPr>
        <w:spacing w:beforeLines="50" w:line="360" w:lineRule="auto"/>
        <w:ind w:firstLine="480" w:firstLineChars="200"/>
        <w:rPr>
          <w:rFonts w:ascii="Times New Roman" w:hAnsi="Times New Roman" w:eastAsia="宋体"/>
          <w:color w:val="000000"/>
          <w:sz w:val="24"/>
          <w:szCs w:val="24"/>
          <w:shd w:val="clear" w:color="auto" w:fill="FFFFFF"/>
        </w:rPr>
      </w:pPr>
    </w:p>
    <w:p>
      <w:pPr>
        <w:spacing w:beforeLines="50" w:line="360" w:lineRule="auto"/>
        <w:ind w:firstLine="480" w:firstLineChars="200"/>
        <w:rPr>
          <w:rFonts w:ascii="Times New Roman" w:hAnsi="Times New Roman" w:eastAsia="宋体"/>
          <w:color w:val="000000"/>
          <w:sz w:val="24"/>
          <w:szCs w:val="24"/>
          <w:shd w:val="clear" w:color="auto" w:fill="FFFFFF"/>
        </w:rPr>
      </w:pPr>
    </w:p>
    <w:p>
      <w:pPr>
        <w:spacing w:beforeLines="50" w:line="360" w:lineRule="auto"/>
        <w:ind w:firstLine="480" w:firstLineChars="200"/>
        <w:rPr>
          <w:rFonts w:ascii="Times New Roman" w:hAnsi="Times New Roman" w:eastAsia="宋体"/>
          <w:color w:val="000000"/>
          <w:sz w:val="24"/>
          <w:szCs w:val="24"/>
          <w:shd w:val="clear" w:color="auto" w:fill="FFFFFF"/>
        </w:rPr>
      </w:pPr>
    </w:p>
    <w:p>
      <w:pPr>
        <w:spacing w:beforeLines="50" w:line="360" w:lineRule="auto"/>
        <w:ind w:firstLine="480" w:firstLineChars="200"/>
        <w:rPr>
          <w:rFonts w:ascii="Times New Roman" w:hAnsi="Times New Roman" w:eastAsia="宋体"/>
          <w:color w:val="000000"/>
          <w:sz w:val="24"/>
          <w:szCs w:val="24"/>
          <w:shd w:val="clear" w:color="auto" w:fill="FFFFFF"/>
        </w:rPr>
      </w:pPr>
    </w:p>
    <w:p>
      <w:pPr>
        <w:spacing w:beforeLines="50" w:line="360" w:lineRule="auto"/>
        <w:ind w:firstLine="480" w:firstLineChars="200"/>
        <w:rPr>
          <w:rFonts w:ascii="Times New Roman" w:hAnsi="Times New Roman" w:eastAsia="宋体"/>
          <w:color w:val="000000"/>
          <w:sz w:val="24"/>
          <w:szCs w:val="24"/>
          <w:shd w:val="clear" w:color="auto" w:fill="FFFFFF"/>
        </w:rPr>
      </w:pPr>
    </w:p>
    <w:p>
      <w:pPr>
        <w:spacing w:beforeLines="50" w:line="360" w:lineRule="auto"/>
        <w:ind w:firstLine="480" w:firstLineChars="200"/>
        <w:jc w:val="right"/>
        <w:rPr>
          <w:rFonts w:ascii="Times New Roman" w:hAnsi="Times New Roman" w:eastAsia="宋体"/>
          <w:color w:val="000000"/>
          <w:sz w:val="24"/>
          <w:szCs w:val="24"/>
          <w:shd w:val="clear" w:color="auto" w:fill="FFFFFF"/>
        </w:rPr>
      </w:pPr>
      <w:r>
        <w:rPr>
          <w:rFonts w:ascii="Times New Roman" w:hAnsi="Times New Roman" w:eastAsia="宋体"/>
          <w:color w:val="000000"/>
          <w:sz w:val="24"/>
          <w:szCs w:val="24"/>
          <w:shd w:val="clear" w:color="auto" w:fill="FFFFFF"/>
        </w:rPr>
        <w:t xml:space="preserve">中泰证券股份有限公司 </w:t>
      </w:r>
    </w:p>
    <w:p>
      <w:pPr>
        <w:wordWrap w:val="0"/>
        <w:spacing w:beforeLines="50" w:line="360" w:lineRule="auto"/>
        <w:ind w:firstLine="480" w:firstLineChars="200"/>
        <w:jc w:val="right"/>
        <w:rPr>
          <w:rFonts w:ascii="Times New Roman" w:hAnsi="Times New Roman" w:eastAsia="宋体"/>
          <w:color w:val="000000"/>
          <w:sz w:val="24"/>
          <w:szCs w:val="24"/>
          <w:shd w:val="clear" w:color="auto" w:fill="FFFFFF"/>
        </w:rPr>
      </w:pPr>
      <w:r>
        <w:rPr>
          <w:rFonts w:hint="eastAsia" w:ascii="Times New Roman" w:hAnsi="Times New Roman"/>
          <w:color w:val="000000"/>
          <w:sz w:val="24"/>
          <w:szCs w:val="24"/>
          <w:shd w:val="clear" w:color="auto" w:fill="FFFFFF"/>
          <w:lang w:val="en-US" w:eastAsia="zh-CN"/>
        </w:rPr>
        <w:t>2018</w:t>
      </w:r>
      <w:r>
        <w:rPr>
          <w:rFonts w:ascii="Times New Roman" w:hAnsi="Times New Roman" w:eastAsia="宋体"/>
          <w:color w:val="000000"/>
          <w:sz w:val="24"/>
          <w:szCs w:val="24"/>
          <w:shd w:val="clear" w:color="auto" w:fill="FFFFFF"/>
        </w:rPr>
        <w:t>年</w:t>
      </w:r>
      <w:r>
        <w:rPr>
          <w:rFonts w:hint="eastAsia" w:ascii="Times New Roman" w:hAnsi="Times New Roman"/>
          <w:color w:val="000000"/>
          <w:sz w:val="24"/>
          <w:szCs w:val="24"/>
          <w:shd w:val="clear" w:color="auto" w:fill="FFFFFF"/>
          <w:lang w:val="en-US" w:eastAsia="zh-CN"/>
        </w:rPr>
        <w:t>2</w:t>
      </w:r>
      <w:r>
        <w:rPr>
          <w:rFonts w:ascii="Times New Roman" w:hAnsi="Times New Roman" w:eastAsia="宋体"/>
          <w:color w:val="000000"/>
          <w:sz w:val="24"/>
          <w:szCs w:val="24"/>
          <w:shd w:val="clear" w:color="auto" w:fill="FFFFFF"/>
        </w:rPr>
        <w:t>月</w:t>
      </w:r>
      <w:r>
        <w:rPr>
          <w:rFonts w:hint="eastAsia" w:ascii="Times New Roman" w:hAnsi="Times New Roman"/>
          <w:color w:val="000000"/>
          <w:sz w:val="24"/>
          <w:szCs w:val="24"/>
          <w:shd w:val="clear" w:color="auto" w:fill="FFFFFF"/>
          <w:lang w:val="en-US" w:eastAsia="zh-CN"/>
        </w:rPr>
        <w:t>13</w:t>
      </w:r>
      <w:r>
        <w:rPr>
          <w:rFonts w:ascii="Times New Roman" w:hAnsi="Times New Roman" w:eastAsia="宋体"/>
          <w:color w:val="000000"/>
          <w:sz w:val="24"/>
          <w:szCs w:val="24"/>
          <w:shd w:val="clear" w:color="auto" w:fill="FFFFFF"/>
        </w:rPr>
        <w:t xml:space="preserve">日  </w:t>
      </w:r>
    </w:p>
    <w:p>
      <w:pPr>
        <w:spacing w:beforeLines="50" w:line="360" w:lineRule="auto"/>
        <w:ind w:firstLine="480" w:firstLineChars="200"/>
        <w:jc w:val="right"/>
        <w:rPr>
          <w:rFonts w:ascii="宋体" w:hAnsi="宋体" w:eastAsia="宋体"/>
          <w:color w:val="000000"/>
          <w:sz w:val="24"/>
          <w:szCs w:val="24"/>
          <w:shd w:val="clear" w:color="auto" w:fill="FFFFFF"/>
        </w:rPr>
      </w:pPr>
      <w:bookmarkStart w:id="0" w:name="_GoBack"/>
      <w:bookmarkEnd w:id="0"/>
    </w:p>
    <w:p>
      <w:pPr>
        <w:spacing w:before="100" w:beforeAutospacing="1" w:after="100" w:afterAutospacing="1" w:line="360" w:lineRule="exact"/>
        <w:ind w:firstLine="420"/>
        <w:jc w:val="both"/>
        <w:rPr>
          <w:rFonts w:hint="eastAsia" w:hAnsi="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shape id="文本框 6" o:spid="_x0000_s1025"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paragraph" w:styleId="2">
    <w:name w:val="Date"/>
    <w:basedOn w:val="1"/>
    <w:next w:val="1"/>
    <w:uiPriority w:val="0"/>
    <w:pPr>
      <w:ind w:left="100" w:leftChars="2500"/>
    </w:pPr>
    <w:rPr>
      <w:rFonts w:ascii="宋体"/>
      <w:sz w:val="24"/>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2017-12-19T07:48:00Z</dcterms:created>
  <dc:creator>曹长求</dc:creator>
  <cp:lastModifiedBy>曹长求</cp:lastModifiedBy>
  <dcterms:modified xsi:type="dcterms:W3CDTF">2018-02-13T10:46:18Z</dcterms:modified>
  <dc:title>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