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lang w:val="en-US" w:eastAsia="zh-CN" w:bidi="ar-SA"/>
        </w:rPr>
        <w:pict>
          <v:shape id="图片 2" o:spid="_x0000_s1027" type="#_x0000_t75" style="position:absolute;left:0;margin-left:225pt;margin-top:9.75pt;height:39pt;width:36pt;rotation:0f;z-index:251659264;"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napToGrid w:val="0"/>
        <w:spacing w:beforeLines="50" w:line="360" w:lineRule="auto"/>
        <w:jc w:val="both"/>
        <w:rPr>
          <w:rFonts w:ascii="宋体" w:hAnsi="宋体" w:eastAsia="PMingLiU"/>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年</w:t>
      </w:r>
      <w:r>
        <w:rPr>
          <w:rFonts w:ascii="宋体" w:hAnsi="宋体" w:eastAsia="宋体"/>
          <w:color w:val="231F20"/>
          <w:kern w:val="0"/>
          <w:szCs w:val="21"/>
          <w:lang w:eastAsia="zh-TW"/>
        </w:rPr>
        <w:t>1</w:t>
      </w:r>
      <w:r>
        <w:rPr>
          <w:rFonts w:hint="eastAsia" w:ascii="宋体" w:hAnsi="宋体" w:eastAsia="宋体"/>
          <w:color w:val="231F20"/>
          <w:kern w:val="0"/>
          <w:szCs w:val="21"/>
          <w:lang w:eastAsia="zh-TW"/>
        </w:rPr>
        <w:t>月</w:t>
      </w:r>
      <w:r>
        <w:rPr>
          <w:rFonts w:hint="eastAsia" w:ascii="宋体" w:hAnsi="宋体"/>
          <w:color w:val="231F20"/>
          <w:kern w:val="0"/>
          <w:szCs w:val="21"/>
          <w:lang w:val="en-US" w:eastAsia="zh-CN"/>
        </w:rPr>
        <w:t>24</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）刊登本公司《山東新華製藥股份有限公司关于筹划发行股份购买资产的</w:t>
      </w:r>
      <w:r>
        <w:rPr>
          <w:rFonts w:hint="eastAsia" w:ascii="宋体" w:hAnsi="宋体" w:eastAsia="宋体"/>
          <w:color w:val="231F20"/>
          <w:kern w:val="0"/>
          <w:szCs w:val="21"/>
          <w:lang w:val="en-US" w:eastAsia="zh-CN"/>
        </w:rPr>
        <w:t>A股</w:t>
      </w:r>
      <w:r>
        <w:rPr>
          <w:rFonts w:hint="eastAsia" w:ascii="宋体" w:hAnsi="宋体" w:eastAsia="宋体"/>
          <w:color w:val="231F20"/>
          <w:kern w:val="0"/>
          <w:szCs w:val="21"/>
          <w:lang w:eastAsia="zh-TW"/>
        </w:rPr>
        <w:t>停牌公告》，茲載列有關文檔之中文版，以供參閱。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PMingLiU"/>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PMingLiU"/>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PMingLiU"/>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w:t>
      </w:r>
      <w:r>
        <w:rPr>
          <w:rFonts w:hint="eastAsia" w:ascii="宋体" w:hAnsi="宋体" w:eastAsia="宋体"/>
          <w:color w:val="231F20"/>
          <w:kern w:val="0"/>
          <w:szCs w:val="21"/>
          <w:lang w:eastAsia="zh-CN"/>
        </w:rPr>
        <w:t>八</w:t>
      </w:r>
      <w:r>
        <w:rPr>
          <w:rFonts w:hint="eastAsia" w:ascii="宋体" w:hAnsi="宋体" w:eastAsia="宋体"/>
          <w:color w:val="231F20"/>
          <w:kern w:val="0"/>
          <w:szCs w:val="21"/>
          <w:lang w:eastAsia="zh-TW"/>
        </w:rPr>
        <w:t>年</w:t>
      </w:r>
      <w:r>
        <w:rPr>
          <w:rFonts w:hint="eastAsia" w:ascii="宋体" w:hAnsi="宋体" w:eastAsia="宋体"/>
          <w:color w:val="231F20"/>
          <w:kern w:val="0"/>
          <w:szCs w:val="21"/>
          <w:lang w:eastAsia="zh-CN"/>
        </w:rPr>
        <w:t>一</w:t>
      </w:r>
      <w:r>
        <w:rPr>
          <w:rFonts w:hint="eastAsia" w:ascii="宋体" w:hAnsi="宋体" w:eastAsia="宋体"/>
          <w:color w:val="231F20"/>
          <w:kern w:val="0"/>
          <w:szCs w:val="21"/>
          <w:lang w:eastAsia="zh-TW"/>
        </w:rPr>
        <w:t>月</w:t>
      </w:r>
      <w:r>
        <w:rPr>
          <w:rFonts w:hint="eastAsia" w:ascii="宋体" w:hAnsi="宋体"/>
          <w:color w:val="231F20"/>
          <w:kern w:val="0"/>
          <w:szCs w:val="21"/>
          <w:lang w:eastAsia="zh-CN"/>
        </w:rPr>
        <w:t>二十四</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w:rPr>
          <w:rFonts w:ascii="Calibri" w:hAnsi="Calibri" w:eastAsia="宋体" w:cs="黑体"/>
          <w:kern w:val="2"/>
          <w:sz w:val="21"/>
          <w:szCs w:val="22"/>
          <w:lang w:val="en-US" w:eastAsia="zh-CN" w:bidi="ar-SA"/>
        </w:rPr>
        <w:pict>
          <v:rect id="文本框 2" o:spid="_x0000_s1028" style="position:absolute;left:0;margin-left:468pt;margin-top:9pt;height:36pt;width:72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rFonts w:hint="eastAsia" w:eastAsia="PMingLiU"/>
          <w:lang w:eastAsia="zh-TW"/>
        </w:rPr>
        <w:t>於本公告日期，本公司董事會之成員如下：</w:t>
      </w:r>
    </w:p>
    <w:p>
      <w:pPr>
        <w:kinsoku w:val="0"/>
        <w:snapToGrid w:val="0"/>
        <w:rPr>
          <w:lang w:eastAsia="zh-TW"/>
        </w:rPr>
      </w:pPr>
    </w:p>
    <w:p>
      <w:pPr>
        <w:kinsoku w:val="0"/>
        <w:snapToGrid w:val="0"/>
        <w:rPr>
          <w:lang w:eastAsia="zh-TW"/>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執行董事</w:t>
            </w:r>
          </w:p>
        </w:tc>
        <w:tc>
          <w:tcPr>
            <w:tcW w:w="2841" w:type="dxa"/>
            <w:vAlign w:val="top"/>
          </w:tcPr>
          <w:p>
            <w:pPr>
              <w:kinsoku w:val="0"/>
              <w:snapToGrid w:val="0"/>
            </w:pPr>
            <w:r>
              <w:rPr>
                <w:rFonts w:hint="eastAsia" w:eastAsia="PMingLiU"/>
                <w:lang w:eastAsia="zh-TW"/>
              </w:rPr>
              <w:t>非執行董事</w:t>
            </w:r>
          </w:p>
        </w:tc>
        <w:tc>
          <w:tcPr>
            <w:tcW w:w="2841" w:type="dxa"/>
            <w:vAlign w:val="top"/>
          </w:tcPr>
          <w:p>
            <w:pPr>
              <w:kinsoku w:val="0"/>
              <w:snapToGrid w:val="0"/>
            </w:pPr>
            <w:r>
              <w:rPr>
                <w:rFonts w:hint="eastAsia" w:eastAsia="PMingLiU"/>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張代銘先生（董事長）</w:t>
            </w:r>
          </w:p>
        </w:tc>
        <w:tc>
          <w:tcPr>
            <w:tcW w:w="2841" w:type="dxa"/>
            <w:vAlign w:val="top"/>
          </w:tcPr>
          <w:p>
            <w:pPr>
              <w:kinsoku w:val="0"/>
              <w:snapToGrid w:val="0"/>
            </w:pPr>
            <w:r>
              <w:rPr>
                <w:rFonts w:hint="eastAsia" w:eastAsia="PMingLiU"/>
                <w:lang w:eastAsia="zh-TW"/>
              </w:rPr>
              <w:t>任福龍先生</w:t>
            </w:r>
          </w:p>
        </w:tc>
        <w:tc>
          <w:tcPr>
            <w:tcW w:w="2841" w:type="dxa"/>
            <w:vAlign w:val="top"/>
          </w:tcPr>
          <w:p>
            <w:pPr>
              <w:kinsoku w:val="0"/>
              <w:snapToGrid w:val="0"/>
            </w:pPr>
            <w:r>
              <w:rPr>
                <w:rFonts w:hint="eastAsia" w:eastAsia="PMingLiU"/>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杜德平先生</w:t>
            </w:r>
          </w:p>
        </w:tc>
        <w:tc>
          <w:tcPr>
            <w:tcW w:w="2841" w:type="dxa"/>
            <w:vAlign w:val="top"/>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vAlign w:val="top"/>
          </w:tcPr>
          <w:p>
            <w:pPr>
              <w:kinsoku w:val="0"/>
              <w:snapToGrid w:val="0"/>
            </w:pPr>
            <w:r>
              <w:rPr>
                <w:rFonts w:hint="eastAsia" w:eastAsia="PMingLiU"/>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vAlign w:val="top"/>
          </w:tcPr>
          <w:p>
            <w:pPr>
              <w:kinsoku w:val="0"/>
              <w:snapToGrid w:val="0"/>
            </w:pPr>
            <w:r>
              <w:rPr>
                <w:rFonts w:hint="eastAsia" w:eastAsia="PMingLiU"/>
                <w:lang w:eastAsia="zh-TW"/>
              </w:rPr>
              <w:t>陳仲戟先生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p>
        </w:tc>
        <w:tc>
          <w:tcPr>
            <w:tcW w:w="2841" w:type="dxa"/>
            <w:vAlign w:val="top"/>
          </w:tcPr>
          <w:p>
            <w:pPr>
              <w:kinsoku w:val="0"/>
              <w:snapToGrid w:val="0"/>
            </w:pPr>
          </w:p>
        </w:tc>
      </w:tr>
    </w:tbl>
    <w:p>
      <w:r>
        <w:br w:type="page"/>
      </w:r>
    </w:p>
    <w:p>
      <w:pPr>
        <w:jc w:val="center"/>
        <w:rPr>
          <w:rFonts w:hint="eastAsia"/>
          <w:lang w:val="en-US"/>
        </w:rPr>
      </w:pPr>
      <w:r>
        <w:rPr>
          <w:rFonts w:hint="eastAsia"/>
        </w:rPr>
        <w:t xml:space="preserve">公司简称：新华制药  </w:t>
      </w:r>
      <w:r>
        <w:rPr>
          <w:rFonts w:hint="eastAsia"/>
          <w:lang w:val="en-US" w:eastAsia="zh-CN"/>
        </w:rPr>
        <w:t xml:space="preserve">  </w:t>
      </w:r>
      <w:r>
        <w:rPr>
          <w:rFonts w:hint="eastAsia"/>
        </w:rPr>
        <w:tab/>
      </w:r>
      <w:r>
        <w:rPr>
          <w:rFonts w:hint="eastAsia"/>
          <w:lang w:val="en-US" w:eastAsia="zh-CN"/>
        </w:rPr>
        <w:t xml:space="preserve">    </w:t>
      </w:r>
      <w:r>
        <w:rPr>
          <w:rFonts w:hint="eastAsia"/>
        </w:rPr>
        <w:tab/>
      </w:r>
      <w:r>
        <w:rPr>
          <w:rFonts w:hint="eastAsia"/>
        </w:rPr>
        <w:t>公司代码：000756</w:t>
      </w:r>
      <w:r>
        <w:rPr>
          <w:rFonts w:hint="eastAsia"/>
          <w:lang w:val="en-US" w:eastAsia="zh-CN"/>
        </w:rPr>
        <w:t xml:space="preserve">            </w:t>
      </w:r>
      <w:r>
        <w:rPr>
          <w:rFonts w:hint="eastAsia"/>
        </w:rPr>
        <w:t xml:space="preserve"> 编号：201</w:t>
      </w:r>
      <w:r>
        <w:rPr>
          <w:rFonts w:hint="eastAsia"/>
          <w:lang w:val="en-US" w:eastAsia="zh-CN"/>
        </w:rPr>
        <w:t>8</w:t>
      </w:r>
      <w:r>
        <w:rPr>
          <w:rFonts w:hint="eastAsia"/>
        </w:rPr>
        <w:t>-</w:t>
      </w:r>
      <w:r>
        <w:rPr>
          <w:rFonts w:hint="eastAsia"/>
          <w:lang w:val="en-US" w:eastAsia="zh-CN"/>
        </w:rPr>
        <w:t>04</w:t>
      </w:r>
    </w:p>
    <w:p>
      <w:pPr>
        <w:snapToGrid w:val="0"/>
        <w:spacing w:beforeLines="50" w:line="360" w:lineRule="auto"/>
        <w:jc w:val="center"/>
        <w:rPr>
          <w:b/>
          <w:bCs/>
          <w:sz w:val="32"/>
          <w:szCs w:val="28"/>
        </w:rPr>
      </w:pPr>
    </w:p>
    <w:p>
      <w:pPr>
        <w:snapToGrid w:val="0"/>
        <w:spacing w:beforeLines="50" w:line="360" w:lineRule="auto"/>
        <w:jc w:val="center"/>
        <w:rPr>
          <w:b/>
          <w:bCs/>
          <w:sz w:val="32"/>
          <w:szCs w:val="28"/>
        </w:rPr>
      </w:pPr>
      <w:r>
        <w:rPr>
          <w:b/>
          <w:bCs/>
          <w:sz w:val="32"/>
          <w:szCs w:val="28"/>
        </w:rPr>
        <w:t>山东新华制药股份有限公司</w:t>
      </w:r>
    </w:p>
    <w:p>
      <w:pPr>
        <w:snapToGrid w:val="0"/>
        <w:spacing w:beforeLines="50" w:line="360" w:lineRule="auto"/>
        <w:jc w:val="center"/>
        <w:rPr>
          <w:b/>
          <w:bCs/>
          <w:sz w:val="32"/>
          <w:szCs w:val="28"/>
        </w:rPr>
      </w:pPr>
      <w:r>
        <w:rPr>
          <w:b/>
          <w:bCs/>
          <w:sz w:val="32"/>
          <w:szCs w:val="28"/>
        </w:rPr>
        <w:t>关于筹划发行股份购买资产的</w:t>
      </w:r>
      <w:r>
        <w:rPr>
          <w:rFonts w:hint="eastAsia"/>
          <w:b/>
          <w:bCs/>
          <w:sz w:val="32"/>
          <w:szCs w:val="28"/>
          <w:lang w:val="en-US" w:eastAsia="zh-CN"/>
        </w:rPr>
        <w:t>A股</w:t>
      </w:r>
      <w:r>
        <w:rPr>
          <w:b/>
          <w:bCs/>
          <w:sz w:val="32"/>
          <w:szCs w:val="28"/>
        </w:rPr>
        <w:t>停牌公告</w:t>
      </w:r>
    </w:p>
    <w:p>
      <w:pPr>
        <w:snapToGrid w:val="0"/>
        <w:spacing w:beforeLines="50" w:line="360" w:lineRule="auto"/>
        <w:jc w:val="center"/>
        <w:rPr>
          <w:b/>
          <w:bCs/>
          <w:sz w:val="32"/>
          <w:szCs w:val="28"/>
        </w:rPr>
      </w:pPr>
    </w:p>
    <w:p>
      <w:pPr>
        <w:ind w:firstLine="420" w:firstLineChars="200"/>
        <w:rPr>
          <w:rFonts w:hint="eastAsia"/>
        </w:rPr>
      </w:pPr>
      <w:r>
        <w:rPr>
          <w:rFonts w:hint="eastAsia"/>
        </w:rPr>
        <w:t xml:space="preserve">本公司董事会及全体董事保证公告内容真实、准确和完整，对公告中的任何虚假记载、误导性陈述或者重大遗漏承担个别及连带责任。 </w:t>
      </w:r>
    </w:p>
    <w:p>
      <w:pPr>
        <w:ind w:firstLine="420" w:firstLineChars="200"/>
        <w:rPr>
          <w:rFonts w:hint="eastAsia"/>
        </w:rPr>
      </w:pPr>
    </w:p>
    <w:p>
      <w:pPr>
        <w:ind w:firstLine="420" w:firstLineChars="200"/>
        <w:rPr>
          <w:rFonts w:hint="eastAsia"/>
        </w:rPr>
      </w:pPr>
      <w:r>
        <w:rPr>
          <w:rFonts w:hint="eastAsia"/>
        </w:rPr>
        <w:t>一、停牌事由和工作安排</w:t>
      </w:r>
    </w:p>
    <w:p>
      <w:pPr>
        <w:ind w:firstLine="420" w:firstLineChars="200"/>
        <w:rPr>
          <w:rFonts w:hint="eastAsia"/>
        </w:rPr>
      </w:pPr>
    </w:p>
    <w:p>
      <w:pPr>
        <w:ind w:firstLine="420" w:firstLineChars="200"/>
        <w:rPr>
          <w:rFonts w:hint="eastAsia"/>
        </w:rPr>
      </w:pPr>
      <w:r>
        <w:rPr>
          <w:rFonts w:hint="eastAsia"/>
        </w:rPr>
        <w:t>本公司正在筹划发行</w:t>
      </w:r>
      <w:r>
        <w:rPr>
          <w:rFonts w:hint="eastAsia"/>
          <w:lang w:val="en-US" w:eastAsia="zh-CN"/>
        </w:rPr>
        <w:t>A股</w:t>
      </w:r>
      <w:r>
        <w:rPr>
          <w:rFonts w:hint="eastAsia"/>
        </w:rPr>
        <w:t>股份购买资产，并初步判断不构成重大资产重组事项。按照《上市公司重大资产重组管理办法》等法律、法规、规范性文件的相关规定，公司发行</w:t>
      </w:r>
      <w:r>
        <w:rPr>
          <w:rFonts w:hint="eastAsia"/>
          <w:lang w:val="en-US" w:eastAsia="zh-CN"/>
        </w:rPr>
        <w:t>A股</w:t>
      </w:r>
      <w:r>
        <w:rPr>
          <w:rFonts w:hint="eastAsia"/>
        </w:rPr>
        <w:t>股份购买资产事宜需要按照重大资产重组事项履行相关程序。因上述事项尚存不确定性，为了维护投资者利益，避免对公司股价造成重大影响，根据深圳证券交易所的相关规定，经公司申请，公司</w:t>
      </w:r>
      <w:r>
        <w:rPr>
          <w:rFonts w:hint="eastAsia"/>
          <w:lang w:val="en-US" w:eastAsia="zh-CN"/>
        </w:rPr>
        <w:t>A股</w:t>
      </w:r>
      <w:r>
        <w:rPr>
          <w:rFonts w:hint="eastAsia"/>
        </w:rPr>
        <w:t>证券（简称：新华制药、代码：000756）自2018年1月25日</w:t>
      </w:r>
      <w:r>
        <w:rPr>
          <w:rFonts w:hint="eastAsia"/>
          <w:lang w:eastAsia="zh-CN"/>
        </w:rPr>
        <w:t>开市时</w:t>
      </w:r>
      <w:r>
        <w:rPr>
          <w:rFonts w:hint="eastAsia"/>
        </w:rPr>
        <w:t>起开始停牌。</w:t>
      </w:r>
    </w:p>
    <w:p>
      <w:pPr>
        <w:ind w:firstLine="420" w:firstLineChars="200"/>
        <w:rPr>
          <w:rFonts w:hint="eastAsia"/>
        </w:rPr>
      </w:pPr>
      <w:r>
        <w:rPr>
          <w:rFonts w:hint="eastAsia"/>
        </w:rPr>
        <w:t>公司预计</w:t>
      </w:r>
      <w:r>
        <w:rPr>
          <w:rFonts w:hint="eastAsia"/>
          <w:lang w:val="en-US" w:eastAsia="zh-CN"/>
        </w:rPr>
        <w:t>A股</w:t>
      </w:r>
      <w:r>
        <w:rPr>
          <w:rFonts w:hint="eastAsia"/>
        </w:rPr>
        <w:t>停牌不超过1个月，公司将严格按照相关规定，每 5 个交易日发布一次A股停牌进展公告，待有关事项确定后，公司将尽快刊登相关公告并申请A股股票复牌。</w:t>
      </w:r>
    </w:p>
    <w:p>
      <w:pPr>
        <w:ind w:firstLine="420" w:firstLineChars="200"/>
        <w:rPr>
          <w:rFonts w:hint="eastAsia"/>
        </w:rPr>
      </w:pPr>
      <w:r>
        <w:rPr>
          <w:rFonts w:hint="eastAsia"/>
        </w:rPr>
        <w:t>若公司未能在上述期限内召开董事会审议并披露发行股份购买资产预案（或报告书）且公司未提出延期</w:t>
      </w:r>
      <w:r>
        <w:rPr>
          <w:rFonts w:hint="eastAsia"/>
          <w:lang w:val="en-US" w:eastAsia="zh-CN"/>
        </w:rPr>
        <w:t>A股</w:t>
      </w:r>
      <w:r>
        <w:rPr>
          <w:rFonts w:hint="eastAsia"/>
        </w:rPr>
        <w:t>复牌申请或者申请未获交易所同意的，公司</w:t>
      </w:r>
      <w:r>
        <w:rPr>
          <w:rFonts w:hint="eastAsia"/>
          <w:lang w:val="en-US" w:eastAsia="zh-CN"/>
        </w:rPr>
        <w:t>A股</w:t>
      </w:r>
      <w:r>
        <w:rPr>
          <w:rFonts w:hint="eastAsia"/>
        </w:rPr>
        <w:t>证券最晚将于2018年2月2</w:t>
      </w:r>
      <w:r>
        <w:rPr>
          <w:rFonts w:hint="eastAsia"/>
          <w:lang w:val="en-US" w:eastAsia="zh-CN"/>
        </w:rPr>
        <w:t>3</w:t>
      </w:r>
      <w:r>
        <w:rPr>
          <w:rFonts w:hint="eastAsia"/>
        </w:rPr>
        <w:t>日恢复交易，同时披露本次发行股份购买资产基本情况、是否继续推进本次发行股份购买资产及相关原因。</w:t>
      </w:r>
    </w:p>
    <w:p>
      <w:pPr>
        <w:ind w:firstLine="420" w:firstLineChars="200"/>
        <w:rPr>
          <w:rFonts w:hint="eastAsia"/>
        </w:rPr>
      </w:pPr>
      <w:r>
        <w:rPr>
          <w:rFonts w:hint="eastAsia"/>
        </w:rPr>
        <w:t>若公司决定终止筹划发行</w:t>
      </w:r>
      <w:r>
        <w:rPr>
          <w:rFonts w:hint="eastAsia"/>
          <w:lang w:val="en-US" w:eastAsia="zh-CN"/>
        </w:rPr>
        <w:t>A股</w:t>
      </w:r>
      <w:r>
        <w:rPr>
          <w:rFonts w:hint="eastAsia"/>
        </w:rPr>
        <w:t>股份购买资产，或者公司申请</w:t>
      </w:r>
      <w:r>
        <w:rPr>
          <w:rFonts w:hint="eastAsia"/>
          <w:lang w:val="en-US" w:eastAsia="zh-CN"/>
        </w:rPr>
        <w:t>A股</w:t>
      </w:r>
      <w:r>
        <w:rPr>
          <w:rFonts w:hint="eastAsia"/>
        </w:rPr>
        <w:t>股票复牌但决定继续推进本次发行股份购买资产后仍未能披露发行股份购买资产预案（或报告书）并导致终止本次发行股份购买资产的，公司承诺自披露终止发行股份购买资产决定的相关公告之日起至少1个月内不再筹划发行股份购买资产。</w:t>
      </w:r>
    </w:p>
    <w:p>
      <w:pPr>
        <w:ind w:firstLine="420" w:firstLineChars="200"/>
        <w:rPr>
          <w:rFonts w:hint="eastAsia"/>
        </w:rPr>
      </w:pPr>
    </w:p>
    <w:p>
      <w:pPr>
        <w:ind w:firstLine="420" w:firstLineChars="200"/>
        <w:rPr>
          <w:rFonts w:hint="eastAsia"/>
        </w:rPr>
      </w:pPr>
      <w:r>
        <w:rPr>
          <w:rFonts w:hint="eastAsia"/>
        </w:rPr>
        <w:t>二、停牌期间安排</w:t>
      </w:r>
    </w:p>
    <w:p>
      <w:pPr>
        <w:ind w:firstLine="420" w:firstLineChars="200"/>
        <w:rPr>
          <w:rFonts w:hint="eastAsia"/>
        </w:rPr>
      </w:pPr>
    </w:p>
    <w:p>
      <w:pPr>
        <w:ind w:firstLine="420" w:firstLineChars="200"/>
        <w:rPr>
          <w:rFonts w:hint="eastAsia"/>
        </w:rPr>
      </w:pPr>
      <w:r>
        <w:rPr>
          <w:rFonts w:hint="eastAsia"/>
        </w:rPr>
        <w:t>公司自</w:t>
      </w:r>
      <w:r>
        <w:rPr>
          <w:rFonts w:hint="eastAsia"/>
          <w:lang w:val="en-US" w:eastAsia="zh-CN"/>
        </w:rPr>
        <w:t>A股</w:t>
      </w:r>
      <w:r>
        <w:rPr>
          <w:rFonts w:hint="eastAsia"/>
        </w:rPr>
        <w:t>停牌之日将按照相关规定，积极开展各项工作，履行必要的报批和审议程序，督促公司聘请的独立财务顾问、审计、评估等中介机构加快工作，按照承诺的期限向交易所提交并披露符合相关规定要求的发行股份购买资产文件。</w:t>
      </w:r>
    </w:p>
    <w:p>
      <w:pPr>
        <w:ind w:firstLine="420" w:firstLineChars="200"/>
        <w:rPr>
          <w:rFonts w:hint="eastAsia"/>
        </w:rPr>
      </w:pPr>
    </w:p>
    <w:p>
      <w:pPr>
        <w:ind w:firstLine="420" w:firstLineChars="200"/>
        <w:rPr>
          <w:rFonts w:hint="eastAsia"/>
        </w:rPr>
      </w:pPr>
      <w:r>
        <w:rPr>
          <w:rFonts w:hint="eastAsia"/>
        </w:rPr>
        <w:t>三、必要风险提示</w:t>
      </w:r>
    </w:p>
    <w:p>
      <w:pPr>
        <w:ind w:firstLine="420" w:firstLineChars="200"/>
        <w:rPr>
          <w:rFonts w:hint="eastAsia"/>
        </w:rPr>
      </w:pPr>
    </w:p>
    <w:p>
      <w:pPr>
        <w:ind w:firstLine="420" w:firstLineChars="200"/>
        <w:rPr>
          <w:rFonts w:hint="eastAsia"/>
        </w:rPr>
      </w:pPr>
      <w:r>
        <w:rPr>
          <w:rFonts w:hint="eastAsia"/>
        </w:rPr>
        <w:t>本公司筹划的发行</w:t>
      </w:r>
      <w:r>
        <w:rPr>
          <w:rFonts w:hint="eastAsia"/>
          <w:lang w:val="en-US" w:eastAsia="zh-CN"/>
        </w:rPr>
        <w:t>A股</w:t>
      </w:r>
      <w:r>
        <w:rPr>
          <w:rFonts w:hint="eastAsia"/>
        </w:rPr>
        <w:t>股份购买资产事项，尚存较大不确定性，敬请广大投资者注意投资风险。</w: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四、备查文件</w:t>
      </w:r>
    </w:p>
    <w:p>
      <w:pPr>
        <w:ind w:firstLine="420" w:firstLineChars="200"/>
        <w:rPr>
          <w:rFonts w:hint="eastAsia"/>
        </w:rPr>
      </w:pPr>
      <w:r>
        <w:rPr>
          <w:rFonts w:hint="eastAsia"/>
        </w:rPr>
        <w:t>1.经公司董事长签字的停牌申请；</w:t>
      </w:r>
    </w:p>
    <w:p>
      <w:pPr>
        <w:ind w:firstLine="420" w:firstLineChars="200"/>
        <w:rPr>
          <w:rFonts w:hint="eastAsia"/>
        </w:rPr>
      </w:pPr>
      <w:r>
        <w:rPr>
          <w:rFonts w:hint="eastAsia"/>
        </w:rPr>
        <w:t>2.有关发行股份购买资产的意向协议；</w:t>
      </w:r>
    </w:p>
    <w:p>
      <w:pPr>
        <w:ind w:firstLine="420" w:firstLineChars="200"/>
        <w:rPr>
          <w:rFonts w:hint="eastAsia"/>
        </w:rPr>
      </w:pPr>
      <w:r>
        <w:rPr>
          <w:rFonts w:hint="eastAsia"/>
        </w:rPr>
        <w:t>3.深圳证券交易所要求的其他文件。</w:t>
      </w:r>
    </w:p>
    <w:p>
      <w:pPr>
        <w:ind w:firstLine="420" w:firstLineChars="200"/>
        <w:rPr>
          <w:rFonts w:hint="eastAsia"/>
        </w:rPr>
      </w:pPr>
    </w:p>
    <w:p>
      <w:pPr>
        <w:ind w:firstLine="420" w:firstLineChars="200"/>
        <w:rPr>
          <w:rFonts w:hint="eastAsia"/>
        </w:rPr>
      </w:pPr>
      <w:r>
        <w:rPr>
          <w:rFonts w:hint="eastAsia"/>
        </w:rPr>
        <w:t>特此公告。</w:t>
      </w:r>
    </w:p>
    <w:p>
      <w:pPr>
        <w:ind w:firstLine="420" w:firstLineChars="200"/>
        <w:rPr>
          <w:rFonts w:hint="eastAsia"/>
        </w:rPr>
      </w:pPr>
      <w:r>
        <w:rPr>
          <w:rFonts w:hint="eastAsia"/>
        </w:rPr>
        <w:t xml:space="preserve"> </w:t>
      </w:r>
    </w:p>
    <w:p>
      <w:pPr>
        <w:ind w:firstLine="420" w:firstLineChars="200"/>
        <w:rPr>
          <w:rFonts w:hint="eastAsia"/>
        </w:rPr>
      </w:pPr>
    </w:p>
    <w:p>
      <w:pPr>
        <w:ind w:firstLine="420" w:firstLineChars="200"/>
        <w:rPr>
          <w:rFonts w:hint="eastAsia"/>
        </w:rPr>
      </w:pPr>
      <w:r>
        <w:rPr>
          <w:rFonts w:hint="eastAsia"/>
          <w:lang w:val="en-US" w:eastAsia="zh-CN"/>
        </w:rPr>
        <w:t xml:space="preserve">                                </w:t>
      </w:r>
      <w:r>
        <w:rPr>
          <w:rFonts w:hint="eastAsia"/>
        </w:rPr>
        <w:t>山东新华制药股份有限公司董事会</w:t>
      </w:r>
    </w:p>
    <w:p>
      <w:pPr>
        <w:ind w:firstLine="420" w:firstLineChars="200"/>
        <w:rPr>
          <w:rFonts w:hint="eastAsia"/>
        </w:rPr>
      </w:pPr>
      <w:r>
        <w:rPr>
          <w:rFonts w:hint="eastAsia"/>
          <w:lang w:val="en-US" w:eastAsia="zh-CN"/>
        </w:rPr>
        <w:t xml:space="preserve">                                        </w:t>
      </w:r>
      <w:r>
        <w:rPr>
          <w:rFonts w:hint="eastAsia"/>
        </w:rPr>
        <w:t>2018年1月24日</w:t>
      </w:r>
    </w:p>
    <w:p>
      <w:r>
        <w:t xml:space="preserve"> </w:t>
      </w:r>
    </w:p>
    <w:p>
      <w:pPr>
        <w:spacing w:before="100" w:beforeAutospacing="1" w:after="100" w:afterAutospacing="1" w:line="360" w:lineRule="exact"/>
        <w:ind w:firstLine="420"/>
        <w:jc w:val="both"/>
        <w:rPr>
          <w:rFonts w:hint="eastAsia" w:hAnsi="宋体"/>
          <w:sz w:val="24"/>
          <w:szCs w:val="24"/>
        </w:rPr>
      </w:pPr>
      <w:bookmarkStart w:id="0" w:name="_GoBack"/>
      <w:bookmarkEnd w:id="0"/>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2018-01-24T11:57:11Z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