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lang w:val="en-US" w:eastAsia="zh-CN" w:bidi="ar-SA"/>
        </w:rPr>
        <w:pict>
          <v:shape id="图片 2" o:spid="_x0000_s1027" type="#_x0000_t75" style="position:absolute;left:0;margin-left:225pt;margin-top:9.75pt;height:39pt;width:36pt;rotation:0f;z-index:251659264;"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80" w:type="dxa"/>
            <w:vAlign w:val="top"/>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autoSpaceDE w:val="0"/>
        <w:autoSpaceDN w:val="0"/>
        <w:adjustRightInd w:val="0"/>
        <w:rPr>
          <w:rFonts w:ascii="宋体" w:hAnsi="宋体"/>
          <w:color w:val="231F20"/>
          <w:kern w:val="0"/>
          <w:szCs w:val="21"/>
          <w:lang w:eastAsia="zh-TW"/>
        </w:rPr>
      </w:pPr>
    </w:p>
    <w:p>
      <w:pPr>
        <w:spacing w:after="156" w:line="400" w:lineRule="exact"/>
        <w:jc w:val="both"/>
        <w:rPr>
          <w:rFonts w:hint="eastAsia" w:ascii="宋体" w:hAnsi="宋体" w:eastAsia="宋体"/>
          <w:color w:val="231F20"/>
          <w:kern w:val="0"/>
          <w:szCs w:val="21"/>
          <w:lang w:eastAsia="zh-TW"/>
        </w:rPr>
      </w:pPr>
      <w:r>
        <w:rPr>
          <w:rFonts w:hint="eastAsia" w:ascii="宋体" w:hAnsi="宋体" w:eastAsia="宋体"/>
          <w:color w:val="231F20"/>
          <w:kern w:val="0"/>
          <w:szCs w:val="21"/>
          <w:lang w:eastAsia="zh-TW"/>
        </w:rPr>
        <w:t>山東新華製藥股份有限公司（「本公司」）於</w:t>
      </w:r>
      <w:r>
        <w:rPr>
          <w:rFonts w:ascii="宋体" w:hAnsi="宋体" w:eastAsia="宋体"/>
          <w:color w:val="231F20"/>
          <w:kern w:val="0"/>
          <w:szCs w:val="21"/>
          <w:lang w:eastAsia="zh-TW"/>
        </w:rPr>
        <w:t>201</w:t>
      </w:r>
      <w:r>
        <w:rPr>
          <w:rFonts w:hint="eastAsia" w:ascii="宋体" w:hAnsi="宋体" w:eastAsia="宋体"/>
          <w:color w:val="231F20"/>
          <w:kern w:val="0"/>
          <w:szCs w:val="21"/>
          <w:lang w:val="en-US" w:eastAsia="zh-CN"/>
        </w:rPr>
        <w:t>8</w:t>
      </w:r>
      <w:r>
        <w:rPr>
          <w:rFonts w:hint="eastAsia" w:ascii="宋体" w:hAnsi="宋体" w:eastAsia="宋体"/>
          <w:color w:val="231F20"/>
          <w:kern w:val="0"/>
          <w:szCs w:val="21"/>
          <w:lang w:eastAsia="zh-TW"/>
        </w:rPr>
        <w:t>年</w:t>
      </w:r>
      <w:r>
        <w:rPr>
          <w:rFonts w:ascii="宋体" w:hAnsi="宋体" w:eastAsia="宋体"/>
          <w:color w:val="231F20"/>
          <w:kern w:val="0"/>
          <w:szCs w:val="21"/>
          <w:lang w:eastAsia="zh-TW"/>
        </w:rPr>
        <w:t>1</w:t>
      </w:r>
      <w:r>
        <w:rPr>
          <w:rFonts w:hint="eastAsia" w:ascii="宋体" w:hAnsi="宋体" w:eastAsia="宋体"/>
          <w:color w:val="231F20"/>
          <w:kern w:val="0"/>
          <w:szCs w:val="21"/>
          <w:lang w:eastAsia="zh-TW"/>
        </w:rPr>
        <w:t>月</w:t>
      </w:r>
      <w:r>
        <w:rPr>
          <w:rFonts w:hint="eastAsia" w:ascii="宋体" w:hAnsi="宋体" w:eastAsia="宋体"/>
          <w:color w:val="231F20"/>
          <w:kern w:val="0"/>
          <w:szCs w:val="21"/>
          <w:lang w:val="en-US" w:eastAsia="zh-CN"/>
        </w:rPr>
        <w:t>19</w:t>
      </w:r>
      <w:r>
        <w:rPr>
          <w:rFonts w:hint="eastAsia" w:ascii="宋体" w:hAnsi="宋体" w:eastAsia="宋体"/>
          <w:color w:val="231F20"/>
          <w:kern w:val="0"/>
          <w:szCs w:val="21"/>
          <w:lang w:eastAsia="zh-TW"/>
        </w:rPr>
        <w:t>日在巨潮資訊網（</w:t>
      </w:r>
      <w:r>
        <w:fldChar w:fldCharType="begin"/>
      </w:r>
      <w:r>
        <w:instrText xml:space="preserve"> HYPERLINK "http://www.cninfo.com.cn" </w:instrText>
      </w:r>
      <w:r>
        <w:fldChar w:fldCharType="separate"/>
      </w:r>
      <w:r>
        <w:rPr>
          <w:rStyle w:val="7"/>
          <w:rFonts w:ascii="宋体" w:hAnsi="宋体" w:eastAsia="宋体"/>
          <w:kern w:val="0"/>
          <w:szCs w:val="21"/>
          <w:lang w:eastAsia="zh-TW"/>
        </w:rPr>
        <w:t>http://www.cninfo.com.cn</w:t>
      </w:r>
      <w:r>
        <w:rPr>
          <w:rStyle w:val="7"/>
          <w:rFonts w:ascii="宋体" w:hAnsi="宋体" w:eastAsia="PMingLiU"/>
          <w:kern w:val="0"/>
          <w:szCs w:val="21"/>
          <w:lang w:eastAsia="zh-TW"/>
        </w:rPr>
        <w:fldChar w:fldCharType="end"/>
      </w:r>
      <w:r>
        <w:rPr>
          <w:rFonts w:hint="eastAsia" w:ascii="宋体" w:hAnsi="宋体" w:eastAsia="宋体"/>
          <w:color w:val="231F20"/>
          <w:kern w:val="0"/>
          <w:szCs w:val="21"/>
          <w:lang w:eastAsia="zh-TW"/>
        </w:rPr>
        <w:t>）刊登本公司《山東新華製藥股份有限公司2017年</w:t>
      </w:r>
      <w:r>
        <w:rPr>
          <w:rFonts w:hint="eastAsia" w:ascii="宋体" w:hAnsi="宋体" w:eastAsia="宋体"/>
          <w:color w:val="231F20"/>
          <w:kern w:val="0"/>
          <w:szCs w:val="21"/>
          <w:lang w:eastAsia="zh-CN"/>
        </w:rPr>
        <w:t>度</w:t>
      </w:r>
      <w:r>
        <w:rPr>
          <w:rFonts w:hint="eastAsia" w:ascii="宋体" w:hAnsi="宋体" w:eastAsia="宋体"/>
          <w:color w:val="231F20"/>
          <w:kern w:val="0"/>
          <w:szCs w:val="21"/>
          <w:lang w:eastAsia="zh-TW"/>
        </w:rPr>
        <w:t>A股特別派息實施公告</w:t>
      </w:r>
      <w:r>
        <w:rPr>
          <w:rFonts w:hint="eastAsia" w:ascii="宋体" w:hAnsi="宋体" w:eastAsia="宋体"/>
          <w:color w:val="231F20"/>
          <w:kern w:val="0"/>
          <w:szCs w:val="21"/>
          <w:lang w:eastAsia="zh-TW"/>
        </w:rPr>
        <w:t>》，茲載列有關文檔之中文版，以供參閱。</w:t>
      </w:r>
    </w:p>
    <w:p>
      <w:pPr>
        <w:spacing w:after="156" w:line="400" w:lineRule="exact"/>
        <w:jc w:val="both"/>
        <w:rPr>
          <w:rFonts w:hint="eastAsia" w:ascii="宋体" w:hAnsi="宋体" w:eastAsia="宋体"/>
          <w:color w:val="231F20"/>
          <w:kern w:val="0"/>
          <w:szCs w:val="21"/>
          <w:lang w:eastAsia="zh-TW"/>
        </w:rPr>
      </w:pPr>
    </w:p>
    <w:p>
      <w:pPr>
        <w:autoSpaceDE w:val="0"/>
        <w:autoSpaceDN w:val="0"/>
        <w:adjustRightInd w:val="0"/>
        <w:rPr>
          <w:rFonts w:ascii="宋体" w:hAnsi="宋体"/>
          <w:color w:val="231F20"/>
          <w:kern w:val="0"/>
          <w:szCs w:val="21"/>
        </w:rPr>
      </w:pPr>
    </w:p>
    <w:p>
      <w:pPr>
        <w:autoSpaceDE w:val="0"/>
        <w:autoSpaceDN w:val="0"/>
        <w:adjustRightInd w:val="0"/>
        <w:ind w:right="420"/>
        <w:jc w:val="center"/>
        <w:rPr>
          <w:rFonts w:ascii="宋体" w:hAnsi="宋体"/>
          <w:color w:val="231F20"/>
          <w:kern w:val="0"/>
          <w:szCs w:val="21"/>
          <w:lang w:eastAsia="zh-TW"/>
        </w:rPr>
      </w:pP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承董事會命</w:t>
      </w:r>
    </w:p>
    <w:p>
      <w:pPr>
        <w:autoSpaceDE w:val="0"/>
        <w:autoSpaceDN w:val="0"/>
        <w:adjustRightInd w:val="0"/>
        <w:ind w:right="315"/>
        <w:jc w:val="right"/>
        <w:rPr>
          <w:rFonts w:ascii="宋体" w:hAnsi="宋体"/>
          <w:color w:val="231F20"/>
          <w:kern w:val="0"/>
          <w:szCs w:val="21"/>
          <w:lang w:eastAsia="zh-TW"/>
        </w:rPr>
      </w:pPr>
      <w:r>
        <w:rPr>
          <w:rFonts w:hint="eastAsia" w:ascii="宋体" w:hAnsi="宋体" w:eastAsia="宋体"/>
          <w:color w:val="231F20"/>
          <w:kern w:val="0"/>
          <w:szCs w:val="21"/>
          <w:lang w:eastAsia="zh-TW"/>
        </w:rPr>
        <w:t>山東新華製藥股份有限公司</w:t>
      </w:r>
    </w:p>
    <w:p>
      <w:pPr>
        <w:autoSpaceDE w:val="0"/>
        <w:autoSpaceDN w:val="0"/>
        <w:adjustRightInd w:val="0"/>
        <w:ind w:right="420" w:firstLine="6405" w:firstLineChars="3050"/>
        <w:rPr>
          <w:rFonts w:ascii="宋体" w:hAnsi="宋体"/>
          <w:color w:val="231F20"/>
          <w:kern w:val="0"/>
          <w:szCs w:val="21"/>
        </w:rPr>
      </w:pPr>
      <w:r>
        <w:rPr>
          <w:rFonts w:hint="eastAsia" w:ascii="宋体" w:hAnsi="宋体" w:eastAsia="宋体"/>
          <w:color w:val="231F20"/>
          <w:kern w:val="0"/>
          <w:szCs w:val="21"/>
          <w:lang w:eastAsia="zh-TW"/>
        </w:rPr>
        <w:t>張代銘</w:t>
      </w:r>
    </w:p>
    <w:p>
      <w:pPr>
        <w:autoSpaceDE w:val="0"/>
        <w:autoSpaceDN w:val="0"/>
        <w:adjustRightInd w:val="0"/>
        <w:ind w:right="420" w:firstLine="6405" w:firstLineChars="3050"/>
        <w:rPr>
          <w:rFonts w:ascii="宋体" w:hAnsi="宋体"/>
          <w:color w:val="231F20"/>
          <w:kern w:val="0"/>
          <w:szCs w:val="21"/>
          <w:lang w:eastAsia="zh-TW"/>
        </w:rPr>
      </w:pPr>
      <w:bookmarkStart w:id="0" w:name="_GoBack"/>
      <w:bookmarkEnd w:id="0"/>
      <w:r>
        <w:rPr>
          <w:rFonts w:hint="eastAsia" w:ascii="宋体" w:hAnsi="宋体" w:eastAsia="宋体"/>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autoSpaceDE w:val="0"/>
        <w:autoSpaceDN w:val="0"/>
        <w:adjustRightInd w:val="0"/>
        <w:rPr>
          <w:rFonts w:ascii="宋体" w:hAnsi="宋体"/>
          <w:color w:val="231F20"/>
          <w:kern w:val="0"/>
          <w:szCs w:val="21"/>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二零一</w:t>
      </w:r>
      <w:r>
        <w:rPr>
          <w:rFonts w:hint="eastAsia" w:ascii="宋体" w:hAnsi="宋体" w:eastAsia="宋体"/>
          <w:color w:val="231F20"/>
          <w:kern w:val="0"/>
          <w:szCs w:val="21"/>
          <w:lang w:eastAsia="zh-CN"/>
        </w:rPr>
        <w:t>八</w:t>
      </w:r>
      <w:r>
        <w:rPr>
          <w:rFonts w:hint="eastAsia" w:ascii="宋体" w:hAnsi="宋体" w:eastAsia="宋体"/>
          <w:color w:val="231F20"/>
          <w:kern w:val="0"/>
          <w:szCs w:val="21"/>
          <w:lang w:eastAsia="zh-TW"/>
        </w:rPr>
        <w:t>年</w:t>
      </w:r>
      <w:r>
        <w:rPr>
          <w:rFonts w:hint="eastAsia" w:ascii="宋体" w:hAnsi="宋体" w:eastAsia="宋体"/>
          <w:color w:val="231F20"/>
          <w:kern w:val="0"/>
          <w:szCs w:val="21"/>
          <w:lang w:eastAsia="zh-CN"/>
        </w:rPr>
        <w:t>一</w:t>
      </w:r>
      <w:r>
        <w:rPr>
          <w:rFonts w:hint="eastAsia" w:ascii="宋体" w:hAnsi="宋体" w:eastAsia="宋体"/>
          <w:color w:val="231F20"/>
          <w:kern w:val="0"/>
          <w:szCs w:val="21"/>
          <w:lang w:eastAsia="zh-TW"/>
        </w:rPr>
        <w:t>月</w:t>
      </w:r>
      <w:r>
        <w:rPr>
          <w:rFonts w:hint="eastAsia" w:ascii="宋体" w:hAnsi="宋体" w:eastAsia="宋体"/>
          <w:color w:val="231F20"/>
          <w:kern w:val="0"/>
          <w:szCs w:val="21"/>
          <w:lang w:eastAsia="zh-CN"/>
        </w:rPr>
        <w:t>十九</w:t>
      </w:r>
      <w:r>
        <w:rPr>
          <w:rFonts w:hint="eastAsia" w:ascii="宋体" w:hAnsi="宋体" w:eastAsia="宋体"/>
          <w:color w:val="231F20"/>
          <w:kern w:val="0"/>
          <w:szCs w:val="21"/>
          <w:lang w:eastAsia="zh-TW"/>
        </w:rPr>
        <w:t>日</w:t>
      </w:r>
    </w:p>
    <w:p>
      <w:pPr>
        <w:autoSpaceDE w:val="0"/>
        <w:autoSpaceDN w:val="0"/>
        <w:adjustRightInd w:val="0"/>
        <w:rPr>
          <w:rFonts w:ascii="宋体" w:hAnsi="宋体"/>
          <w:color w:val="231F20"/>
          <w:kern w:val="0"/>
          <w:szCs w:val="21"/>
          <w:lang w:eastAsia="zh-TW"/>
        </w:rPr>
      </w:pPr>
    </w:p>
    <w:p>
      <w:pPr>
        <w:kinsoku w:val="0"/>
        <w:snapToGrid w:val="0"/>
        <w:rPr>
          <w:lang w:eastAsia="zh-TW"/>
        </w:rPr>
      </w:pPr>
      <w:r>
        <w:rPr>
          <w:rFonts w:ascii="Calibri" w:hAnsi="Calibri" w:eastAsia="宋体" w:cs="黑体"/>
          <w:kern w:val="2"/>
          <w:sz w:val="21"/>
          <w:szCs w:val="22"/>
          <w:lang w:val="en-US" w:eastAsia="zh-CN" w:bidi="ar-SA"/>
        </w:rPr>
        <w:pict>
          <v:rect id="文本框 2" o:spid="_x0000_s1028" style="position:absolute;left:0;margin-left:468pt;margin-top:9pt;height:36pt;width:72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szCs w:val="16"/>
                    </w:rPr>
                  </w:pPr>
                </w:p>
              </w:txbxContent>
            </v:textbox>
          </v:rect>
        </w:pict>
      </w:r>
      <w:r>
        <w:rPr>
          <w:rFonts w:hint="eastAsia" w:eastAsia="宋体"/>
          <w:lang w:eastAsia="zh-TW"/>
        </w:rPr>
        <w:t>於本公告日期，本公司董事會之成員如下：</w:t>
      </w:r>
    </w:p>
    <w:p>
      <w:pPr>
        <w:kinsoku w:val="0"/>
        <w:snapToGrid w:val="0"/>
        <w:rPr>
          <w:lang w:eastAsia="zh-TW"/>
        </w:rPr>
      </w:pPr>
    </w:p>
    <w:p>
      <w:pPr>
        <w:kinsoku w:val="0"/>
        <w:snapToGrid w:val="0"/>
        <w:rPr>
          <w:lang w:eastAsia="zh-TW"/>
        </w:rPr>
      </w:pP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執行董事</w:t>
            </w:r>
          </w:p>
        </w:tc>
        <w:tc>
          <w:tcPr>
            <w:tcW w:w="2841" w:type="dxa"/>
            <w:vAlign w:val="top"/>
          </w:tcPr>
          <w:p>
            <w:pPr>
              <w:kinsoku w:val="0"/>
              <w:snapToGrid w:val="0"/>
            </w:pPr>
            <w:r>
              <w:rPr>
                <w:rFonts w:hint="eastAsia" w:eastAsia="PMingLiU"/>
                <w:lang w:eastAsia="zh-TW"/>
              </w:rPr>
              <w:t>非執行董事</w:t>
            </w:r>
          </w:p>
        </w:tc>
        <w:tc>
          <w:tcPr>
            <w:tcW w:w="2841" w:type="dxa"/>
            <w:vAlign w:val="top"/>
          </w:tcPr>
          <w:p>
            <w:pPr>
              <w:kinsoku w:val="0"/>
              <w:snapToGrid w:val="0"/>
            </w:pPr>
            <w:r>
              <w:rPr>
                <w:rFonts w:hint="eastAsia" w:eastAsia="PMingLiU"/>
                <w:lang w:eastAsia="zh-TW"/>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張代銘先生（董事長）</w:t>
            </w:r>
          </w:p>
        </w:tc>
        <w:tc>
          <w:tcPr>
            <w:tcW w:w="2841" w:type="dxa"/>
            <w:vAlign w:val="top"/>
          </w:tcPr>
          <w:p>
            <w:pPr>
              <w:kinsoku w:val="0"/>
              <w:snapToGrid w:val="0"/>
            </w:pPr>
            <w:r>
              <w:rPr>
                <w:rFonts w:hint="eastAsia" w:eastAsia="PMingLiU"/>
                <w:lang w:eastAsia="zh-TW"/>
              </w:rPr>
              <w:t>任福龍先生</w:t>
            </w:r>
          </w:p>
        </w:tc>
        <w:tc>
          <w:tcPr>
            <w:tcW w:w="2841" w:type="dxa"/>
            <w:vAlign w:val="top"/>
          </w:tcPr>
          <w:p>
            <w:pPr>
              <w:kinsoku w:val="0"/>
              <w:snapToGrid w:val="0"/>
            </w:pPr>
            <w:r>
              <w:rPr>
                <w:rFonts w:hint="eastAsia" w:eastAsia="PMingLiU"/>
                <w:lang w:eastAsia="zh-TW"/>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杜德平先生</w:t>
            </w:r>
          </w:p>
        </w:tc>
        <w:tc>
          <w:tcPr>
            <w:tcW w:w="2841" w:type="dxa"/>
            <w:vAlign w:val="top"/>
          </w:tcPr>
          <w:p>
            <w:pPr>
              <w:kinsoku w:val="0"/>
              <w:snapToGrid w:val="0"/>
            </w:pPr>
            <w:r>
              <w:rPr>
                <w:rFonts w:hint="eastAsia" w:eastAsia="PMingLiU"/>
                <w:lang w:eastAsia="zh-TW"/>
              </w:rPr>
              <w:t>徐</w:t>
            </w:r>
            <w:r>
              <w:rPr>
                <w:rFonts w:eastAsia="PMingLiU"/>
                <w:lang w:eastAsia="zh-TW"/>
              </w:rPr>
              <w:t xml:space="preserve">  </w:t>
            </w:r>
            <w:r>
              <w:rPr>
                <w:rFonts w:hint="eastAsia" w:eastAsia="PMingLiU"/>
                <w:lang w:eastAsia="zh-TW"/>
              </w:rPr>
              <w:t>列先生</w:t>
            </w:r>
          </w:p>
        </w:tc>
        <w:tc>
          <w:tcPr>
            <w:tcW w:w="2841" w:type="dxa"/>
            <w:vAlign w:val="top"/>
          </w:tcPr>
          <w:p>
            <w:pPr>
              <w:kinsoku w:val="0"/>
              <w:snapToGrid w:val="0"/>
            </w:pPr>
            <w:r>
              <w:rPr>
                <w:rFonts w:hint="eastAsia" w:eastAsia="PMingLiU"/>
                <w:lang w:eastAsia="zh-TW"/>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r>
              <w:rPr>
                <w:rFonts w:hint="eastAsia" w:eastAsia="PMingLiU"/>
                <w:lang w:eastAsia="zh-TW"/>
              </w:rPr>
              <w:t>趙</w:t>
            </w:r>
            <w:r>
              <w:rPr>
                <w:rFonts w:eastAsia="PMingLiU"/>
                <w:lang w:eastAsia="zh-TW"/>
              </w:rPr>
              <w:t xml:space="preserve">  </w:t>
            </w:r>
            <w:r>
              <w:rPr>
                <w:rFonts w:hint="eastAsia" w:eastAsia="PMingLiU"/>
                <w:lang w:eastAsia="zh-TW"/>
              </w:rPr>
              <w:t>斌先生</w:t>
            </w:r>
          </w:p>
        </w:tc>
        <w:tc>
          <w:tcPr>
            <w:tcW w:w="2841" w:type="dxa"/>
            <w:vAlign w:val="top"/>
          </w:tcPr>
          <w:p>
            <w:pPr>
              <w:kinsoku w:val="0"/>
              <w:snapToGrid w:val="0"/>
            </w:pPr>
            <w:r>
              <w:rPr>
                <w:rFonts w:hint="eastAsia" w:eastAsia="PMingLiU"/>
                <w:lang w:eastAsia="zh-TW"/>
              </w:rPr>
              <w:t>陳仲戟先生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p>
        </w:tc>
        <w:tc>
          <w:tcPr>
            <w:tcW w:w="2841" w:type="dxa"/>
            <w:vAlign w:val="top"/>
          </w:tcPr>
          <w:p>
            <w:pPr>
              <w:kinsoku w:val="0"/>
              <w:snapToGrid w:val="0"/>
            </w:pPr>
          </w:p>
        </w:tc>
      </w:tr>
    </w:tbl>
    <w:p>
      <w:r>
        <w:br w:type="page"/>
      </w:r>
    </w:p>
    <w:p>
      <w:pPr>
        <w:spacing w:beforeLines="50" w:afterLines="50" w:line="360" w:lineRule="exact"/>
        <w:jc w:val="center"/>
        <w:rPr>
          <w:rFonts w:hint="eastAsia"/>
        </w:rPr>
      </w:pPr>
      <w:r>
        <w:rPr>
          <w:rFonts w:hint="eastAsia"/>
        </w:rPr>
        <w:t>证券代码：000756         证券简称：新华制药      公告编号：2018 - 04</w:t>
      </w:r>
    </w:p>
    <w:p>
      <w:pPr>
        <w:spacing w:line="400" w:lineRule="exact"/>
        <w:jc w:val="center"/>
        <w:rPr>
          <w:rFonts w:hint="eastAsia" w:ascii="宋体" w:hAnsi="宋体"/>
          <w:b/>
          <w:sz w:val="24"/>
        </w:rPr>
      </w:pPr>
      <w:r>
        <w:rPr>
          <w:rFonts w:hint="eastAsia" w:ascii="宋体" w:hAnsi="宋体"/>
          <w:b/>
          <w:sz w:val="24"/>
        </w:rPr>
        <w:t>山东新华制药股份有限公司</w:t>
      </w:r>
    </w:p>
    <w:p>
      <w:pPr>
        <w:spacing w:line="400" w:lineRule="exact"/>
        <w:jc w:val="center"/>
        <w:rPr>
          <w:rFonts w:hint="eastAsia" w:ascii="宋体" w:hAnsi="宋体"/>
          <w:b/>
          <w:sz w:val="24"/>
        </w:rPr>
      </w:pPr>
      <w:r>
        <w:rPr>
          <w:rFonts w:hint="eastAsia" w:ascii="宋体" w:hAnsi="宋体"/>
          <w:b/>
          <w:sz w:val="24"/>
        </w:rPr>
        <w:t>2017年</w:t>
      </w:r>
      <w:r>
        <w:rPr>
          <w:rFonts w:hint="eastAsia" w:ascii="宋体" w:hAnsi="宋体"/>
          <w:b/>
          <w:sz w:val="24"/>
          <w:lang w:eastAsia="zh-CN"/>
        </w:rPr>
        <w:t>度</w:t>
      </w:r>
      <w:r>
        <w:rPr>
          <w:rFonts w:hint="eastAsia" w:ascii="宋体" w:hAnsi="宋体"/>
          <w:b/>
          <w:sz w:val="24"/>
        </w:rPr>
        <w:t>A股特别派息实施公告</w:t>
      </w:r>
    </w:p>
    <w:p>
      <w:pPr>
        <w:spacing w:before="100" w:beforeAutospacing="1" w:after="100" w:afterAutospacing="1" w:line="360" w:lineRule="exact"/>
        <w:ind w:firstLine="480" w:firstLineChars="200"/>
        <w:rPr>
          <w:rFonts w:hint="eastAsia" w:ascii="华文楷体" w:hAnsi="华文楷体" w:eastAsia="华文楷体"/>
          <w:sz w:val="24"/>
        </w:rPr>
      </w:pPr>
      <w:r>
        <w:rPr>
          <w:rFonts w:hint="eastAsia" w:ascii="华文楷体" w:hAnsi="华文楷体" w:eastAsia="华文楷体"/>
          <w:sz w:val="24"/>
        </w:rPr>
        <w:t>本公司及董事会全体成员保证信息披露的内容真实、准确、完整，没有虚假记载、误导性陈述或重大遗漏。</w:t>
      </w:r>
    </w:p>
    <w:p>
      <w:pPr>
        <w:spacing w:before="100" w:beforeAutospacing="1" w:after="100" w:afterAutospacing="1" w:line="360" w:lineRule="exact"/>
        <w:ind w:firstLine="480" w:firstLineChars="200"/>
        <w:rPr>
          <w:rFonts w:hint="eastAsia"/>
          <w:sz w:val="24"/>
        </w:rPr>
      </w:pPr>
      <w:r>
        <w:rPr>
          <w:rFonts w:hint="eastAsia"/>
          <w:sz w:val="24"/>
        </w:rPr>
        <w:t>山东新华制药股份有限公司（“本公司”）2017年</w:t>
      </w:r>
      <w:r>
        <w:rPr>
          <w:rFonts w:hint="eastAsia"/>
          <w:sz w:val="24"/>
          <w:lang w:eastAsia="zh-CN"/>
        </w:rPr>
        <w:t>度</w:t>
      </w:r>
      <w:r>
        <w:rPr>
          <w:rFonts w:hint="eastAsia"/>
          <w:sz w:val="24"/>
        </w:rPr>
        <w:t>特别派息方案已获2017年12月22日召开的2017年第一次临时股东大会审议通过，现将A股特别派息事宜公告如下：</w:t>
      </w:r>
    </w:p>
    <w:p>
      <w:pPr>
        <w:spacing w:before="100" w:beforeAutospacing="1" w:after="100" w:afterAutospacing="1" w:line="360" w:lineRule="exact"/>
        <w:ind w:firstLine="482" w:firstLineChars="200"/>
        <w:rPr>
          <w:b/>
          <w:sz w:val="24"/>
        </w:rPr>
      </w:pPr>
      <w:r>
        <w:rPr>
          <w:rFonts w:hint="eastAsia"/>
          <w:b/>
          <w:sz w:val="24"/>
        </w:rPr>
        <w:t>一、特别派息方案</w:t>
      </w:r>
    </w:p>
    <w:p>
      <w:pPr>
        <w:spacing w:before="100" w:beforeAutospacing="1" w:after="100" w:afterAutospacing="1" w:line="360" w:lineRule="exact"/>
        <w:ind w:firstLine="566"/>
        <w:rPr>
          <w:rFonts w:hint="eastAsia"/>
          <w:sz w:val="24"/>
        </w:rPr>
      </w:pPr>
      <w:r>
        <w:rPr>
          <w:rFonts w:hint="eastAsia"/>
          <w:sz w:val="24"/>
        </w:rPr>
        <w:t>本公司2017年</w:t>
      </w:r>
      <w:r>
        <w:rPr>
          <w:rFonts w:hint="eastAsia"/>
          <w:sz w:val="24"/>
          <w:lang w:eastAsia="zh-CN"/>
        </w:rPr>
        <w:t>度</w:t>
      </w:r>
      <w:r>
        <w:rPr>
          <w:rFonts w:hint="eastAsia"/>
          <w:sz w:val="24"/>
        </w:rPr>
        <w:t>特别派息方案为：以本公司现有总股本478,353,421股为基数（其中A股328,353,421股，H股150,000,000股），向全体股东每</w:t>
      </w:r>
      <w:r>
        <w:rPr>
          <w:sz w:val="24"/>
        </w:rPr>
        <w:t>10</w:t>
      </w:r>
      <w:r>
        <w:rPr>
          <w:rFonts w:hint="eastAsia"/>
          <w:sz w:val="24"/>
        </w:rPr>
        <w:t>股派0.30元人民币现金（含税；扣税后，通过深股通持有本公司A股股份的香港市场投资者、QFII、RQFII以及持有首发前限售股的个人和证券投资基金每10股派0.270000元；持有首发后限售股、股权激励限售股及无限售流通股的个人股息红利税实行差别化税率征收，本公司暂不扣缴个人所得税，待个人转让股票时，根据其持股期限计算应纳税额【注】；持有首发后限售股、股权激励限售股及无限售流通股的证券投资基金所涉红利税，对香港投资者持有基金份额部分按10%征收，对内地投资者持有基金份额部分实行差别化税率征收）。</w:t>
      </w:r>
    </w:p>
    <w:p>
      <w:pPr>
        <w:spacing w:before="100" w:beforeAutospacing="1" w:after="100" w:afterAutospacing="1" w:line="360" w:lineRule="exact"/>
        <w:ind w:firstLine="566"/>
        <w:rPr>
          <w:rFonts w:hint="eastAsia"/>
          <w:sz w:val="24"/>
        </w:rPr>
      </w:pPr>
      <w:r>
        <w:rPr>
          <w:rFonts w:hint="eastAsia"/>
          <w:sz w:val="24"/>
        </w:rPr>
        <w:t>【注：根据先进先出的原则，以投资者证券账户为单位计算持股期限，持股1个月（含1个月）以内，每10股补缴税款0.060000元；持股1个月以上至1年（含1年）的，每10股补缴税款0.030000元；持股超过1年的，不需补缴税款。】</w:t>
      </w:r>
    </w:p>
    <w:p>
      <w:pPr>
        <w:spacing w:before="100" w:beforeAutospacing="1" w:after="100" w:afterAutospacing="1" w:line="360" w:lineRule="exact"/>
        <w:ind w:firstLine="566"/>
        <w:rPr>
          <w:rFonts w:hint="eastAsia"/>
          <w:sz w:val="24"/>
        </w:rPr>
      </w:pPr>
      <w:r>
        <w:rPr>
          <w:rFonts w:hint="eastAsia"/>
          <w:sz w:val="24"/>
        </w:rPr>
        <w:t>自本分配方案披露至实施期间公司股本总额未发生变化；本次实施的分配方案与2017年第一次临时股东大会审议通过的分配方案一致；</w:t>
      </w:r>
      <w:r>
        <w:rPr>
          <w:sz w:val="24"/>
        </w:rPr>
        <w:t>本次权益分派的实施距离公司201</w:t>
      </w:r>
      <w:r>
        <w:rPr>
          <w:rFonts w:hint="eastAsia"/>
          <w:sz w:val="24"/>
        </w:rPr>
        <w:t>7</w:t>
      </w:r>
      <w:r>
        <w:rPr>
          <w:sz w:val="24"/>
        </w:rPr>
        <w:t>年</w:t>
      </w:r>
      <w:r>
        <w:rPr>
          <w:rFonts w:hint="eastAsia"/>
          <w:sz w:val="24"/>
        </w:rPr>
        <w:t>第一次临时</w:t>
      </w:r>
      <w:r>
        <w:rPr>
          <w:sz w:val="24"/>
        </w:rPr>
        <w:t>股东大会通过的利润分配方案的时间未超过两个月。</w:t>
      </w:r>
    </w:p>
    <w:p>
      <w:pPr>
        <w:spacing w:before="100" w:beforeAutospacing="1" w:after="100" w:afterAutospacing="1" w:line="360" w:lineRule="exact"/>
        <w:ind w:firstLine="482" w:firstLineChars="200"/>
        <w:rPr>
          <w:b/>
          <w:sz w:val="24"/>
        </w:rPr>
      </w:pPr>
      <w:r>
        <w:rPr>
          <w:rFonts w:hint="eastAsia"/>
          <w:b/>
          <w:sz w:val="24"/>
        </w:rPr>
        <w:t>二、A股股权登记日与除权除息日</w:t>
      </w:r>
    </w:p>
    <w:p>
      <w:pPr>
        <w:spacing w:before="100" w:beforeAutospacing="1" w:after="100" w:afterAutospacing="1" w:line="360" w:lineRule="exact"/>
        <w:ind w:left="1" w:firstLine="475" w:firstLineChars="198"/>
        <w:rPr>
          <w:rFonts w:hint="eastAsia"/>
          <w:sz w:val="24"/>
        </w:rPr>
      </w:pPr>
      <w:r>
        <w:rPr>
          <w:rFonts w:hint="eastAsia"/>
          <w:sz w:val="24"/>
        </w:rPr>
        <w:t>本次特别派息A股股权登记日为：2018年1月25日，A股除权除息日为：2018年1月26日。</w:t>
      </w:r>
    </w:p>
    <w:p>
      <w:pPr>
        <w:spacing w:before="100" w:beforeAutospacing="1" w:after="100" w:afterAutospacing="1" w:line="360" w:lineRule="exact"/>
        <w:ind w:firstLine="482" w:firstLineChars="200"/>
        <w:rPr>
          <w:b/>
          <w:sz w:val="24"/>
        </w:rPr>
      </w:pPr>
      <w:r>
        <w:rPr>
          <w:rFonts w:hint="eastAsia"/>
          <w:b/>
          <w:sz w:val="24"/>
        </w:rPr>
        <w:t>三、A股分红派息对象</w:t>
      </w:r>
    </w:p>
    <w:p>
      <w:pPr>
        <w:spacing w:before="100" w:beforeAutospacing="1" w:after="100" w:afterAutospacing="1" w:line="360" w:lineRule="exact"/>
        <w:ind w:firstLine="476"/>
        <w:rPr>
          <w:rFonts w:hint="eastAsia"/>
          <w:sz w:val="24"/>
        </w:rPr>
      </w:pPr>
      <w:r>
        <w:rPr>
          <w:rFonts w:hint="eastAsia"/>
          <w:sz w:val="24"/>
        </w:rPr>
        <w:t>本次A股分派对象为：截止2018年1月25日下午深圳证券交易所收市后，在中国结算登记结算有限责任公司深圳分公司（“中国结算深圳分公司”）登记在册的本公司全体A股股东。</w:t>
      </w:r>
    </w:p>
    <w:p>
      <w:pPr>
        <w:spacing w:before="100" w:beforeAutospacing="1" w:after="100" w:afterAutospacing="1" w:line="360" w:lineRule="exact"/>
        <w:ind w:firstLine="482" w:firstLineChars="200"/>
        <w:rPr>
          <w:rFonts w:hint="eastAsia"/>
          <w:b/>
          <w:sz w:val="24"/>
        </w:rPr>
      </w:pPr>
      <w:r>
        <w:rPr>
          <w:rFonts w:hint="eastAsia"/>
          <w:b/>
          <w:sz w:val="24"/>
        </w:rPr>
        <w:t>四、2017年</w:t>
      </w:r>
      <w:r>
        <w:rPr>
          <w:rFonts w:hint="eastAsia"/>
          <w:b/>
          <w:sz w:val="24"/>
          <w:lang w:eastAsia="zh-CN"/>
        </w:rPr>
        <w:t>度</w:t>
      </w:r>
      <w:r>
        <w:rPr>
          <w:rFonts w:hint="eastAsia"/>
          <w:b/>
          <w:sz w:val="24"/>
        </w:rPr>
        <w:t>A股特别派息方法</w:t>
      </w:r>
    </w:p>
    <w:p>
      <w:pPr>
        <w:spacing w:before="100" w:beforeAutospacing="1" w:after="100" w:afterAutospacing="1" w:line="360" w:lineRule="exact"/>
        <w:ind w:firstLine="476"/>
        <w:rPr>
          <w:rFonts w:hint="eastAsia"/>
          <w:sz w:val="24"/>
        </w:rPr>
      </w:pPr>
      <w:r>
        <w:rPr>
          <w:rFonts w:hint="eastAsia"/>
          <w:sz w:val="24"/>
        </w:rPr>
        <w:t>本公司此次委托中国结算深圳分公司代派的A股现金红利将于</w:t>
      </w:r>
      <w:r>
        <w:rPr>
          <w:sz w:val="24"/>
        </w:rPr>
        <w:t>201</w:t>
      </w:r>
      <w:r>
        <w:rPr>
          <w:rFonts w:hint="eastAsia"/>
          <w:sz w:val="24"/>
        </w:rPr>
        <w:t>8年1月26日通过股东托管证券公司（或其他托管机构）直接划入其资金账户。</w:t>
      </w:r>
    </w:p>
    <w:p>
      <w:pPr>
        <w:spacing w:before="100" w:beforeAutospacing="1" w:after="100" w:afterAutospacing="1" w:line="360" w:lineRule="exact"/>
        <w:ind w:firstLine="482" w:firstLineChars="200"/>
        <w:rPr>
          <w:rFonts w:hint="eastAsia"/>
          <w:b/>
          <w:sz w:val="24"/>
        </w:rPr>
      </w:pPr>
      <w:r>
        <w:rPr>
          <w:rFonts w:hint="eastAsia"/>
          <w:b/>
          <w:sz w:val="24"/>
        </w:rPr>
        <w:t>五、咨询事项</w:t>
      </w:r>
    </w:p>
    <w:p>
      <w:pPr>
        <w:spacing w:before="100" w:beforeAutospacing="1" w:after="100" w:afterAutospacing="1" w:line="360" w:lineRule="exact"/>
        <w:ind w:firstLine="480" w:firstLineChars="200"/>
        <w:rPr>
          <w:sz w:val="24"/>
        </w:rPr>
      </w:pPr>
      <w:r>
        <w:rPr>
          <w:rFonts w:hint="eastAsia"/>
          <w:sz w:val="24"/>
        </w:rPr>
        <w:t>咨询机构：山东新华制药股份有限公司董事会秘书办公室</w:t>
      </w:r>
    </w:p>
    <w:p>
      <w:pPr>
        <w:spacing w:before="100" w:beforeAutospacing="1" w:after="100" w:afterAutospacing="1" w:line="360" w:lineRule="exact"/>
        <w:ind w:firstLine="480" w:firstLineChars="200"/>
        <w:rPr>
          <w:rFonts w:hint="eastAsia"/>
          <w:sz w:val="24"/>
        </w:rPr>
      </w:pPr>
      <w:r>
        <w:rPr>
          <w:sz w:val="24"/>
        </w:rPr>
        <w:t>咨询地址：</w:t>
      </w:r>
      <w:r>
        <w:rPr>
          <w:rFonts w:hint="eastAsia"/>
          <w:sz w:val="24"/>
        </w:rPr>
        <w:t xml:space="preserve">山东省淄博市高新区鲁泰大道1号                        </w:t>
      </w:r>
    </w:p>
    <w:p>
      <w:pPr>
        <w:spacing w:before="100" w:beforeAutospacing="1" w:after="100" w:afterAutospacing="1" w:line="360" w:lineRule="exact"/>
        <w:ind w:firstLine="480" w:firstLineChars="200"/>
        <w:rPr>
          <w:rFonts w:hint="eastAsia"/>
          <w:sz w:val="24"/>
        </w:rPr>
      </w:pPr>
      <w:r>
        <w:rPr>
          <w:rFonts w:hint="eastAsia"/>
          <w:sz w:val="24"/>
        </w:rPr>
        <w:t>咨询联系人：曹长求</w:t>
      </w:r>
    </w:p>
    <w:p>
      <w:pPr>
        <w:spacing w:before="100" w:beforeAutospacing="1" w:after="100" w:afterAutospacing="1" w:line="360" w:lineRule="exact"/>
        <w:ind w:firstLine="480" w:firstLineChars="200"/>
        <w:rPr>
          <w:rFonts w:hint="eastAsia"/>
          <w:sz w:val="24"/>
        </w:rPr>
      </w:pPr>
      <w:r>
        <w:rPr>
          <w:rFonts w:hint="eastAsia"/>
          <w:sz w:val="24"/>
        </w:rPr>
        <w:t>咨询电话：0533-2196024</w:t>
      </w:r>
    </w:p>
    <w:p>
      <w:pPr>
        <w:spacing w:before="100" w:beforeAutospacing="1" w:after="100" w:afterAutospacing="1" w:line="360" w:lineRule="exact"/>
        <w:ind w:firstLine="480" w:firstLineChars="200"/>
        <w:rPr>
          <w:rFonts w:hint="eastAsia"/>
          <w:sz w:val="24"/>
        </w:rPr>
      </w:pPr>
      <w:r>
        <w:rPr>
          <w:rFonts w:hint="eastAsia"/>
          <w:sz w:val="24"/>
        </w:rPr>
        <w:t>传真电话：0533-2287508</w:t>
      </w:r>
    </w:p>
    <w:p>
      <w:pPr>
        <w:spacing w:before="100" w:beforeAutospacing="1" w:after="100" w:afterAutospacing="1" w:line="360" w:lineRule="exact"/>
        <w:ind w:firstLine="482" w:firstLineChars="200"/>
        <w:rPr>
          <w:rFonts w:hint="eastAsia"/>
          <w:b/>
          <w:sz w:val="24"/>
        </w:rPr>
      </w:pPr>
      <w:r>
        <w:rPr>
          <w:rFonts w:hint="eastAsia"/>
          <w:b/>
          <w:sz w:val="24"/>
        </w:rPr>
        <w:t>六、备查文件</w:t>
      </w:r>
    </w:p>
    <w:p>
      <w:pPr>
        <w:spacing w:line="360" w:lineRule="auto"/>
        <w:ind w:firstLine="480" w:firstLineChars="200"/>
        <w:rPr>
          <w:rFonts w:hint="eastAsia"/>
          <w:sz w:val="24"/>
        </w:rPr>
      </w:pPr>
      <w:r>
        <w:rPr>
          <w:rFonts w:hint="eastAsia"/>
          <w:sz w:val="24"/>
        </w:rPr>
        <w:t>1．中国结算深圳分公司确认有关分红派息具体时间安排的文件；</w:t>
      </w:r>
    </w:p>
    <w:p>
      <w:pPr>
        <w:spacing w:line="360" w:lineRule="auto"/>
        <w:ind w:firstLine="480" w:firstLineChars="200"/>
        <w:rPr>
          <w:rFonts w:hint="eastAsia"/>
          <w:sz w:val="24"/>
        </w:rPr>
      </w:pPr>
      <w:r>
        <w:rPr>
          <w:rFonts w:hint="eastAsia"/>
          <w:sz w:val="24"/>
        </w:rPr>
        <w:t xml:space="preserve">2. </w:t>
      </w:r>
      <w:r>
        <w:rPr>
          <w:rFonts w:hint="eastAsia"/>
          <w:sz w:val="24"/>
          <w:lang w:eastAsia="zh-CN"/>
        </w:rPr>
        <w:t>公司第八届</w:t>
      </w:r>
      <w:r>
        <w:rPr>
          <w:rFonts w:hint="eastAsia"/>
          <w:sz w:val="24"/>
        </w:rPr>
        <w:t>董事会</w:t>
      </w:r>
      <w:r>
        <w:rPr>
          <w:rFonts w:hint="eastAsia"/>
          <w:sz w:val="24"/>
          <w:lang w:eastAsia="zh-CN"/>
        </w:rPr>
        <w:t>第十四次会议</w:t>
      </w:r>
      <w:r>
        <w:rPr>
          <w:rFonts w:hint="eastAsia"/>
          <w:sz w:val="24"/>
        </w:rPr>
        <w:t>决议；</w:t>
      </w:r>
    </w:p>
    <w:p>
      <w:pPr>
        <w:spacing w:line="360" w:lineRule="auto"/>
        <w:ind w:firstLine="480" w:firstLineChars="200"/>
        <w:rPr>
          <w:rFonts w:hint="eastAsia"/>
          <w:sz w:val="24"/>
        </w:rPr>
      </w:pPr>
      <w:r>
        <w:rPr>
          <w:rFonts w:hint="eastAsia"/>
          <w:sz w:val="24"/>
        </w:rPr>
        <w:t>3．公司2017年第一次临时股东大会决议。</w:t>
      </w:r>
    </w:p>
    <w:p>
      <w:pPr>
        <w:spacing w:before="100" w:beforeAutospacing="1" w:after="100" w:afterAutospacing="1" w:line="360" w:lineRule="exact"/>
        <w:ind w:firstLine="480" w:firstLineChars="200"/>
        <w:rPr>
          <w:rFonts w:hint="eastAsia"/>
          <w:sz w:val="24"/>
        </w:rPr>
      </w:pPr>
      <w:r>
        <w:rPr>
          <w:rFonts w:hint="eastAsia"/>
          <w:sz w:val="24"/>
        </w:rPr>
        <w:t>特此公告。</w:t>
      </w:r>
    </w:p>
    <w:p>
      <w:pPr>
        <w:spacing w:before="100" w:beforeAutospacing="1" w:after="100" w:afterAutospacing="1" w:line="360" w:lineRule="exact"/>
        <w:ind w:firstLine="480" w:firstLineChars="200"/>
        <w:rPr>
          <w:rFonts w:hint="eastAsia"/>
          <w:sz w:val="24"/>
        </w:rPr>
      </w:pPr>
    </w:p>
    <w:p>
      <w:pPr>
        <w:spacing w:before="100" w:beforeAutospacing="1" w:after="100" w:afterAutospacing="1" w:line="360" w:lineRule="exact"/>
        <w:ind w:firstLine="4680" w:firstLineChars="1950"/>
        <w:rPr>
          <w:rFonts w:hint="eastAsia"/>
          <w:sz w:val="24"/>
        </w:rPr>
      </w:pPr>
      <w:r>
        <w:rPr>
          <w:rFonts w:hint="eastAsia"/>
          <w:sz w:val="24"/>
        </w:rPr>
        <w:t>山东新华制药股份有限公司董事会</w:t>
      </w:r>
    </w:p>
    <w:p>
      <w:pPr>
        <w:spacing w:before="100" w:beforeAutospacing="1" w:after="100" w:afterAutospacing="1" w:line="360" w:lineRule="exact"/>
        <w:ind w:firstLine="5400" w:firstLineChars="2250"/>
        <w:rPr>
          <w:rFonts w:hint="eastAsia"/>
          <w:sz w:val="24"/>
        </w:rPr>
      </w:pPr>
      <w:r>
        <w:rPr>
          <w:rFonts w:hint="eastAsia"/>
          <w:sz w:val="24"/>
        </w:rPr>
        <w:t>2018年1月19日</w:t>
      </w:r>
    </w:p>
    <w:p>
      <w:pPr>
        <w:spacing w:before="100" w:beforeAutospacing="1" w:after="100" w:afterAutospacing="1" w:line="360" w:lineRule="exact"/>
        <w:ind w:firstLine="420"/>
        <w:jc w:val="both"/>
        <w:rPr>
          <w:rFonts w:hint="eastAsia" w:hAnsi="宋体"/>
          <w:sz w:val="24"/>
          <w:szCs w:val="24"/>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华文楷体">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paragraph" w:styleId="2">
    <w:name w:val="Date"/>
    <w:basedOn w:val="1"/>
    <w:next w:val="1"/>
    <w:uiPriority w:val="0"/>
    <w:pPr>
      <w:ind w:left="100" w:leftChars="2500"/>
    </w:pPr>
    <w:rPr>
      <w:rFonts w:ascii="宋体"/>
      <w:sz w:val="24"/>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2017-12-19T07:48:00Z</dcterms:created>
  <dc:creator>曹长求</dc:creator>
  <cp:lastModifiedBy>曹长求</cp:lastModifiedBy>
  <dcterms:modified xsi:type="dcterms:W3CDTF">2018-01-19T06:23:33Z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