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rPr>
          <w:i/>
          <w:sz w:val="18"/>
          <w:szCs w:val="18"/>
        </w:rPr>
      </w:pPr>
      <w:r>
        <w:rPr>
          <w:rFonts w:hint="eastAsia" w:eastAsia="PMingLiU"/>
          <w:i/>
          <w:sz w:val="18"/>
          <w:szCs w:val="18"/>
          <w:lang w:eastAsia="zh-TW"/>
        </w:rPr>
        <w:t>香港交易及結算所有限公司及香港聯合交易所有限公司對本公告之內容概不負責，對其準確性或完整性亦不發表任何聲明，並明確表示概不就因本公告全部或任何部分內容而產生或因倚賴該等內容而引致之任何損失承擔任何責任。</w:t>
      </w:r>
    </w:p>
    <w:p>
      <w:pPr>
        <w:autoSpaceDE w:val="0"/>
        <w:autoSpaceDN w:val="0"/>
        <w:adjustRightInd w:val="0"/>
        <w:rPr>
          <w:rFonts w:ascii="宋体" w:hAnsi="宋体"/>
          <w:i/>
          <w:color w:val="231F20"/>
          <w:kern w:val="0"/>
          <w:szCs w:val="21"/>
          <w:lang w:eastAsia="zh-TW"/>
        </w:rPr>
      </w:pPr>
    </w:p>
    <w:p>
      <w:pPr>
        <w:autoSpaceDE w:val="0"/>
        <w:autoSpaceDN w:val="0"/>
        <w:adjustRightInd w:val="0"/>
        <w:rPr>
          <w:rFonts w:ascii="宋体" w:hAnsi="宋体"/>
          <w:color w:val="231F20"/>
          <w:kern w:val="0"/>
          <w:sz w:val="28"/>
          <w:szCs w:val="18"/>
          <w:lang w:eastAsia="zh-TW"/>
        </w:rPr>
      </w:pPr>
      <w:r>
        <w:rPr>
          <w:rFonts w:ascii="PMingLiU" w:hAnsi="PMingLiU" w:eastAsia="PMingLiU" w:cs="PMingLiU"/>
          <w:kern w:val="0"/>
          <w:sz w:val="17"/>
          <w:szCs w:val="17"/>
        </w:rPr>
        <w:drawing>
          <wp:anchor distT="0" distB="0" distL="114300" distR="114300" simplePos="0" relativeHeight="251660288" behindDoc="0" locked="0" layoutInCell="1" allowOverlap="1">
            <wp:simplePos x="0" y="0"/>
            <wp:positionH relativeFrom="column">
              <wp:posOffset>2857500</wp:posOffset>
            </wp:positionH>
            <wp:positionV relativeFrom="paragraph">
              <wp:posOffset>123825</wp:posOffset>
            </wp:positionV>
            <wp:extent cx="457200" cy="495300"/>
            <wp:effectExtent l="19050" t="0" r="0" b="0"/>
            <wp:wrapNone/>
            <wp:docPr id="2" name="图片 2" descr="!SHA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HANDON"/>
                    <pic:cNvPicPr>
                      <a:picLocks noChangeAspect="1" noChangeArrowheads="1"/>
                    </pic:cNvPicPr>
                  </pic:nvPicPr>
                  <pic:blipFill>
                    <a:blip r:embed="rId4" cstate="print">
                      <a:clrChange>
                        <a:clrFrom>
                          <a:srgbClr val="FFFFFF"/>
                        </a:clrFrom>
                        <a:clrTo>
                          <a:srgbClr val="FFFFFF">
                            <a:alpha val="0"/>
                          </a:srgbClr>
                        </a:clrTo>
                      </a:clrChange>
                    </a:blip>
                    <a:srcRect/>
                    <a:stretch>
                      <a:fillRect/>
                    </a:stretch>
                  </pic:blipFill>
                  <pic:spPr>
                    <a:xfrm>
                      <a:off x="0" y="0"/>
                      <a:ext cx="457200" cy="495300"/>
                    </a:xfrm>
                    <a:prstGeom prst="rect">
                      <a:avLst/>
                    </a:prstGeom>
                    <a:noFill/>
                  </pic:spPr>
                </pic:pic>
              </a:graphicData>
            </a:graphic>
          </wp:anchor>
        </w:drawing>
      </w:r>
    </w:p>
    <w:p>
      <w:pPr>
        <w:autoSpaceDE w:val="0"/>
        <w:autoSpaceDN w:val="0"/>
        <w:adjustRightInd w:val="0"/>
        <w:jc w:val="center"/>
        <w:rPr>
          <w:rFonts w:ascii="宋体" w:hAnsi="宋体"/>
          <w:b/>
          <w:bCs/>
          <w:color w:val="231F20"/>
          <w:kern w:val="0"/>
          <w:sz w:val="24"/>
          <w:szCs w:val="18"/>
        </w:rPr>
      </w:pPr>
    </w:p>
    <w:p>
      <w:pPr>
        <w:autoSpaceDE w:val="0"/>
        <w:autoSpaceDN w:val="0"/>
        <w:adjustRightInd w:val="0"/>
        <w:jc w:val="center"/>
        <w:rPr>
          <w:rFonts w:ascii="宋体" w:hAnsi="宋体"/>
          <w:b/>
          <w:bCs/>
          <w:color w:val="231F20"/>
          <w:kern w:val="0"/>
          <w:sz w:val="24"/>
          <w:szCs w:val="18"/>
        </w:rPr>
      </w:pPr>
    </w:p>
    <w:p>
      <w:pPr>
        <w:autoSpaceDE w:val="0"/>
        <w:autoSpaceDN w:val="0"/>
        <w:adjustRightInd w:val="0"/>
        <w:jc w:val="center"/>
        <w:rPr>
          <w:rFonts w:ascii="宋体" w:hAnsi="宋体"/>
          <w:b/>
          <w:bCs/>
          <w:color w:val="231F20"/>
          <w:kern w:val="0"/>
          <w:sz w:val="24"/>
          <w:szCs w:val="18"/>
          <w:lang w:eastAsia="zh-TW"/>
        </w:rPr>
      </w:pPr>
      <w:r>
        <w:rPr>
          <w:rFonts w:hint="eastAsia" w:ascii="宋体" w:hAnsi="宋体" w:eastAsia="PMingLiU"/>
          <w:b/>
          <w:bCs/>
          <w:color w:val="231F20"/>
          <w:kern w:val="0"/>
          <w:sz w:val="24"/>
          <w:szCs w:val="18"/>
          <w:lang w:eastAsia="zh-TW"/>
        </w:rPr>
        <w:t>山東新華製藥股份有限公司</w:t>
      </w:r>
    </w:p>
    <w:p>
      <w:pPr>
        <w:autoSpaceDE w:val="0"/>
        <w:autoSpaceDN w:val="0"/>
        <w:adjustRightInd w:val="0"/>
        <w:jc w:val="center"/>
        <w:rPr>
          <w:rFonts w:ascii="宋体" w:hAnsi="宋体"/>
          <w:b/>
          <w:bCs/>
          <w:color w:val="231F20"/>
          <w:kern w:val="0"/>
          <w:sz w:val="18"/>
          <w:szCs w:val="18"/>
          <w:lang w:eastAsia="zh-TW"/>
        </w:rPr>
      </w:pPr>
      <w:r>
        <w:rPr>
          <w:rFonts w:ascii="宋体" w:hAnsi="宋体" w:eastAsia="PMingLiU"/>
          <w:b/>
          <w:bCs/>
          <w:color w:val="231F20"/>
          <w:kern w:val="0"/>
          <w:sz w:val="24"/>
          <w:szCs w:val="18"/>
          <w:lang w:eastAsia="zh-TW"/>
        </w:rPr>
        <w:t>Shandong Xinhua Pharmaceutical Company Limited</w:t>
      </w:r>
    </w:p>
    <w:p>
      <w:pPr>
        <w:autoSpaceDE w:val="0"/>
        <w:autoSpaceDN w:val="0"/>
        <w:adjustRightInd w:val="0"/>
        <w:jc w:val="center"/>
        <w:rPr>
          <w:rFonts w:ascii="宋体" w:hAnsi="宋体"/>
          <w:color w:val="231F20"/>
          <w:kern w:val="0"/>
          <w:sz w:val="18"/>
          <w:szCs w:val="18"/>
          <w:lang w:eastAsia="zh-TW"/>
        </w:rPr>
      </w:pPr>
      <w:r>
        <w:rPr>
          <w:rFonts w:hint="eastAsia" w:ascii="宋体" w:hAnsi="宋体" w:eastAsia="PMingLiU"/>
          <w:color w:val="231F20"/>
          <w:kern w:val="0"/>
          <w:sz w:val="18"/>
          <w:szCs w:val="18"/>
          <w:lang w:eastAsia="zh-TW"/>
        </w:rPr>
        <w:t>（於中華人民共和國註冊成立之股份有限公司）</w:t>
      </w:r>
    </w:p>
    <w:p>
      <w:pPr>
        <w:autoSpaceDE w:val="0"/>
        <w:autoSpaceDN w:val="0"/>
        <w:adjustRightInd w:val="0"/>
        <w:jc w:val="center"/>
        <w:rPr>
          <w:rFonts w:ascii="宋体" w:hAnsi="宋体"/>
          <w:color w:val="231F20"/>
          <w:kern w:val="0"/>
          <w:sz w:val="20"/>
          <w:szCs w:val="20"/>
        </w:rPr>
      </w:pPr>
      <w:r>
        <w:rPr>
          <w:rFonts w:hint="eastAsia" w:ascii="宋体" w:hAnsi="宋体" w:eastAsia="PMingLiU"/>
          <w:color w:val="231F20"/>
          <w:kern w:val="0"/>
          <w:sz w:val="20"/>
          <w:szCs w:val="20"/>
          <w:lang w:eastAsia="zh-TW"/>
        </w:rPr>
        <w:t>（股份代碼：</w:t>
      </w:r>
      <w:r>
        <w:rPr>
          <w:rFonts w:ascii="宋体" w:hAnsi="宋体" w:eastAsia="PMingLiU"/>
          <w:color w:val="231F20"/>
          <w:kern w:val="0"/>
          <w:sz w:val="20"/>
          <w:szCs w:val="20"/>
          <w:lang w:eastAsia="zh-TW"/>
        </w:rPr>
        <w:t>0719</w:t>
      </w:r>
      <w:r>
        <w:rPr>
          <w:rFonts w:hint="eastAsia" w:ascii="宋体" w:hAnsi="宋体" w:eastAsia="PMingLiU"/>
          <w:color w:val="231F20"/>
          <w:kern w:val="0"/>
          <w:sz w:val="20"/>
          <w:szCs w:val="20"/>
          <w:lang w:eastAsia="zh-TW"/>
        </w:rPr>
        <w:t>）</w:t>
      </w:r>
    </w:p>
    <w:p>
      <w:pPr>
        <w:autoSpaceDE w:val="0"/>
        <w:autoSpaceDN w:val="0"/>
        <w:adjustRightInd w:val="0"/>
        <w:jc w:val="center"/>
        <w:rPr>
          <w:rFonts w:ascii="宋体" w:hAnsi="宋体"/>
          <w:color w:val="231F20"/>
          <w:kern w:val="0"/>
          <w:sz w:val="20"/>
          <w:szCs w:val="20"/>
          <w:lang w:eastAsia="zh-TW"/>
        </w:rPr>
      </w:pPr>
    </w:p>
    <w:p>
      <w:pPr>
        <w:autoSpaceDE w:val="0"/>
        <w:autoSpaceDN w:val="0"/>
        <w:adjustRightInd w:val="0"/>
        <w:jc w:val="center"/>
        <w:rPr>
          <w:rFonts w:ascii="宋体" w:hAnsi="宋体"/>
          <w:b/>
          <w:bCs/>
          <w:color w:val="231F20"/>
          <w:kern w:val="0"/>
          <w:sz w:val="26"/>
          <w:szCs w:val="26"/>
          <w:lang w:eastAsia="zh-TW"/>
        </w:rPr>
      </w:pPr>
      <w:r>
        <w:rPr>
          <w:rFonts w:hint="eastAsia" w:ascii="宋体" w:hAnsi="宋体" w:eastAsia="PMingLiU"/>
          <w:b/>
          <w:bCs/>
          <w:color w:val="231F20"/>
          <w:kern w:val="0"/>
          <w:sz w:val="26"/>
          <w:szCs w:val="26"/>
          <w:lang w:eastAsia="zh-TW"/>
        </w:rPr>
        <w:t>海外監管公告</w:t>
      </w:r>
    </w:p>
    <w:p>
      <w:pPr>
        <w:autoSpaceDE w:val="0"/>
        <w:autoSpaceDN w:val="0"/>
        <w:adjustRightInd w:val="0"/>
        <w:jc w:val="center"/>
        <w:rPr>
          <w:rFonts w:ascii="宋体" w:hAnsi="宋体"/>
          <w:b/>
          <w:bCs/>
          <w:color w:val="231F20"/>
          <w:kern w:val="0"/>
          <w:sz w:val="26"/>
          <w:szCs w:val="26"/>
          <w:lang w:eastAsia="zh-TW"/>
        </w:rPr>
      </w:pPr>
    </w:p>
    <w:tbl>
      <w:tblPr>
        <w:tblStyle w:val="7"/>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trPr>
        <w:tc>
          <w:tcPr>
            <w:tcW w:w="8280" w:type="dxa"/>
          </w:tcPr>
          <w:p>
            <w:pPr>
              <w:autoSpaceDE w:val="0"/>
              <w:autoSpaceDN w:val="0"/>
              <w:adjustRightInd w:val="0"/>
              <w:rPr>
                <w:rFonts w:ascii="宋体" w:hAnsi="宋体"/>
                <w:color w:val="231F20"/>
                <w:kern w:val="0"/>
                <w:szCs w:val="21"/>
              </w:rPr>
            </w:pPr>
          </w:p>
          <w:p>
            <w:pPr>
              <w:autoSpaceDE w:val="0"/>
              <w:autoSpaceDN w:val="0"/>
              <w:adjustRightInd w:val="0"/>
              <w:rPr>
                <w:rFonts w:ascii="宋体" w:hAnsi="宋体"/>
                <w:color w:val="231F20"/>
                <w:kern w:val="0"/>
                <w:szCs w:val="21"/>
                <w:lang w:eastAsia="zh-TW"/>
              </w:rPr>
            </w:pPr>
            <w:r>
              <w:rPr>
                <w:rFonts w:hint="eastAsia" w:ascii="宋体" w:hAnsi="宋体" w:eastAsia="PMingLiU"/>
                <w:color w:val="231F20"/>
                <w:kern w:val="0"/>
                <w:szCs w:val="21"/>
                <w:lang w:eastAsia="zh-TW"/>
              </w:rPr>
              <w:t>本公告乃根據香港聯合交易所有限公司證券上市規則第</w:t>
            </w:r>
            <w:r>
              <w:rPr>
                <w:rFonts w:ascii="宋体" w:hAnsi="宋体" w:eastAsia="PMingLiU"/>
                <w:color w:val="231F20"/>
                <w:kern w:val="0"/>
                <w:szCs w:val="21"/>
                <w:lang w:eastAsia="zh-TW"/>
              </w:rPr>
              <w:t>13.</w:t>
            </w:r>
            <w:r>
              <w:rPr>
                <w:rFonts w:hint="eastAsia" w:ascii="宋体" w:hAnsi="宋体"/>
                <w:color w:val="231F20"/>
                <w:kern w:val="0"/>
                <w:szCs w:val="21"/>
              </w:rPr>
              <w:t>10B</w:t>
            </w:r>
            <w:r>
              <w:rPr>
                <w:rFonts w:hint="eastAsia" w:ascii="宋体" w:hAnsi="宋体" w:eastAsia="PMingLiU"/>
                <w:color w:val="231F20"/>
                <w:kern w:val="0"/>
                <w:szCs w:val="21"/>
                <w:lang w:eastAsia="zh-TW"/>
              </w:rPr>
              <w:t>條作出。</w:t>
            </w:r>
          </w:p>
        </w:tc>
      </w:tr>
    </w:tbl>
    <w:p>
      <w:pPr>
        <w:autoSpaceDE w:val="0"/>
        <w:autoSpaceDN w:val="0"/>
        <w:adjustRightInd w:val="0"/>
        <w:rPr>
          <w:rFonts w:ascii="宋体" w:hAnsi="宋体"/>
          <w:color w:val="231F20"/>
          <w:kern w:val="0"/>
          <w:szCs w:val="21"/>
          <w:lang w:eastAsia="zh-TW"/>
        </w:rPr>
      </w:pPr>
    </w:p>
    <w:p>
      <w:pPr>
        <w:spacing w:line="360" w:lineRule="auto"/>
        <w:rPr>
          <w:rFonts w:ascii="宋体" w:hAnsi="宋体" w:eastAsia="PMingLiU"/>
          <w:color w:val="231F20"/>
          <w:kern w:val="0"/>
          <w:szCs w:val="21"/>
          <w:lang w:eastAsia="zh-TW"/>
        </w:rPr>
      </w:pPr>
      <w:r>
        <w:rPr>
          <w:rFonts w:hint="eastAsia" w:ascii="宋体" w:hAnsi="宋体" w:eastAsia="宋体"/>
          <w:color w:val="231F20"/>
          <w:kern w:val="0"/>
          <w:szCs w:val="21"/>
          <w:lang w:eastAsia="zh-TW"/>
        </w:rPr>
        <w:t>山東新華製藥股份有限公司（「本公司」）於</w:t>
      </w:r>
      <w:r>
        <w:rPr>
          <w:rFonts w:ascii="宋体" w:hAnsi="宋体" w:eastAsia="宋体"/>
          <w:color w:val="231F20"/>
          <w:kern w:val="0"/>
          <w:szCs w:val="21"/>
          <w:lang w:eastAsia="zh-TW"/>
        </w:rPr>
        <w:t>2017</w:t>
      </w:r>
      <w:r>
        <w:rPr>
          <w:rFonts w:hint="eastAsia" w:ascii="宋体" w:hAnsi="宋体" w:eastAsia="宋体"/>
          <w:color w:val="231F20"/>
          <w:kern w:val="0"/>
          <w:szCs w:val="21"/>
          <w:lang w:eastAsia="zh-TW"/>
        </w:rPr>
        <w:t>年</w:t>
      </w:r>
      <w:r>
        <w:rPr>
          <w:rFonts w:ascii="宋体" w:hAnsi="宋体" w:eastAsia="宋体"/>
          <w:color w:val="231F20"/>
          <w:kern w:val="0"/>
          <w:szCs w:val="21"/>
          <w:lang w:eastAsia="zh-TW"/>
        </w:rPr>
        <w:t>11</w:t>
      </w:r>
      <w:r>
        <w:rPr>
          <w:rFonts w:hint="eastAsia" w:ascii="宋体" w:hAnsi="宋体" w:eastAsia="宋体"/>
          <w:color w:val="231F20"/>
          <w:kern w:val="0"/>
          <w:szCs w:val="21"/>
          <w:lang w:eastAsia="zh-TW"/>
        </w:rPr>
        <w:t>月</w:t>
      </w:r>
      <w:r>
        <w:rPr>
          <w:rFonts w:hint="eastAsia" w:ascii="宋体" w:hAnsi="宋体" w:eastAsia="宋体"/>
          <w:color w:val="231F20"/>
          <w:kern w:val="0"/>
          <w:szCs w:val="21"/>
          <w:lang w:val="en-US" w:eastAsia="zh-CN"/>
        </w:rPr>
        <w:t>29</w:t>
      </w:r>
      <w:r>
        <w:rPr>
          <w:rFonts w:hint="eastAsia" w:ascii="宋体" w:hAnsi="宋体" w:eastAsia="宋体"/>
          <w:color w:val="231F20"/>
          <w:kern w:val="0"/>
          <w:szCs w:val="21"/>
          <w:lang w:eastAsia="zh-TW"/>
        </w:rPr>
        <w:t>日在巨潮資訊網（</w:t>
      </w:r>
      <w:r>
        <w:fldChar w:fldCharType="begin"/>
      </w:r>
      <w:r>
        <w:instrText xml:space="preserve"> HYPERLINK "http://www.cninfo.com.cn" </w:instrText>
      </w:r>
      <w:r>
        <w:fldChar w:fldCharType="separate"/>
      </w:r>
      <w:r>
        <w:rPr>
          <w:rStyle w:val="6"/>
          <w:rFonts w:ascii="宋体" w:hAnsi="宋体" w:eastAsia="宋体"/>
          <w:kern w:val="0"/>
          <w:szCs w:val="21"/>
          <w:lang w:eastAsia="zh-TW"/>
        </w:rPr>
        <w:t>http://www.cninfo.com.cn</w:t>
      </w:r>
      <w:r>
        <w:rPr>
          <w:rStyle w:val="6"/>
          <w:rFonts w:ascii="宋体" w:hAnsi="宋体" w:eastAsia="PMingLiU"/>
          <w:kern w:val="0"/>
          <w:szCs w:val="21"/>
          <w:lang w:eastAsia="zh-TW"/>
        </w:rPr>
        <w:fldChar w:fldCharType="end"/>
      </w:r>
      <w:r>
        <w:rPr>
          <w:rFonts w:hint="eastAsia" w:ascii="宋体" w:hAnsi="宋体" w:eastAsia="宋体"/>
          <w:color w:val="231F20"/>
          <w:kern w:val="0"/>
          <w:szCs w:val="21"/>
          <w:lang w:eastAsia="zh-TW"/>
        </w:rPr>
        <w:t>）刊登本公司《中泰證券股份有限公司關於</w:t>
      </w:r>
      <w:r>
        <w:rPr>
          <w:rFonts w:hint="eastAsia" w:ascii="宋体" w:hAnsi="宋体" w:eastAsia="宋体"/>
          <w:color w:val="231F20"/>
          <w:kern w:val="0"/>
          <w:szCs w:val="21"/>
          <w:lang w:eastAsia="zh-TW"/>
        </w:rPr>
        <w:t>山東新華製藥股份有限</w:t>
      </w:r>
      <w:r>
        <w:rPr>
          <w:rFonts w:hint="eastAsia" w:ascii="宋体" w:hAnsi="宋体" w:eastAsia="宋体"/>
          <w:color w:val="231F20"/>
          <w:kern w:val="0"/>
          <w:szCs w:val="21"/>
          <w:lang w:eastAsia="zh-TW"/>
        </w:rPr>
        <w:t>公司2017年度持續督導培訓報告》，</w:t>
      </w:r>
      <w:r>
        <w:rPr>
          <w:rFonts w:hint="eastAsia" w:ascii="宋体" w:hAnsi="宋体" w:eastAsia="宋体"/>
          <w:color w:val="231F20"/>
          <w:kern w:val="0"/>
          <w:szCs w:val="21"/>
          <w:lang w:eastAsia="zh-TW"/>
        </w:rPr>
        <w:t>茲載列有關文檔之中文版，以供參閱。</w:t>
      </w:r>
    </w:p>
    <w:p>
      <w:pPr>
        <w:autoSpaceDE w:val="0"/>
        <w:autoSpaceDN w:val="0"/>
        <w:adjustRightInd w:val="0"/>
        <w:rPr>
          <w:rFonts w:ascii="宋体" w:hAnsi="宋体"/>
          <w:color w:val="231F20"/>
          <w:kern w:val="0"/>
          <w:szCs w:val="21"/>
        </w:rPr>
      </w:pPr>
    </w:p>
    <w:p>
      <w:pPr>
        <w:autoSpaceDE w:val="0"/>
        <w:autoSpaceDN w:val="0"/>
        <w:adjustRightInd w:val="0"/>
        <w:rPr>
          <w:rFonts w:ascii="宋体" w:hAnsi="宋体"/>
          <w:color w:val="231F20"/>
          <w:kern w:val="0"/>
          <w:szCs w:val="21"/>
        </w:rPr>
      </w:pPr>
    </w:p>
    <w:p>
      <w:pPr>
        <w:autoSpaceDE w:val="0"/>
        <w:autoSpaceDN w:val="0"/>
        <w:adjustRightInd w:val="0"/>
        <w:ind w:right="420"/>
        <w:jc w:val="center"/>
        <w:rPr>
          <w:rFonts w:ascii="宋体" w:hAnsi="宋体"/>
          <w:color w:val="231F20"/>
          <w:kern w:val="0"/>
          <w:szCs w:val="21"/>
          <w:lang w:eastAsia="zh-TW"/>
        </w:rPr>
      </w:pPr>
      <w:r>
        <w:rPr>
          <w:rFonts w:ascii="宋体" w:hAnsi="宋体" w:eastAsia="PMingLiU"/>
          <w:color w:val="231F20"/>
          <w:kern w:val="0"/>
          <w:szCs w:val="21"/>
          <w:lang w:eastAsia="zh-TW"/>
        </w:rPr>
        <w:t xml:space="preserve">                                                       </w:t>
      </w:r>
      <w:r>
        <w:rPr>
          <w:rFonts w:hint="eastAsia" w:ascii="宋体" w:hAnsi="宋体" w:eastAsia="PMingLiU"/>
          <w:color w:val="231F20"/>
          <w:kern w:val="0"/>
          <w:szCs w:val="21"/>
          <w:lang w:eastAsia="zh-TW"/>
        </w:rPr>
        <w:t>承董事會命</w:t>
      </w:r>
    </w:p>
    <w:p>
      <w:pPr>
        <w:autoSpaceDE w:val="0"/>
        <w:autoSpaceDN w:val="0"/>
        <w:adjustRightInd w:val="0"/>
        <w:ind w:right="315"/>
        <w:jc w:val="right"/>
        <w:rPr>
          <w:rFonts w:ascii="宋体" w:hAnsi="宋体"/>
          <w:color w:val="231F20"/>
          <w:kern w:val="0"/>
          <w:szCs w:val="21"/>
          <w:lang w:eastAsia="zh-TW"/>
        </w:rPr>
      </w:pPr>
      <w:r>
        <w:rPr>
          <w:rFonts w:hint="eastAsia" w:ascii="宋体" w:hAnsi="宋体" w:eastAsia="PMingLiU"/>
          <w:color w:val="231F20"/>
          <w:kern w:val="0"/>
          <w:szCs w:val="21"/>
          <w:lang w:eastAsia="zh-TW"/>
        </w:rPr>
        <w:t>山東新華製藥股份有限公司</w:t>
      </w:r>
    </w:p>
    <w:p>
      <w:pPr>
        <w:autoSpaceDE w:val="0"/>
        <w:autoSpaceDN w:val="0"/>
        <w:adjustRightInd w:val="0"/>
        <w:ind w:right="420" w:firstLine="6405" w:firstLineChars="3050"/>
        <w:rPr>
          <w:rFonts w:ascii="宋体" w:hAnsi="宋体"/>
          <w:color w:val="231F20"/>
          <w:kern w:val="0"/>
          <w:szCs w:val="21"/>
        </w:rPr>
      </w:pPr>
      <w:r>
        <w:rPr>
          <w:rFonts w:hint="eastAsia" w:ascii="宋体" w:hAnsi="宋体" w:eastAsia="PMingLiU"/>
          <w:color w:val="231F20"/>
          <w:kern w:val="0"/>
          <w:szCs w:val="21"/>
          <w:lang w:eastAsia="zh-TW"/>
        </w:rPr>
        <w:t>張代銘</w:t>
      </w:r>
    </w:p>
    <w:p>
      <w:pPr>
        <w:autoSpaceDE w:val="0"/>
        <w:autoSpaceDN w:val="0"/>
        <w:adjustRightInd w:val="0"/>
        <w:ind w:right="420" w:firstLine="6405" w:firstLineChars="3050"/>
        <w:rPr>
          <w:rFonts w:ascii="宋体" w:hAnsi="宋体"/>
          <w:color w:val="231F20"/>
          <w:kern w:val="0"/>
          <w:szCs w:val="21"/>
          <w:lang w:eastAsia="zh-TW"/>
        </w:rPr>
      </w:pPr>
      <w:r>
        <w:rPr>
          <w:rFonts w:hint="eastAsia" w:ascii="宋体" w:hAnsi="宋体" w:eastAsia="PMingLiU"/>
          <w:color w:val="231F20"/>
          <w:kern w:val="0"/>
          <w:szCs w:val="21"/>
          <w:lang w:eastAsia="zh-TW"/>
        </w:rPr>
        <w:t>董事長</w:t>
      </w:r>
    </w:p>
    <w:p>
      <w:pPr>
        <w:autoSpaceDE w:val="0"/>
        <w:autoSpaceDN w:val="0"/>
        <w:adjustRightInd w:val="0"/>
        <w:rPr>
          <w:rFonts w:ascii="宋体" w:hAnsi="宋体"/>
          <w:color w:val="231F20"/>
          <w:kern w:val="0"/>
          <w:szCs w:val="21"/>
          <w:lang w:eastAsia="zh-TW"/>
        </w:rPr>
      </w:pPr>
    </w:p>
    <w:p>
      <w:pPr>
        <w:autoSpaceDE w:val="0"/>
        <w:autoSpaceDN w:val="0"/>
        <w:adjustRightInd w:val="0"/>
        <w:rPr>
          <w:rFonts w:ascii="宋体" w:hAnsi="宋体"/>
          <w:color w:val="231F20"/>
          <w:kern w:val="0"/>
          <w:szCs w:val="21"/>
          <w:lang w:eastAsia="zh-TW"/>
        </w:rPr>
      </w:pPr>
      <w:r>
        <w:rPr>
          <w:rFonts w:hint="eastAsia" w:ascii="宋体" w:hAnsi="宋体" w:eastAsia="PMingLiU"/>
          <w:color w:val="231F20"/>
          <w:kern w:val="0"/>
          <w:szCs w:val="21"/>
          <w:lang w:eastAsia="zh-TW"/>
        </w:rPr>
        <w:t>中國</w:t>
      </w:r>
      <w:r>
        <w:rPr>
          <w:rFonts w:ascii="宋体" w:hAnsi="宋体" w:eastAsia="PMingLiU"/>
          <w:color w:val="231F20"/>
          <w:kern w:val="0"/>
          <w:szCs w:val="21"/>
          <w:lang w:eastAsia="zh-TW"/>
        </w:rPr>
        <w:t xml:space="preserve"> </w:t>
      </w:r>
      <w:r>
        <w:rPr>
          <w:rFonts w:hint="eastAsia" w:ascii="宋体" w:hAnsi="宋体" w:eastAsia="PMingLiU"/>
          <w:color w:val="231F20"/>
          <w:kern w:val="0"/>
          <w:szCs w:val="21"/>
          <w:lang w:eastAsia="zh-TW"/>
        </w:rPr>
        <w:t>淄博</w:t>
      </w:r>
      <w:r>
        <w:rPr>
          <w:rFonts w:ascii="宋体" w:hAnsi="宋体" w:eastAsia="PMingLiU"/>
          <w:color w:val="231F20"/>
          <w:kern w:val="0"/>
          <w:szCs w:val="21"/>
          <w:lang w:eastAsia="zh-TW"/>
        </w:rPr>
        <w:t xml:space="preserve"> </w:t>
      </w:r>
      <w:r>
        <w:rPr>
          <w:rFonts w:hint="eastAsia" w:ascii="宋体" w:hAnsi="宋体" w:eastAsia="PMingLiU"/>
          <w:color w:val="231F20"/>
          <w:kern w:val="0"/>
          <w:szCs w:val="21"/>
          <w:lang w:eastAsia="zh-TW"/>
        </w:rPr>
        <w:t>二零一七</w:t>
      </w:r>
      <w:r>
        <w:rPr>
          <w:rFonts w:hint="eastAsia" w:ascii="宋体" w:hAnsi="宋体" w:eastAsia="宋体"/>
          <w:color w:val="231F20"/>
          <w:kern w:val="0"/>
          <w:szCs w:val="21"/>
          <w:lang w:eastAsia="zh-TW"/>
        </w:rPr>
        <w:t>年十一月</w:t>
      </w:r>
      <w:r>
        <w:rPr>
          <w:rFonts w:hint="eastAsia" w:ascii="宋体" w:hAnsi="宋体" w:eastAsia="宋体"/>
          <w:color w:val="231F20"/>
          <w:kern w:val="0"/>
          <w:szCs w:val="21"/>
          <w:lang w:eastAsia="zh-CN"/>
        </w:rPr>
        <w:t>二十八</w:t>
      </w:r>
      <w:r>
        <w:rPr>
          <w:rFonts w:hint="eastAsia" w:ascii="宋体" w:hAnsi="宋体" w:eastAsia="宋体"/>
          <w:color w:val="231F20"/>
          <w:kern w:val="0"/>
          <w:szCs w:val="21"/>
          <w:lang w:eastAsia="zh-TW"/>
        </w:rPr>
        <w:t>日</w:t>
      </w:r>
    </w:p>
    <w:p>
      <w:pPr>
        <w:autoSpaceDE w:val="0"/>
        <w:autoSpaceDN w:val="0"/>
        <w:adjustRightInd w:val="0"/>
        <w:rPr>
          <w:rFonts w:ascii="宋体" w:hAnsi="宋体"/>
          <w:color w:val="231F20"/>
          <w:kern w:val="0"/>
          <w:szCs w:val="21"/>
          <w:lang w:eastAsia="zh-TW"/>
        </w:rPr>
      </w:pPr>
    </w:p>
    <w:p>
      <w:pPr>
        <w:kinsoku w:val="0"/>
        <w:snapToGrid w:val="0"/>
        <w:rPr>
          <w:lang w:eastAsia="zh-TW"/>
        </w:rPr>
      </w:pPr>
      <w:r>
        <w:pict>
          <v:shape id="_x0000_s1026" o:spid="_x0000_s1026" o:spt="202" type="#_x0000_t202" style="position:absolute;left:0pt;margin-left:468pt;margin-top:9pt;height:36pt;width:72pt;z-index:251658240;mso-width-relative:page;mso-height-relative:page;" filled="f" stroked="f" coordsize="21600,21600">
            <v:path/>
            <v:fill on="f" focussize="0,0"/>
            <v:stroke on="f" joinstyle="miter"/>
            <v:imagedata o:title=""/>
            <o:lock v:ext="edit"/>
            <v:textbox>
              <w:txbxContent>
                <w:p>
                  <w:pPr>
                    <w:rPr>
                      <w:sz w:val="16"/>
                      <w:szCs w:val="16"/>
                    </w:rPr>
                  </w:pPr>
                </w:p>
              </w:txbxContent>
            </v:textbox>
          </v:shape>
        </w:pict>
      </w:r>
      <w:r>
        <w:rPr>
          <w:rFonts w:hint="eastAsia" w:eastAsia="PMingLiU"/>
          <w:lang w:eastAsia="zh-TW"/>
        </w:rPr>
        <w:t>於本公告日期，本公司董事會之成員如下：</w:t>
      </w:r>
    </w:p>
    <w:p>
      <w:pPr>
        <w:kinsoku w:val="0"/>
        <w:snapToGrid w:val="0"/>
        <w:rPr>
          <w:lang w:eastAsia="zh-TW"/>
        </w:rPr>
      </w:pPr>
    </w:p>
    <w:p>
      <w:pPr>
        <w:kinsoku w:val="0"/>
        <w:snapToGrid w:val="0"/>
        <w:rPr>
          <w:lang w:eastAsia="zh-TW"/>
        </w:rPr>
      </w:pPr>
    </w:p>
    <w:tbl>
      <w:tblPr>
        <w:tblStyle w:val="7"/>
        <w:tblW w:w="8522" w:type="dxa"/>
        <w:tblInd w:w="0" w:type="dxa"/>
        <w:tblLayout w:type="fixed"/>
        <w:tblCellMar>
          <w:top w:w="0" w:type="dxa"/>
          <w:left w:w="108" w:type="dxa"/>
          <w:bottom w:w="0" w:type="dxa"/>
          <w:right w:w="108" w:type="dxa"/>
        </w:tblCellMar>
      </w:tblPr>
      <w:tblGrid>
        <w:gridCol w:w="2840"/>
        <w:gridCol w:w="2841"/>
        <w:gridCol w:w="2841"/>
      </w:tblGrid>
      <w:tr>
        <w:tblPrEx>
          <w:tblLayout w:type="fixed"/>
          <w:tblCellMar>
            <w:top w:w="0" w:type="dxa"/>
            <w:left w:w="108" w:type="dxa"/>
            <w:bottom w:w="0" w:type="dxa"/>
            <w:right w:w="108" w:type="dxa"/>
          </w:tblCellMar>
        </w:tblPrEx>
        <w:tc>
          <w:tcPr>
            <w:tcW w:w="2840" w:type="dxa"/>
          </w:tcPr>
          <w:p>
            <w:pPr>
              <w:kinsoku w:val="0"/>
              <w:snapToGrid w:val="0"/>
            </w:pPr>
            <w:r>
              <w:rPr>
                <w:rFonts w:hint="eastAsia" w:eastAsia="PMingLiU"/>
                <w:lang w:eastAsia="zh-TW"/>
              </w:rPr>
              <w:t>執行董事</w:t>
            </w:r>
          </w:p>
        </w:tc>
        <w:tc>
          <w:tcPr>
            <w:tcW w:w="2841" w:type="dxa"/>
          </w:tcPr>
          <w:p>
            <w:pPr>
              <w:kinsoku w:val="0"/>
              <w:snapToGrid w:val="0"/>
            </w:pPr>
            <w:r>
              <w:rPr>
                <w:rFonts w:hint="eastAsia" w:eastAsia="PMingLiU"/>
                <w:lang w:eastAsia="zh-TW"/>
              </w:rPr>
              <w:t>非執行董事</w:t>
            </w:r>
          </w:p>
        </w:tc>
        <w:tc>
          <w:tcPr>
            <w:tcW w:w="2841" w:type="dxa"/>
          </w:tcPr>
          <w:p>
            <w:pPr>
              <w:kinsoku w:val="0"/>
              <w:snapToGrid w:val="0"/>
            </w:pPr>
            <w:r>
              <w:rPr>
                <w:rFonts w:hint="eastAsia" w:eastAsia="PMingLiU"/>
                <w:lang w:eastAsia="zh-TW"/>
              </w:rPr>
              <w:t>獨立非執行董事</w:t>
            </w:r>
          </w:p>
        </w:tc>
      </w:tr>
      <w:tr>
        <w:tblPrEx>
          <w:tblLayout w:type="fixed"/>
          <w:tblCellMar>
            <w:top w:w="0" w:type="dxa"/>
            <w:left w:w="108" w:type="dxa"/>
            <w:bottom w:w="0" w:type="dxa"/>
            <w:right w:w="108" w:type="dxa"/>
          </w:tblCellMar>
        </w:tblPrEx>
        <w:tc>
          <w:tcPr>
            <w:tcW w:w="2840" w:type="dxa"/>
          </w:tcPr>
          <w:p>
            <w:pPr>
              <w:kinsoku w:val="0"/>
              <w:snapToGrid w:val="0"/>
            </w:pPr>
            <w:r>
              <w:rPr>
                <w:rFonts w:hint="eastAsia" w:eastAsia="PMingLiU"/>
                <w:lang w:eastAsia="zh-TW"/>
              </w:rPr>
              <w:t>張代銘先生（董事長）</w:t>
            </w:r>
          </w:p>
        </w:tc>
        <w:tc>
          <w:tcPr>
            <w:tcW w:w="2841" w:type="dxa"/>
          </w:tcPr>
          <w:p>
            <w:pPr>
              <w:kinsoku w:val="0"/>
              <w:snapToGrid w:val="0"/>
            </w:pPr>
            <w:r>
              <w:rPr>
                <w:rFonts w:hint="eastAsia" w:eastAsia="PMingLiU"/>
                <w:lang w:eastAsia="zh-TW"/>
              </w:rPr>
              <w:t>任福龍先生</w:t>
            </w:r>
          </w:p>
        </w:tc>
        <w:tc>
          <w:tcPr>
            <w:tcW w:w="2841" w:type="dxa"/>
          </w:tcPr>
          <w:p>
            <w:pPr>
              <w:kinsoku w:val="0"/>
              <w:snapToGrid w:val="0"/>
            </w:pPr>
            <w:r>
              <w:rPr>
                <w:rFonts w:hint="eastAsia" w:eastAsia="PMingLiU"/>
                <w:lang w:eastAsia="zh-TW"/>
              </w:rPr>
              <w:t>杜冠華先生</w:t>
            </w:r>
          </w:p>
        </w:tc>
      </w:tr>
      <w:tr>
        <w:tblPrEx>
          <w:tblLayout w:type="fixed"/>
          <w:tblCellMar>
            <w:top w:w="0" w:type="dxa"/>
            <w:left w:w="108" w:type="dxa"/>
            <w:bottom w:w="0" w:type="dxa"/>
            <w:right w:w="108" w:type="dxa"/>
          </w:tblCellMar>
        </w:tblPrEx>
        <w:tc>
          <w:tcPr>
            <w:tcW w:w="2840" w:type="dxa"/>
          </w:tcPr>
          <w:p>
            <w:pPr>
              <w:kinsoku w:val="0"/>
              <w:snapToGrid w:val="0"/>
            </w:pPr>
            <w:r>
              <w:rPr>
                <w:rFonts w:hint="eastAsia" w:eastAsia="PMingLiU"/>
                <w:lang w:eastAsia="zh-TW"/>
              </w:rPr>
              <w:t>杜德平先生</w:t>
            </w:r>
          </w:p>
        </w:tc>
        <w:tc>
          <w:tcPr>
            <w:tcW w:w="2841" w:type="dxa"/>
          </w:tcPr>
          <w:p>
            <w:pPr>
              <w:kinsoku w:val="0"/>
              <w:snapToGrid w:val="0"/>
            </w:pPr>
            <w:r>
              <w:rPr>
                <w:rFonts w:hint="eastAsia" w:eastAsia="PMingLiU"/>
                <w:lang w:eastAsia="zh-TW"/>
              </w:rPr>
              <w:t>徐</w:t>
            </w:r>
            <w:r>
              <w:rPr>
                <w:rFonts w:eastAsia="PMingLiU"/>
                <w:lang w:eastAsia="zh-TW"/>
              </w:rPr>
              <w:t xml:space="preserve">  </w:t>
            </w:r>
            <w:r>
              <w:rPr>
                <w:rFonts w:hint="eastAsia" w:eastAsia="PMingLiU"/>
                <w:lang w:eastAsia="zh-TW"/>
              </w:rPr>
              <w:t>列先生</w:t>
            </w:r>
          </w:p>
        </w:tc>
        <w:tc>
          <w:tcPr>
            <w:tcW w:w="2841" w:type="dxa"/>
          </w:tcPr>
          <w:p>
            <w:pPr>
              <w:kinsoku w:val="0"/>
              <w:snapToGrid w:val="0"/>
            </w:pPr>
            <w:r>
              <w:rPr>
                <w:rFonts w:hint="eastAsia" w:eastAsia="PMingLiU"/>
                <w:lang w:eastAsia="zh-TW"/>
              </w:rPr>
              <w:t>李文明先生</w:t>
            </w:r>
          </w:p>
        </w:tc>
      </w:tr>
      <w:tr>
        <w:tblPrEx>
          <w:tblLayout w:type="fixed"/>
          <w:tblCellMar>
            <w:top w:w="0" w:type="dxa"/>
            <w:left w:w="108" w:type="dxa"/>
            <w:bottom w:w="0" w:type="dxa"/>
            <w:right w:w="108" w:type="dxa"/>
          </w:tblCellMar>
        </w:tblPrEx>
        <w:tc>
          <w:tcPr>
            <w:tcW w:w="2840" w:type="dxa"/>
          </w:tcPr>
          <w:p>
            <w:pPr>
              <w:kinsoku w:val="0"/>
              <w:snapToGrid w:val="0"/>
            </w:pPr>
          </w:p>
        </w:tc>
        <w:tc>
          <w:tcPr>
            <w:tcW w:w="2841" w:type="dxa"/>
          </w:tcPr>
          <w:p>
            <w:pPr>
              <w:kinsoku w:val="0"/>
              <w:snapToGrid w:val="0"/>
            </w:pPr>
            <w:r>
              <w:rPr>
                <w:rFonts w:hint="eastAsia" w:eastAsia="PMingLiU"/>
                <w:lang w:eastAsia="zh-TW"/>
              </w:rPr>
              <w:t>趙</w:t>
            </w:r>
            <w:r>
              <w:rPr>
                <w:rFonts w:eastAsia="PMingLiU"/>
                <w:lang w:eastAsia="zh-TW"/>
              </w:rPr>
              <w:t xml:space="preserve">  </w:t>
            </w:r>
            <w:r>
              <w:rPr>
                <w:rFonts w:hint="eastAsia" w:eastAsia="PMingLiU"/>
                <w:lang w:eastAsia="zh-TW"/>
              </w:rPr>
              <w:t>斌先生</w:t>
            </w:r>
          </w:p>
        </w:tc>
        <w:tc>
          <w:tcPr>
            <w:tcW w:w="2841" w:type="dxa"/>
          </w:tcPr>
          <w:p>
            <w:pPr>
              <w:kinsoku w:val="0"/>
              <w:snapToGrid w:val="0"/>
            </w:pPr>
            <w:r>
              <w:rPr>
                <w:rFonts w:hint="eastAsia" w:eastAsia="PMingLiU"/>
                <w:lang w:eastAsia="zh-TW"/>
              </w:rPr>
              <w:t>陳仲戟先生</w:t>
            </w:r>
          </w:p>
        </w:tc>
      </w:tr>
      <w:tr>
        <w:tblPrEx>
          <w:tblLayout w:type="fixed"/>
          <w:tblCellMar>
            <w:top w:w="0" w:type="dxa"/>
            <w:left w:w="108" w:type="dxa"/>
            <w:bottom w:w="0" w:type="dxa"/>
            <w:right w:w="108" w:type="dxa"/>
          </w:tblCellMar>
        </w:tblPrEx>
        <w:tc>
          <w:tcPr>
            <w:tcW w:w="2840" w:type="dxa"/>
          </w:tcPr>
          <w:p>
            <w:pPr>
              <w:kinsoku w:val="0"/>
              <w:snapToGrid w:val="0"/>
            </w:pPr>
          </w:p>
        </w:tc>
        <w:tc>
          <w:tcPr>
            <w:tcW w:w="2841" w:type="dxa"/>
          </w:tcPr>
          <w:p>
            <w:pPr>
              <w:kinsoku w:val="0"/>
              <w:snapToGrid w:val="0"/>
            </w:pPr>
          </w:p>
        </w:tc>
        <w:tc>
          <w:tcPr>
            <w:tcW w:w="2841" w:type="dxa"/>
          </w:tcPr>
          <w:p>
            <w:pPr>
              <w:kinsoku w:val="0"/>
              <w:snapToGrid w:val="0"/>
            </w:pPr>
          </w:p>
        </w:tc>
      </w:tr>
    </w:tbl>
    <w:p>
      <w:pPr>
        <w:widowControl/>
        <w:jc w:val="left"/>
        <w:rPr>
          <w:rFonts w:ascii="Times New Roman" w:hAnsi="Times New Roman" w:cs="Times New Roman"/>
          <w:b/>
          <w:sz w:val="30"/>
          <w:szCs w:val="30"/>
        </w:rPr>
      </w:pPr>
      <w:r>
        <w:rPr>
          <w:rFonts w:ascii="Times New Roman" w:hAnsi="Times New Roman" w:cs="Times New Roman"/>
          <w:b/>
          <w:sz w:val="30"/>
          <w:szCs w:val="30"/>
        </w:rPr>
        <w:br w:type="page"/>
      </w:r>
    </w:p>
    <w:p>
      <w:pPr>
        <w:ind w:firstLine="0" w:firstLineChars="0"/>
        <w:jc w:val="center"/>
        <w:rPr>
          <w:rFonts w:hint="eastAsia"/>
          <w:b/>
          <w:sz w:val="32"/>
          <w:szCs w:val="32"/>
        </w:rPr>
      </w:pPr>
      <w:r>
        <w:rPr>
          <w:rFonts w:hint="eastAsia"/>
          <w:b/>
          <w:sz w:val="32"/>
          <w:szCs w:val="32"/>
        </w:rPr>
        <w:t>中泰证券股份有限公司关于对</w:t>
      </w:r>
    </w:p>
    <w:p>
      <w:pPr>
        <w:ind w:firstLine="0" w:firstLineChars="0"/>
        <w:jc w:val="center"/>
        <w:rPr>
          <w:rFonts w:hint="eastAsia"/>
          <w:b/>
          <w:sz w:val="32"/>
          <w:szCs w:val="32"/>
        </w:rPr>
      </w:pPr>
      <w:r>
        <w:rPr>
          <w:rFonts w:hint="eastAsia"/>
          <w:b/>
          <w:sz w:val="32"/>
          <w:szCs w:val="32"/>
        </w:rPr>
        <w:t>山东新华制药股份有限公司</w:t>
      </w:r>
    </w:p>
    <w:p>
      <w:pPr>
        <w:ind w:firstLine="0" w:firstLineChars="0"/>
        <w:jc w:val="center"/>
        <w:rPr>
          <w:b/>
          <w:sz w:val="32"/>
          <w:szCs w:val="32"/>
        </w:rPr>
      </w:pPr>
      <w:r>
        <w:rPr>
          <w:rFonts w:hint="eastAsia"/>
          <w:b/>
          <w:sz w:val="32"/>
          <w:szCs w:val="32"/>
        </w:rPr>
        <w:t>2017年度持续督导培训报告</w:t>
      </w:r>
    </w:p>
    <w:p>
      <w:pPr>
        <w:ind w:firstLine="480"/>
        <w:rPr>
          <w:rFonts w:hint="eastAsia"/>
        </w:rPr>
      </w:pPr>
    </w:p>
    <w:p>
      <w:pPr>
        <w:ind w:firstLine="0" w:firstLineChars="0"/>
        <w:rPr>
          <w:rFonts w:ascii="黑体" w:hAnsi="黑体" w:eastAsia="黑体"/>
          <w:b/>
        </w:rPr>
      </w:pPr>
      <w:r>
        <w:rPr>
          <w:rFonts w:hint="eastAsia" w:ascii="黑体" w:hAnsi="黑体" w:eastAsia="黑体"/>
          <w:b/>
        </w:rPr>
        <w:t>深圳证券交易所：</w:t>
      </w:r>
    </w:p>
    <w:p>
      <w:pPr>
        <w:ind w:firstLine="480"/>
      </w:pPr>
      <w:r>
        <w:rPr>
          <w:rFonts w:hint="eastAsia"/>
        </w:rPr>
        <w:t>2017年10月13日，山东新华制药股份有限公司（以下简称“新华制药”或“公司”）非公开发行股票在深圳证券交易所上市。中泰证券股份有限公司（以下简称“保荐机构”或“中泰证券”）作为其保荐机构，指定战肖华、王庆刚担任保荐代表人，持续督导的期间为2017年10月13日至2018年12月31日。</w:t>
      </w:r>
    </w:p>
    <w:p>
      <w:pPr>
        <w:ind w:firstLine="480"/>
        <w:rPr>
          <w:rFonts w:hint="eastAsia"/>
        </w:rPr>
      </w:pPr>
      <w:r>
        <w:rPr>
          <w:rFonts w:hint="eastAsia"/>
        </w:rPr>
        <w:t>根据《深圳证券交易所主板上市公司规范运作指引》、《深圳证券交易所股票上市规则》、《证券发行上市保荐业务管理办法》等有关规定，中泰证券保荐代表人战肖华及持续督导项目组人员于2017年11月17日对新华制药董事、监事、高级管理人员等相关人员进行了一次现场培训，现场培训后，中泰证券提请新华制药将讲义课件及相关学习资料转发至现场培训对象及其他因故未参加培训的董事、监事和高级管理人员等相关人员，以供自学，在学习过程中如有问题可随时咨询中泰证券培训人员。</w:t>
      </w:r>
    </w:p>
    <w:p>
      <w:pPr>
        <w:ind w:firstLine="480"/>
      </w:pPr>
      <w:r>
        <w:rPr>
          <w:rFonts w:hint="eastAsia"/>
        </w:rPr>
        <w:t>现将相关情况报告如下：</w:t>
      </w:r>
    </w:p>
    <w:p>
      <w:pPr>
        <w:spacing w:before="156" w:beforeLines="50" w:after="156" w:afterLines="50"/>
        <w:ind w:firstLine="482"/>
        <w:rPr>
          <w:rFonts w:hint="eastAsia"/>
          <w:b/>
        </w:rPr>
      </w:pPr>
      <w:r>
        <w:rPr>
          <w:rFonts w:hint="eastAsia"/>
          <w:b/>
        </w:rPr>
        <w:t>一、培训基本情况</w:t>
      </w:r>
    </w:p>
    <w:p>
      <w:pPr>
        <w:ind w:firstLine="480"/>
        <w:rPr>
          <w:rFonts w:hint="eastAsia"/>
        </w:rPr>
      </w:pPr>
      <w:r>
        <w:rPr>
          <w:rFonts w:hint="eastAsia"/>
        </w:rPr>
        <w:t>1、培训时间：2017年11月17日，上午9</w:t>
      </w:r>
      <w:r>
        <w:t>:</w:t>
      </w:r>
      <w:r>
        <w:rPr>
          <w:rFonts w:hint="eastAsia"/>
        </w:rPr>
        <w:t>0</w:t>
      </w:r>
      <w:r>
        <w:t>0</w:t>
      </w:r>
      <w:r>
        <w:rPr>
          <w:rFonts w:hint="eastAsia"/>
        </w:rPr>
        <w:t>-11:00</w:t>
      </w:r>
    </w:p>
    <w:p>
      <w:pPr>
        <w:ind w:firstLine="480"/>
        <w:rPr>
          <w:rFonts w:hint="eastAsia"/>
        </w:rPr>
      </w:pPr>
      <w:r>
        <w:rPr>
          <w:rFonts w:hint="eastAsia"/>
        </w:rPr>
        <w:t>2、培训地点：山东新华制药股份有限公司会议室</w:t>
      </w:r>
    </w:p>
    <w:p>
      <w:pPr>
        <w:ind w:firstLine="480"/>
        <w:rPr>
          <w:rFonts w:hint="eastAsia"/>
        </w:rPr>
      </w:pPr>
      <w:r>
        <w:rPr>
          <w:rFonts w:hint="eastAsia"/>
        </w:rPr>
        <w:t>3、参加培训人员：董事、监事、高级管理人员、中层及以上管理人员等相关人员</w:t>
      </w:r>
    </w:p>
    <w:p>
      <w:pPr>
        <w:ind w:firstLine="480"/>
      </w:pPr>
      <w:r>
        <w:rPr>
          <w:rFonts w:hint="eastAsia"/>
        </w:rPr>
        <w:t>4、培训主题：上市公司规范治理与信息披露</w:t>
      </w:r>
    </w:p>
    <w:p>
      <w:pPr>
        <w:spacing w:before="156" w:beforeLines="50" w:after="156" w:afterLines="50"/>
        <w:ind w:firstLine="482"/>
        <w:rPr>
          <w:b/>
        </w:rPr>
      </w:pPr>
      <w:r>
        <w:rPr>
          <w:rFonts w:hint="eastAsia"/>
          <w:b/>
        </w:rPr>
        <w:t>二、培训主要内容</w:t>
      </w:r>
    </w:p>
    <w:p>
      <w:pPr>
        <w:ind w:firstLine="480"/>
        <w:rPr>
          <w:rFonts w:hint="eastAsia"/>
        </w:rPr>
      </w:pPr>
      <w:r>
        <w:t>本次培训介绍了上市公司治理和信息披露的总体要求，股东大会、董事会、监事会运行的基本要求；</w:t>
      </w:r>
      <w:r>
        <w:rPr>
          <w:rFonts w:hint="eastAsia"/>
        </w:rPr>
        <w:t>董事、监事和高级人员的任职资格、行为规范；股东、控股股东和实际控制人行为规范；信息披露的制度及规范；交易与关联交易的内容与规范；募集资金的专户存储、使用、管理；股份变动规则及其他重大事项的披露；持续督导期间的信息披露规范；证券市场处罚案例等内容。</w:t>
      </w:r>
    </w:p>
    <w:p>
      <w:pPr>
        <w:spacing w:before="156" w:beforeLines="50" w:after="156" w:afterLines="50"/>
        <w:ind w:firstLine="482"/>
        <w:rPr>
          <w:rFonts w:hint="eastAsia"/>
          <w:b/>
        </w:rPr>
      </w:pPr>
      <w:r>
        <w:rPr>
          <w:rFonts w:hint="eastAsia"/>
          <w:b/>
        </w:rPr>
        <w:t>三、本次培训的效果</w:t>
      </w:r>
    </w:p>
    <w:p>
      <w:pPr>
        <w:ind w:firstLine="480"/>
        <w:rPr>
          <w:rFonts w:hint="eastAsia"/>
        </w:rPr>
      </w:pPr>
      <w:r>
        <w:rPr>
          <w:rFonts w:hint="eastAsia"/>
        </w:rPr>
        <w:t>现场培训期间，接受培训人员认真配合保荐机构的培训工作，并积极进行交流沟通，保证了本次培训的顺利开展。通过本次培训，参会人员对深圳证券交易所主板上市公司治理、信息披露及相关人员行为规范、交易与关联交易的内容与规范等有了进一步的理解和认识，培训取得了良好的效果。</w:t>
      </w:r>
    </w:p>
    <w:p>
      <w:pPr>
        <w:ind w:firstLine="480"/>
      </w:pPr>
    </w:p>
    <w:p>
      <w:pPr>
        <w:ind w:firstLine="480"/>
      </w:pPr>
      <w:r>
        <w:br w:type="page"/>
      </w:r>
      <w:r>
        <w:rPr>
          <w:rFonts w:hint="eastAsia"/>
        </w:rPr>
        <w:t>本页无正文，为《中泰证券股份有限公司关于对山东新华制药股份有限公司2017年度持续督导培训报告》之签字盖章页。</w:t>
      </w:r>
    </w:p>
    <w:p>
      <w:pPr>
        <w:ind w:firstLine="480"/>
      </w:pPr>
      <w:r>
        <w:drawing>
          <wp:anchor distT="0" distB="0" distL="114300" distR="114300" simplePos="0" relativeHeight="251661312" behindDoc="0" locked="0" layoutInCell="1" allowOverlap="1">
            <wp:simplePos x="0" y="0"/>
            <wp:positionH relativeFrom="column">
              <wp:posOffset>-1141730</wp:posOffset>
            </wp:positionH>
            <wp:positionV relativeFrom="paragraph">
              <wp:posOffset>-1510665</wp:posOffset>
            </wp:positionV>
            <wp:extent cx="7552055" cy="10672445"/>
            <wp:effectExtent l="0" t="0" r="10795" b="146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7552055" cy="10672445"/>
                    </a:xfrm>
                    <a:prstGeom prst="rect">
                      <a:avLst/>
                    </a:prstGeom>
                    <a:noFill/>
                    <a:ln w="9525">
                      <a:noFill/>
                      <a:miter/>
                    </a:ln>
                  </pic:spPr>
                </pic:pic>
              </a:graphicData>
            </a:graphic>
          </wp:anchor>
        </w:drawing>
      </w:r>
    </w:p>
    <w:p>
      <w:pPr>
        <w:ind w:firstLine="480"/>
      </w:pPr>
    </w:p>
    <w:p>
      <w:pPr>
        <w:ind w:firstLine="480"/>
      </w:pPr>
    </w:p>
    <w:p>
      <w:pPr>
        <w:ind w:firstLine="480"/>
      </w:pPr>
    </w:p>
    <w:p>
      <w:pPr>
        <w:widowControl/>
        <w:tabs>
          <w:tab w:val="left" w:pos="1800"/>
          <w:tab w:val="left" w:pos="2175"/>
          <w:tab w:val="left" w:pos="2240"/>
        </w:tabs>
        <w:ind w:firstLine="480"/>
        <w:jc w:val="left"/>
        <w:rPr>
          <w:rFonts w:hint="eastAsia"/>
          <w:kern w:val="0"/>
        </w:rPr>
      </w:pPr>
    </w:p>
    <w:p>
      <w:pPr>
        <w:widowControl/>
        <w:tabs>
          <w:tab w:val="left" w:pos="1800"/>
          <w:tab w:val="left" w:pos="2175"/>
          <w:tab w:val="left" w:pos="2240"/>
          <w:tab w:val="left" w:pos="3119"/>
          <w:tab w:val="left" w:pos="4536"/>
        </w:tabs>
        <w:ind w:firstLine="480"/>
        <w:jc w:val="left"/>
        <w:rPr>
          <w:kern w:val="0"/>
          <w:u w:val="single"/>
        </w:rPr>
      </w:pPr>
      <w:r>
        <w:rPr>
          <w:kern w:val="0"/>
        </w:rPr>
        <w:t xml:space="preserve">保荐代表人：  </w:t>
      </w:r>
      <w:r>
        <w:rPr>
          <w:kern w:val="0"/>
          <w:u w:val="single"/>
        </w:rPr>
        <w:t xml:space="preserve">           </w:t>
      </w:r>
      <w:r>
        <w:rPr>
          <w:kern w:val="0"/>
        </w:rPr>
        <w:t xml:space="preserve">       </w:t>
      </w:r>
      <w:r>
        <w:rPr>
          <w:kern w:val="0"/>
          <w:u w:val="single"/>
        </w:rPr>
        <w:t xml:space="preserve">           </w:t>
      </w:r>
    </w:p>
    <w:p>
      <w:pPr>
        <w:widowControl/>
        <w:tabs>
          <w:tab w:val="left" w:pos="1800"/>
          <w:tab w:val="left" w:pos="2175"/>
          <w:tab w:val="left" w:pos="2240"/>
        </w:tabs>
        <w:ind w:firstLine="2520" w:firstLineChars="1050"/>
        <w:jc w:val="left"/>
        <w:rPr>
          <w:kern w:val="0"/>
        </w:rPr>
      </w:pPr>
      <w:r>
        <w:rPr>
          <w:kern w:val="0"/>
        </w:rPr>
        <w:t>战肖华            王庆刚</w:t>
      </w:r>
    </w:p>
    <w:p>
      <w:pPr>
        <w:ind w:firstLine="480"/>
      </w:pPr>
    </w:p>
    <w:p>
      <w:pPr>
        <w:ind w:firstLine="480"/>
      </w:pPr>
    </w:p>
    <w:p>
      <w:pPr>
        <w:ind w:firstLine="480"/>
      </w:pPr>
    </w:p>
    <w:p>
      <w:pPr>
        <w:ind w:firstLine="480"/>
      </w:pPr>
    </w:p>
    <w:p>
      <w:pPr>
        <w:ind w:firstLine="480"/>
      </w:pPr>
    </w:p>
    <w:p>
      <w:pPr>
        <w:ind w:firstLine="480"/>
        <w:jc w:val="right"/>
      </w:pPr>
      <w:r>
        <w:t>中泰证券股份有限公司</w:t>
      </w:r>
    </w:p>
    <w:p>
      <w:pPr>
        <w:ind w:firstLine="480"/>
        <w:jc w:val="right"/>
      </w:pPr>
    </w:p>
    <w:p>
      <w:pPr>
        <w:wordWrap w:val="0"/>
        <w:ind w:firstLine="480"/>
        <w:jc w:val="right"/>
        <w:rPr>
          <w:rFonts w:hint="eastAsia"/>
        </w:rPr>
      </w:pPr>
      <w:r>
        <w:rPr>
          <w:rFonts w:hint="eastAsia"/>
        </w:rPr>
        <w:t xml:space="preserve">    </w:t>
      </w:r>
      <w:r>
        <w:t>年</w:t>
      </w:r>
      <w:r>
        <w:rPr>
          <w:rFonts w:hint="eastAsia"/>
        </w:rPr>
        <w:t xml:space="preserve">      </w:t>
      </w:r>
      <w:r>
        <w:t>月</w:t>
      </w:r>
      <w:r>
        <w:rPr>
          <w:rFonts w:hint="eastAsia"/>
        </w:rPr>
        <w:t xml:space="preserve">      </w:t>
      </w:r>
      <w:r>
        <w:t>日</w:t>
      </w:r>
    </w:p>
    <w:p>
      <w:pPr>
        <w:widowControl/>
        <w:jc w:val="left"/>
        <w:rPr>
          <w:rFonts w:ascii="Times New Roman" w:hAnsi="Times New Roman" w:cs="Times New Roman"/>
          <w:sz w:val="24"/>
          <w:szCs w:val="24"/>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PMingLiU">
    <w:panose1 w:val="02020500000000000000"/>
    <w:charset w:val="88"/>
    <w:family w:val="swiss"/>
    <w:pitch w:val="default"/>
    <w:sig w:usb0="A00002FF" w:usb1="28CFFCFA" w:usb2="00000016" w:usb3="00000000" w:csb0="00100001" w:csb1="00000000"/>
  </w:font>
  <w:font w:name="黑体">
    <w:panose1 w:val="02010609060101010101"/>
    <w:charset w:val="86"/>
    <w:family w:val="swiss"/>
    <w:pitch w:val="default"/>
    <w:sig w:usb0="800002BF" w:usb1="38CF7CFA" w:usb2="00000016" w:usb3="00000000" w:csb0="00040001"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PMingLiU">
    <w:panose1 w:val="02020500000000000000"/>
    <w:charset w:val="88"/>
    <w:family w:val="decorative"/>
    <w:pitch w:val="default"/>
    <w:sig w:usb0="A00002FF" w:usb1="28CFFCFA" w:usb2="00000016" w:usb3="00000000" w:csb0="00100001" w:csb1="00000000"/>
  </w:font>
  <w:font w:name="黑体">
    <w:panose1 w:val="02010609060101010101"/>
    <w:charset w:val="86"/>
    <w:family w:val="decorative"/>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06F2D"/>
    <w:rsid w:val="00002278"/>
    <w:rsid w:val="00027338"/>
    <w:rsid w:val="0004261F"/>
    <w:rsid w:val="00076EB5"/>
    <w:rsid w:val="000C0701"/>
    <w:rsid w:val="000C1382"/>
    <w:rsid w:val="002308BF"/>
    <w:rsid w:val="00250AC6"/>
    <w:rsid w:val="002660B2"/>
    <w:rsid w:val="002C5A31"/>
    <w:rsid w:val="002D4CE0"/>
    <w:rsid w:val="0034161B"/>
    <w:rsid w:val="00536E2B"/>
    <w:rsid w:val="005475F4"/>
    <w:rsid w:val="00561DFF"/>
    <w:rsid w:val="005E37F9"/>
    <w:rsid w:val="005E6FFC"/>
    <w:rsid w:val="00606F2D"/>
    <w:rsid w:val="0064188E"/>
    <w:rsid w:val="00647143"/>
    <w:rsid w:val="00683FC0"/>
    <w:rsid w:val="006A5147"/>
    <w:rsid w:val="006A65B8"/>
    <w:rsid w:val="006D54B1"/>
    <w:rsid w:val="006E2954"/>
    <w:rsid w:val="006F744E"/>
    <w:rsid w:val="00742B8A"/>
    <w:rsid w:val="00762FB9"/>
    <w:rsid w:val="007E0300"/>
    <w:rsid w:val="00852E38"/>
    <w:rsid w:val="008B7CA7"/>
    <w:rsid w:val="008C002D"/>
    <w:rsid w:val="009109F4"/>
    <w:rsid w:val="009A547E"/>
    <w:rsid w:val="009C7384"/>
    <w:rsid w:val="00A62026"/>
    <w:rsid w:val="00A90227"/>
    <w:rsid w:val="00AC03E1"/>
    <w:rsid w:val="00B05AF6"/>
    <w:rsid w:val="00B1743B"/>
    <w:rsid w:val="00B2426A"/>
    <w:rsid w:val="00B26335"/>
    <w:rsid w:val="00CA26E0"/>
    <w:rsid w:val="00D010D0"/>
    <w:rsid w:val="00D305DB"/>
    <w:rsid w:val="00D46459"/>
    <w:rsid w:val="00D72D90"/>
    <w:rsid w:val="00D95AB9"/>
    <w:rsid w:val="00DA2488"/>
    <w:rsid w:val="00F12431"/>
    <w:rsid w:val="5BE41AB7"/>
    <w:rsid w:val="66596A14"/>
    <w:rsid w:val="735B181F"/>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qFormat/>
    <w:uiPriority w:val="0"/>
    <w:rPr>
      <w:color w:val="0000FF"/>
      <w:u w:val="single"/>
    </w:rPr>
  </w:style>
  <w:style w:type="character" w:customStyle="1" w:styleId="8">
    <w:name w:val="页眉 Char"/>
    <w:basedOn w:val="5"/>
    <w:link w:val="4"/>
    <w:qFormat/>
    <w:uiPriority w:val="99"/>
    <w:rPr>
      <w:sz w:val="18"/>
      <w:szCs w:val="18"/>
    </w:rPr>
  </w:style>
  <w:style w:type="character" w:customStyle="1" w:styleId="9">
    <w:name w:val="页脚 Char"/>
    <w:basedOn w:val="5"/>
    <w:link w:val="3"/>
    <w:qFormat/>
    <w:uiPriority w:val="99"/>
    <w:rPr>
      <w:sz w:val="18"/>
      <w:szCs w:val="18"/>
    </w:rPr>
  </w:style>
  <w:style w:type="character" w:customStyle="1" w:styleId="10">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Pages>
  <Words>479</Words>
  <Characters>2735</Characters>
  <Lines>22</Lines>
  <Paragraphs>6</Paragraphs>
  <ScaleCrop>false</ScaleCrop>
  <LinksUpToDate>false</LinksUpToDate>
  <CharactersWithSpaces>3208</CharactersWithSpaces>
  <Application>WPS Office_10.8.0.5648_F1E327BC-269C-435d-A152-05C5408002CA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2017-11-10T05:24:00Z</dcterms:created>
  <dc:creator>lenovo</dc:creator>
  <cp:lastModifiedBy>曹长求</cp:lastModifiedBy>
  <cp:lastPrinted>2017-11-08T08:57:00Z</cp:lastPrinted>
  <dcterms:modified xsi:type="dcterms:W3CDTF">2017-11-28T07:05:28Z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2052-10.8.0.5648</vt:lpwstr>
  </property>
</Properties>
</file>