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i/>
          <w:sz w:val="18"/>
          <w:szCs w:val="18"/>
        </w:rPr>
      </w:pPr>
      <w:r>
        <w:rPr>
          <w:rFonts w:hint="eastAsia" w:eastAsia="PMingLiU"/>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rPr>
          <w:rFonts w:ascii="宋体" w:hAnsi="宋体"/>
          <w:i/>
          <w:color w:val="231F20"/>
          <w:kern w:val="0"/>
          <w:szCs w:val="21"/>
          <w:lang w:eastAsia="zh-TW"/>
        </w:rPr>
      </w:pPr>
    </w:p>
    <w:p>
      <w:pPr>
        <w:autoSpaceDE w:val="0"/>
        <w:autoSpaceDN w:val="0"/>
        <w:adjustRightInd w:val="0"/>
        <w:rPr>
          <w:rFonts w:ascii="宋体" w:hAnsi="宋体"/>
          <w:color w:val="231F20"/>
          <w:kern w:val="0"/>
          <w:sz w:val="28"/>
          <w:szCs w:val="18"/>
          <w:lang w:eastAsia="zh-TW"/>
        </w:rPr>
      </w:pPr>
      <w:r>
        <w:rPr>
          <w:rFonts w:ascii="PMingLiU" w:hAnsi="PMingLiU" w:eastAsia="PMingLiU" w:cs="PMingLiU"/>
          <w:kern w:val="0"/>
          <w:sz w:val="17"/>
          <w:szCs w:val="17"/>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123825</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HANDON"/>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a:xfrm>
                      <a:off x="0" y="0"/>
                      <a:ext cx="457200" cy="495300"/>
                    </a:xfrm>
                    <a:prstGeom prst="rect">
                      <a:avLst/>
                    </a:prstGeom>
                    <a:noFill/>
                  </pic:spPr>
                </pic:pic>
              </a:graphicData>
            </a:graphic>
          </wp:anchor>
        </w:drawing>
      </w: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lang w:eastAsia="zh-TW"/>
        </w:rPr>
      </w:pPr>
      <w:r>
        <w:rPr>
          <w:rFonts w:hint="eastAsia" w:ascii="宋体" w:hAnsi="宋体" w:eastAsia="PMingLiU"/>
          <w:b/>
          <w:bCs/>
          <w:color w:val="231F20"/>
          <w:kern w:val="0"/>
          <w:sz w:val="24"/>
          <w:szCs w:val="18"/>
          <w:lang w:eastAsia="zh-TW"/>
        </w:rPr>
        <w:t>山東新華製藥股份有限公司</w:t>
      </w:r>
    </w:p>
    <w:p>
      <w:pPr>
        <w:autoSpaceDE w:val="0"/>
        <w:autoSpaceDN w:val="0"/>
        <w:adjustRightInd w:val="0"/>
        <w:jc w:val="center"/>
        <w:rPr>
          <w:rFonts w:ascii="宋体" w:hAnsi="宋体"/>
          <w:b/>
          <w:bCs/>
          <w:color w:val="231F20"/>
          <w:kern w:val="0"/>
          <w:sz w:val="18"/>
          <w:szCs w:val="18"/>
          <w:lang w:eastAsia="zh-TW"/>
        </w:rPr>
      </w:pPr>
      <w:r>
        <w:rPr>
          <w:rFonts w:ascii="宋体" w:hAnsi="宋体" w:eastAsia="PMingLiU"/>
          <w:b/>
          <w:bCs/>
          <w:color w:val="231F20"/>
          <w:kern w:val="0"/>
          <w:sz w:val="24"/>
          <w:szCs w:val="18"/>
          <w:lang w:eastAsia="zh-TW"/>
        </w:rPr>
        <w:t>Shandong Xinhua Pharmaceutical Company Limited</w:t>
      </w:r>
    </w:p>
    <w:p>
      <w:pPr>
        <w:autoSpaceDE w:val="0"/>
        <w:autoSpaceDN w:val="0"/>
        <w:adjustRightInd w:val="0"/>
        <w:jc w:val="center"/>
        <w:rPr>
          <w:rFonts w:ascii="宋体" w:hAnsi="宋体"/>
          <w:color w:val="231F20"/>
          <w:kern w:val="0"/>
          <w:sz w:val="18"/>
          <w:szCs w:val="18"/>
          <w:lang w:eastAsia="zh-TW"/>
        </w:rPr>
      </w:pPr>
      <w:r>
        <w:rPr>
          <w:rFonts w:hint="eastAsia" w:ascii="宋体" w:hAnsi="宋体" w:eastAsia="PMingLiU"/>
          <w:color w:val="231F20"/>
          <w:kern w:val="0"/>
          <w:sz w:val="18"/>
          <w:szCs w:val="18"/>
          <w:lang w:eastAsia="zh-TW"/>
        </w:rPr>
        <w:t>（於中華人民共和國註冊成立之股份有限公司）</w:t>
      </w:r>
    </w:p>
    <w:p>
      <w:pPr>
        <w:autoSpaceDE w:val="0"/>
        <w:autoSpaceDN w:val="0"/>
        <w:adjustRightInd w:val="0"/>
        <w:jc w:val="center"/>
        <w:rPr>
          <w:rFonts w:ascii="宋体" w:hAnsi="宋体"/>
          <w:color w:val="231F20"/>
          <w:kern w:val="0"/>
          <w:sz w:val="20"/>
          <w:szCs w:val="20"/>
        </w:rPr>
      </w:pPr>
      <w:r>
        <w:rPr>
          <w:rFonts w:hint="eastAsia" w:ascii="宋体" w:hAnsi="宋体" w:eastAsia="PMingLiU"/>
          <w:color w:val="231F20"/>
          <w:kern w:val="0"/>
          <w:sz w:val="20"/>
          <w:szCs w:val="20"/>
          <w:lang w:eastAsia="zh-TW"/>
        </w:rPr>
        <w:t>（股份代碼：</w:t>
      </w:r>
      <w:r>
        <w:rPr>
          <w:rFonts w:ascii="宋体" w:hAnsi="宋体" w:eastAsia="PMingLiU"/>
          <w:color w:val="231F20"/>
          <w:kern w:val="0"/>
          <w:sz w:val="20"/>
          <w:szCs w:val="20"/>
          <w:lang w:eastAsia="zh-TW"/>
        </w:rPr>
        <w:t>0719</w:t>
      </w:r>
      <w:r>
        <w:rPr>
          <w:rFonts w:hint="eastAsia" w:ascii="宋体" w:hAnsi="宋体" w:eastAsia="PMingLiU"/>
          <w:color w:val="231F20"/>
          <w:kern w:val="0"/>
          <w:sz w:val="20"/>
          <w:szCs w:val="20"/>
          <w:lang w:eastAsia="zh-TW"/>
        </w:rPr>
        <w:t>）</w:t>
      </w:r>
    </w:p>
    <w:p>
      <w:pPr>
        <w:autoSpaceDE w:val="0"/>
        <w:autoSpaceDN w:val="0"/>
        <w:adjustRightInd w:val="0"/>
        <w:jc w:val="center"/>
        <w:rPr>
          <w:rFonts w:ascii="宋体" w:hAnsi="宋体"/>
          <w:color w:val="231F20"/>
          <w:kern w:val="0"/>
          <w:sz w:val="20"/>
          <w:szCs w:val="20"/>
          <w:lang w:eastAsia="zh-TW"/>
        </w:rPr>
      </w:pPr>
    </w:p>
    <w:p>
      <w:pPr>
        <w:autoSpaceDE w:val="0"/>
        <w:autoSpaceDN w:val="0"/>
        <w:adjustRightInd w:val="0"/>
        <w:jc w:val="center"/>
        <w:rPr>
          <w:rFonts w:ascii="宋体" w:hAnsi="宋体"/>
          <w:b/>
          <w:bCs/>
          <w:color w:val="231F20"/>
          <w:kern w:val="0"/>
          <w:sz w:val="26"/>
          <w:szCs w:val="26"/>
          <w:lang w:eastAsia="zh-TW"/>
        </w:rPr>
      </w:pPr>
      <w:r>
        <w:rPr>
          <w:rFonts w:hint="eastAsia" w:ascii="宋体" w:hAnsi="宋体" w:eastAsia="PMingLiU"/>
          <w:b/>
          <w:bCs/>
          <w:color w:val="231F20"/>
          <w:kern w:val="0"/>
          <w:sz w:val="26"/>
          <w:szCs w:val="26"/>
          <w:lang w:eastAsia="zh-TW"/>
        </w:rPr>
        <w:t>海外監管公告</w:t>
      </w:r>
    </w:p>
    <w:p>
      <w:pPr>
        <w:autoSpaceDE w:val="0"/>
        <w:autoSpaceDN w:val="0"/>
        <w:adjustRightInd w:val="0"/>
        <w:jc w:val="center"/>
        <w:rPr>
          <w:rFonts w:ascii="宋体" w:hAnsi="宋体"/>
          <w:b/>
          <w:bCs/>
          <w:color w:val="231F20"/>
          <w:kern w:val="0"/>
          <w:sz w:val="26"/>
          <w:szCs w:val="26"/>
          <w:lang w:eastAsia="zh-TW"/>
        </w:rPr>
      </w:pPr>
    </w:p>
    <w:tbl>
      <w:tblPr>
        <w:tblStyle w:val="7"/>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280" w:type="dxa"/>
          </w:tcPr>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lang w:eastAsia="zh-TW"/>
              </w:rPr>
            </w:pPr>
            <w:r>
              <w:rPr>
                <w:rFonts w:hint="eastAsia" w:ascii="宋体" w:hAnsi="宋体" w:eastAsia="PMingLiU"/>
                <w:color w:val="231F20"/>
                <w:kern w:val="0"/>
                <w:szCs w:val="21"/>
                <w:lang w:eastAsia="zh-TW"/>
              </w:rPr>
              <w:t>本公告乃根據香港聯合交易所有限公司證券上市規則第</w:t>
            </w:r>
            <w:r>
              <w:rPr>
                <w:rFonts w:ascii="宋体" w:hAnsi="宋体" w:eastAsia="PMingLiU"/>
                <w:color w:val="231F20"/>
                <w:kern w:val="0"/>
                <w:szCs w:val="21"/>
                <w:lang w:eastAsia="zh-TW"/>
              </w:rPr>
              <w:t>13.</w:t>
            </w:r>
            <w:r>
              <w:rPr>
                <w:rFonts w:hint="eastAsia" w:ascii="宋体" w:hAnsi="宋体"/>
                <w:color w:val="231F20"/>
                <w:kern w:val="0"/>
                <w:szCs w:val="21"/>
              </w:rPr>
              <w:t>10B</w:t>
            </w:r>
            <w:r>
              <w:rPr>
                <w:rFonts w:hint="eastAsia" w:ascii="宋体" w:hAnsi="宋体" w:eastAsia="PMingLiU"/>
                <w:color w:val="231F20"/>
                <w:kern w:val="0"/>
                <w:szCs w:val="21"/>
                <w:lang w:eastAsia="zh-TW"/>
              </w:rPr>
              <w:t>條作出。</w:t>
            </w:r>
          </w:p>
        </w:tc>
      </w:tr>
    </w:tbl>
    <w:p>
      <w:pPr>
        <w:autoSpaceDE w:val="0"/>
        <w:autoSpaceDN w:val="0"/>
        <w:adjustRightInd w:val="0"/>
        <w:rPr>
          <w:rFonts w:ascii="宋体" w:hAnsi="宋体"/>
          <w:color w:val="231F20"/>
          <w:kern w:val="0"/>
          <w:szCs w:val="21"/>
          <w:lang w:eastAsia="zh-TW"/>
        </w:rPr>
      </w:pPr>
    </w:p>
    <w:p>
      <w:pPr>
        <w:spacing w:line="360" w:lineRule="auto"/>
        <w:rPr>
          <w:rFonts w:ascii="宋体" w:hAnsi="宋体" w:eastAsia="PMingLiU"/>
          <w:color w:val="231F20"/>
          <w:kern w:val="0"/>
          <w:szCs w:val="21"/>
          <w:lang w:eastAsia="zh-TW"/>
        </w:rPr>
      </w:pPr>
      <w:r>
        <w:rPr>
          <w:rFonts w:hint="eastAsia" w:ascii="宋体" w:hAnsi="宋体" w:eastAsia="PMingLiU"/>
          <w:color w:val="231F20"/>
          <w:kern w:val="0"/>
          <w:szCs w:val="21"/>
          <w:lang w:eastAsia="zh-TW"/>
        </w:rPr>
        <w:t>山東新華製藥股份有限公司（「本公司」）</w:t>
      </w:r>
      <w:bookmarkStart w:id="0" w:name="_GoBack"/>
      <w:bookmarkEnd w:id="0"/>
      <w:r>
        <w:rPr>
          <w:rFonts w:hint="eastAsia" w:ascii="宋体" w:hAnsi="宋体" w:eastAsia="PMingLiU"/>
          <w:color w:val="231F20"/>
          <w:kern w:val="0"/>
          <w:szCs w:val="21"/>
          <w:lang w:eastAsia="zh-TW"/>
        </w:rPr>
        <w:t>於</w:t>
      </w:r>
      <w:r>
        <w:rPr>
          <w:rFonts w:ascii="宋体" w:hAnsi="宋体" w:eastAsia="PMingLiU"/>
          <w:color w:val="231F20"/>
          <w:kern w:val="0"/>
          <w:szCs w:val="21"/>
          <w:lang w:eastAsia="zh-TW"/>
        </w:rPr>
        <w:t>2017</w:t>
      </w:r>
      <w:r>
        <w:rPr>
          <w:rFonts w:hint="eastAsia" w:ascii="宋体" w:hAnsi="宋体" w:eastAsia="PMingLiU"/>
          <w:color w:val="231F20"/>
          <w:kern w:val="0"/>
          <w:szCs w:val="21"/>
          <w:lang w:eastAsia="zh-TW"/>
        </w:rPr>
        <w:t>年</w:t>
      </w:r>
      <w:r>
        <w:rPr>
          <w:rFonts w:ascii="宋体" w:hAnsi="宋体" w:eastAsia="PMingLiU"/>
          <w:color w:val="231F20"/>
          <w:kern w:val="0"/>
          <w:szCs w:val="21"/>
          <w:lang w:eastAsia="zh-TW"/>
        </w:rPr>
        <w:t>11</w:t>
      </w:r>
      <w:r>
        <w:rPr>
          <w:rFonts w:hint="eastAsia" w:ascii="宋体" w:hAnsi="宋体" w:eastAsia="PMingLiU"/>
          <w:color w:val="231F20"/>
          <w:kern w:val="0"/>
          <w:szCs w:val="21"/>
          <w:lang w:eastAsia="zh-TW"/>
        </w:rPr>
        <w:t>月</w:t>
      </w:r>
      <w:r>
        <w:rPr>
          <w:rFonts w:ascii="宋体" w:hAnsi="宋体" w:eastAsia="PMingLiU"/>
          <w:color w:val="231F20"/>
          <w:kern w:val="0"/>
          <w:szCs w:val="21"/>
          <w:lang w:eastAsia="zh-TW"/>
        </w:rPr>
        <w:t>10</w:t>
      </w:r>
      <w:r>
        <w:rPr>
          <w:rFonts w:hint="eastAsia" w:ascii="宋体" w:hAnsi="宋体" w:eastAsia="PMingLiU"/>
          <w:color w:val="231F20"/>
          <w:kern w:val="0"/>
          <w:szCs w:val="21"/>
          <w:lang w:eastAsia="zh-TW"/>
        </w:rPr>
        <w:t>日在巨潮資訊網（</w:t>
      </w:r>
      <w:r>
        <w:fldChar w:fldCharType="begin"/>
      </w:r>
      <w:r>
        <w:instrText xml:space="preserve"> HYPERLINK "http://www.cninfo.com.cn" </w:instrText>
      </w:r>
      <w:r>
        <w:fldChar w:fldCharType="separate"/>
      </w:r>
      <w:r>
        <w:rPr>
          <w:rStyle w:val="6"/>
          <w:rFonts w:ascii="宋体" w:hAnsi="宋体" w:eastAsia="PMingLiU"/>
          <w:kern w:val="0"/>
          <w:szCs w:val="21"/>
          <w:lang w:eastAsia="zh-TW"/>
        </w:rPr>
        <w:t>http://www.cninfo.com.cn</w:t>
      </w:r>
      <w:r>
        <w:rPr>
          <w:rStyle w:val="6"/>
          <w:rFonts w:ascii="宋体" w:hAnsi="宋体" w:eastAsia="PMingLiU"/>
          <w:kern w:val="0"/>
          <w:szCs w:val="21"/>
          <w:lang w:eastAsia="zh-TW"/>
        </w:rPr>
        <w:fldChar w:fldCharType="end"/>
      </w:r>
      <w:r>
        <w:rPr>
          <w:rFonts w:hint="eastAsia" w:ascii="宋体" w:hAnsi="宋体" w:eastAsia="PMingLiU"/>
          <w:color w:val="231F20"/>
          <w:kern w:val="0"/>
          <w:szCs w:val="21"/>
          <w:lang w:eastAsia="zh-TW"/>
        </w:rPr>
        <w:t>）刊登本公司《中泰證券股份有限公司關於山東新華製藥股份有限公司商標使用費的日常關聯交易預計事項的核查意見》，茲載列有關文檔之中文版，以供參閱。</w:t>
      </w:r>
    </w:p>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rPr>
      </w:pPr>
    </w:p>
    <w:p>
      <w:pPr>
        <w:autoSpaceDE w:val="0"/>
        <w:autoSpaceDN w:val="0"/>
        <w:adjustRightInd w:val="0"/>
        <w:ind w:right="420"/>
        <w:jc w:val="center"/>
        <w:rPr>
          <w:rFonts w:ascii="宋体" w:hAnsi="宋体"/>
          <w:color w:val="231F20"/>
          <w:kern w:val="0"/>
          <w:szCs w:val="21"/>
          <w:lang w:eastAsia="zh-TW"/>
        </w:rPr>
      </w:pPr>
      <w:r>
        <w:rPr>
          <w:rFonts w:ascii="宋体" w:hAnsi="宋体" w:eastAsia="PMingLiU"/>
          <w:color w:val="231F20"/>
          <w:kern w:val="0"/>
          <w:szCs w:val="21"/>
          <w:lang w:eastAsia="zh-TW"/>
        </w:rPr>
        <w:t xml:space="preserve">                                                       </w:t>
      </w:r>
      <w:r>
        <w:rPr>
          <w:rFonts w:hint="eastAsia" w:ascii="宋体" w:hAnsi="宋体" w:eastAsia="PMingLiU"/>
          <w:color w:val="231F20"/>
          <w:kern w:val="0"/>
          <w:szCs w:val="21"/>
          <w:lang w:eastAsia="zh-TW"/>
        </w:rPr>
        <w:t>承董事會命</w:t>
      </w:r>
    </w:p>
    <w:p>
      <w:pPr>
        <w:autoSpaceDE w:val="0"/>
        <w:autoSpaceDN w:val="0"/>
        <w:adjustRightInd w:val="0"/>
        <w:ind w:right="315"/>
        <w:jc w:val="right"/>
        <w:rPr>
          <w:rFonts w:ascii="宋体" w:hAnsi="宋体"/>
          <w:color w:val="231F20"/>
          <w:kern w:val="0"/>
          <w:szCs w:val="21"/>
          <w:lang w:eastAsia="zh-TW"/>
        </w:rPr>
      </w:pPr>
      <w:r>
        <w:rPr>
          <w:rFonts w:hint="eastAsia" w:ascii="宋体" w:hAnsi="宋体" w:eastAsia="PMingLiU"/>
          <w:color w:val="231F20"/>
          <w:kern w:val="0"/>
          <w:szCs w:val="21"/>
          <w:lang w:eastAsia="zh-TW"/>
        </w:rPr>
        <w:t>山東新華製藥股份有限公司</w:t>
      </w:r>
    </w:p>
    <w:p>
      <w:pPr>
        <w:autoSpaceDE w:val="0"/>
        <w:autoSpaceDN w:val="0"/>
        <w:adjustRightInd w:val="0"/>
        <w:ind w:right="420" w:firstLine="6405" w:firstLineChars="3050"/>
        <w:rPr>
          <w:rFonts w:ascii="宋体" w:hAnsi="宋体"/>
          <w:color w:val="231F20"/>
          <w:kern w:val="0"/>
          <w:szCs w:val="21"/>
        </w:rPr>
      </w:pPr>
      <w:r>
        <w:rPr>
          <w:rFonts w:hint="eastAsia" w:ascii="宋体" w:hAnsi="宋体" w:eastAsia="PMingLiU"/>
          <w:color w:val="231F20"/>
          <w:kern w:val="0"/>
          <w:szCs w:val="21"/>
          <w:lang w:eastAsia="zh-TW"/>
        </w:rPr>
        <w:t>張代銘</w:t>
      </w:r>
    </w:p>
    <w:p>
      <w:pPr>
        <w:autoSpaceDE w:val="0"/>
        <w:autoSpaceDN w:val="0"/>
        <w:adjustRightInd w:val="0"/>
        <w:ind w:right="420" w:firstLine="6405" w:firstLineChars="3050"/>
        <w:rPr>
          <w:rFonts w:ascii="宋体" w:hAnsi="宋体"/>
          <w:color w:val="231F20"/>
          <w:kern w:val="0"/>
          <w:szCs w:val="21"/>
          <w:lang w:eastAsia="zh-TW"/>
        </w:rPr>
      </w:pPr>
      <w:r>
        <w:rPr>
          <w:rFonts w:hint="eastAsia" w:ascii="宋体" w:hAnsi="宋体" w:eastAsia="PMingLiU"/>
          <w:color w:val="231F20"/>
          <w:kern w:val="0"/>
          <w:szCs w:val="21"/>
          <w:lang w:eastAsia="zh-TW"/>
        </w:rPr>
        <w:t>董事長</w:t>
      </w:r>
    </w:p>
    <w:p>
      <w:pPr>
        <w:autoSpaceDE w:val="0"/>
        <w:autoSpaceDN w:val="0"/>
        <w:adjustRightInd w:val="0"/>
        <w:rPr>
          <w:rFonts w:ascii="宋体" w:hAnsi="宋体"/>
          <w:color w:val="231F20"/>
          <w:kern w:val="0"/>
          <w:szCs w:val="21"/>
          <w:lang w:eastAsia="zh-TW"/>
        </w:rPr>
      </w:pPr>
    </w:p>
    <w:p>
      <w:pPr>
        <w:autoSpaceDE w:val="0"/>
        <w:autoSpaceDN w:val="0"/>
        <w:adjustRightInd w:val="0"/>
        <w:rPr>
          <w:rFonts w:ascii="宋体" w:hAnsi="宋体"/>
          <w:color w:val="231F20"/>
          <w:kern w:val="0"/>
          <w:szCs w:val="21"/>
          <w:lang w:eastAsia="zh-TW"/>
        </w:rPr>
      </w:pPr>
      <w:r>
        <w:rPr>
          <w:rFonts w:hint="eastAsia" w:ascii="宋体" w:hAnsi="宋体" w:eastAsia="PMingLiU"/>
          <w:color w:val="231F20"/>
          <w:kern w:val="0"/>
          <w:szCs w:val="21"/>
          <w:lang w:eastAsia="zh-TW"/>
        </w:rPr>
        <w:t>中國</w:t>
      </w:r>
      <w:r>
        <w:rPr>
          <w:rFonts w:ascii="宋体" w:hAnsi="宋体" w:eastAsia="PMingLiU"/>
          <w:color w:val="231F20"/>
          <w:kern w:val="0"/>
          <w:szCs w:val="21"/>
          <w:lang w:eastAsia="zh-TW"/>
        </w:rPr>
        <w:t xml:space="preserve"> </w:t>
      </w:r>
      <w:r>
        <w:rPr>
          <w:rFonts w:hint="eastAsia" w:ascii="宋体" w:hAnsi="宋体" w:eastAsia="PMingLiU"/>
          <w:color w:val="231F20"/>
          <w:kern w:val="0"/>
          <w:szCs w:val="21"/>
          <w:lang w:eastAsia="zh-TW"/>
        </w:rPr>
        <w:t>淄博</w:t>
      </w:r>
      <w:r>
        <w:rPr>
          <w:rFonts w:ascii="宋体" w:hAnsi="宋体" w:eastAsia="PMingLiU"/>
          <w:color w:val="231F20"/>
          <w:kern w:val="0"/>
          <w:szCs w:val="21"/>
          <w:lang w:eastAsia="zh-TW"/>
        </w:rPr>
        <w:t xml:space="preserve"> </w:t>
      </w:r>
      <w:r>
        <w:rPr>
          <w:rFonts w:hint="eastAsia" w:ascii="宋体" w:hAnsi="宋体" w:eastAsia="PMingLiU"/>
          <w:color w:val="231F20"/>
          <w:kern w:val="0"/>
          <w:szCs w:val="21"/>
          <w:lang w:eastAsia="zh-TW"/>
        </w:rPr>
        <w:t>二零一七年十一月十日</w:t>
      </w:r>
    </w:p>
    <w:p>
      <w:pPr>
        <w:autoSpaceDE w:val="0"/>
        <w:autoSpaceDN w:val="0"/>
        <w:adjustRightInd w:val="0"/>
        <w:rPr>
          <w:rFonts w:ascii="宋体" w:hAnsi="宋体"/>
          <w:color w:val="231F20"/>
          <w:kern w:val="0"/>
          <w:szCs w:val="21"/>
          <w:lang w:eastAsia="zh-TW"/>
        </w:rPr>
      </w:pPr>
    </w:p>
    <w:p>
      <w:pPr>
        <w:kinsoku w:val="0"/>
        <w:snapToGrid w:val="0"/>
        <w:rPr>
          <w:lang w:eastAsia="zh-TW"/>
        </w:rPr>
      </w:pPr>
      <w:r>
        <w:pict>
          <v:shape id="_x0000_s1026" o:spid="_x0000_s1026" o:spt="202" type="#_x0000_t202" style="position:absolute;left:0pt;margin-left:468pt;margin-top:9pt;height:36pt;width:72pt;z-index:251658240;mso-width-relative:page;mso-height-relative:page;" filled="f" stroked="f" coordsize="21600,21600">
            <v:path/>
            <v:fill on="f" focussize="0,0"/>
            <v:stroke on="f" joinstyle="miter"/>
            <v:imagedata o:title=""/>
            <o:lock v:ext="edit"/>
            <v:textbox>
              <w:txbxContent>
                <w:p>
                  <w:pPr>
                    <w:rPr>
                      <w:sz w:val="16"/>
                      <w:szCs w:val="16"/>
                    </w:rPr>
                  </w:pPr>
                </w:p>
              </w:txbxContent>
            </v:textbox>
          </v:shape>
        </w:pict>
      </w:r>
      <w:r>
        <w:rPr>
          <w:rFonts w:hint="eastAsia" w:eastAsia="PMingLiU"/>
          <w:lang w:eastAsia="zh-TW"/>
        </w:rPr>
        <w:t>於本公告日期，本公司董事會之成員如下：</w:t>
      </w:r>
    </w:p>
    <w:p>
      <w:pPr>
        <w:kinsoku w:val="0"/>
        <w:snapToGrid w:val="0"/>
        <w:rPr>
          <w:lang w:eastAsia="zh-TW"/>
        </w:rPr>
      </w:pPr>
    </w:p>
    <w:p>
      <w:pPr>
        <w:kinsoku w:val="0"/>
        <w:snapToGrid w:val="0"/>
        <w:rPr>
          <w:lang w:eastAsia="zh-TW"/>
        </w:rPr>
      </w:pPr>
    </w:p>
    <w:tbl>
      <w:tblPr>
        <w:tblStyle w:val="7"/>
        <w:tblW w:w="8522" w:type="dxa"/>
        <w:tblInd w:w="0" w:type="dxa"/>
        <w:tblLayout w:type="fixed"/>
        <w:tblCellMar>
          <w:top w:w="0" w:type="dxa"/>
          <w:left w:w="108" w:type="dxa"/>
          <w:bottom w:w="0" w:type="dxa"/>
          <w:right w:w="108" w:type="dxa"/>
        </w:tblCellMar>
      </w:tblPr>
      <w:tblGrid>
        <w:gridCol w:w="2840"/>
        <w:gridCol w:w="2841"/>
        <w:gridCol w:w="2841"/>
      </w:tblGrid>
      <w:tr>
        <w:tblPrEx>
          <w:tblLayout w:type="fixed"/>
          <w:tblCellMar>
            <w:top w:w="0" w:type="dxa"/>
            <w:left w:w="108" w:type="dxa"/>
            <w:bottom w:w="0" w:type="dxa"/>
            <w:right w:w="108" w:type="dxa"/>
          </w:tblCellMar>
        </w:tblPrEx>
        <w:tc>
          <w:tcPr>
            <w:tcW w:w="2840" w:type="dxa"/>
          </w:tcPr>
          <w:p>
            <w:pPr>
              <w:kinsoku w:val="0"/>
              <w:snapToGrid w:val="0"/>
            </w:pPr>
            <w:r>
              <w:rPr>
                <w:rFonts w:hint="eastAsia" w:eastAsia="PMingLiU"/>
                <w:lang w:eastAsia="zh-TW"/>
              </w:rPr>
              <w:t>執行董事</w:t>
            </w:r>
          </w:p>
        </w:tc>
        <w:tc>
          <w:tcPr>
            <w:tcW w:w="2841" w:type="dxa"/>
          </w:tcPr>
          <w:p>
            <w:pPr>
              <w:kinsoku w:val="0"/>
              <w:snapToGrid w:val="0"/>
            </w:pPr>
            <w:r>
              <w:rPr>
                <w:rFonts w:hint="eastAsia" w:eastAsia="PMingLiU"/>
                <w:lang w:eastAsia="zh-TW"/>
              </w:rPr>
              <w:t>非執行董事</w:t>
            </w:r>
          </w:p>
        </w:tc>
        <w:tc>
          <w:tcPr>
            <w:tcW w:w="2841" w:type="dxa"/>
          </w:tcPr>
          <w:p>
            <w:pPr>
              <w:kinsoku w:val="0"/>
              <w:snapToGrid w:val="0"/>
            </w:pPr>
            <w:r>
              <w:rPr>
                <w:rFonts w:hint="eastAsia" w:eastAsia="PMingLiU"/>
                <w:lang w:eastAsia="zh-TW"/>
              </w:rPr>
              <w:t>獨立非執行董事</w:t>
            </w:r>
          </w:p>
        </w:tc>
      </w:tr>
      <w:tr>
        <w:tblPrEx>
          <w:tblLayout w:type="fixed"/>
          <w:tblCellMar>
            <w:top w:w="0" w:type="dxa"/>
            <w:left w:w="108" w:type="dxa"/>
            <w:bottom w:w="0" w:type="dxa"/>
            <w:right w:w="108" w:type="dxa"/>
          </w:tblCellMar>
        </w:tblPrEx>
        <w:tc>
          <w:tcPr>
            <w:tcW w:w="2840" w:type="dxa"/>
          </w:tcPr>
          <w:p>
            <w:pPr>
              <w:kinsoku w:val="0"/>
              <w:snapToGrid w:val="0"/>
            </w:pPr>
            <w:r>
              <w:rPr>
                <w:rFonts w:hint="eastAsia" w:eastAsia="PMingLiU"/>
                <w:lang w:eastAsia="zh-TW"/>
              </w:rPr>
              <w:t>張代銘先生（董事長）</w:t>
            </w:r>
          </w:p>
        </w:tc>
        <w:tc>
          <w:tcPr>
            <w:tcW w:w="2841" w:type="dxa"/>
          </w:tcPr>
          <w:p>
            <w:pPr>
              <w:kinsoku w:val="0"/>
              <w:snapToGrid w:val="0"/>
            </w:pPr>
            <w:r>
              <w:rPr>
                <w:rFonts w:hint="eastAsia" w:eastAsia="PMingLiU"/>
                <w:lang w:eastAsia="zh-TW"/>
              </w:rPr>
              <w:t>任福龍先生</w:t>
            </w:r>
          </w:p>
        </w:tc>
        <w:tc>
          <w:tcPr>
            <w:tcW w:w="2841" w:type="dxa"/>
          </w:tcPr>
          <w:p>
            <w:pPr>
              <w:kinsoku w:val="0"/>
              <w:snapToGrid w:val="0"/>
            </w:pPr>
            <w:r>
              <w:rPr>
                <w:rFonts w:hint="eastAsia" w:eastAsia="PMingLiU"/>
                <w:lang w:eastAsia="zh-TW"/>
              </w:rPr>
              <w:t>杜冠華先生</w:t>
            </w:r>
          </w:p>
        </w:tc>
      </w:tr>
      <w:tr>
        <w:tblPrEx>
          <w:tblLayout w:type="fixed"/>
          <w:tblCellMar>
            <w:top w:w="0" w:type="dxa"/>
            <w:left w:w="108" w:type="dxa"/>
            <w:bottom w:w="0" w:type="dxa"/>
            <w:right w:w="108" w:type="dxa"/>
          </w:tblCellMar>
        </w:tblPrEx>
        <w:tc>
          <w:tcPr>
            <w:tcW w:w="2840" w:type="dxa"/>
          </w:tcPr>
          <w:p>
            <w:pPr>
              <w:kinsoku w:val="0"/>
              <w:snapToGrid w:val="0"/>
            </w:pPr>
            <w:r>
              <w:rPr>
                <w:rFonts w:hint="eastAsia" w:eastAsia="PMingLiU"/>
                <w:lang w:eastAsia="zh-TW"/>
              </w:rPr>
              <w:t>杜德平先生</w:t>
            </w:r>
          </w:p>
        </w:tc>
        <w:tc>
          <w:tcPr>
            <w:tcW w:w="2841" w:type="dxa"/>
          </w:tcPr>
          <w:p>
            <w:pPr>
              <w:kinsoku w:val="0"/>
              <w:snapToGrid w:val="0"/>
            </w:pPr>
            <w:r>
              <w:rPr>
                <w:rFonts w:hint="eastAsia" w:eastAsia="PMingLiU"/>
                <w:lang w:eastAsia="zh-TW"/>
              </w:rPr>
              <w:t>徐</w:t>
            </w:r>
            <w:r>
              <w:rPr>
                <w:rFonts w:eastAsia="PMingLiU"/>
                <w:lang w:eastAsia="zh-TW"/>
              </w:rPr>
              <w:t xml:space="preserve">  </w:t>
            </w:r>
            <w:r>
              <w:rPr>
                <w:rFonts w:hint="eastAsia" w:eastAsia="PMingLiU"/>
                <w:lang w:eastAsia="zh-TW"/>
              </w:rPr>
              <w:t>列先生</w:t>
            </w:r>
          </w:p>
        </w:tc>
        <w:tc>
          <w:tcPr>
            <w:tcW w:w="2841" w:type="dxa"/>
          </w:tcPr>
          <w:p>
            <w:pPr>
              <w:kinsoku w:val="0"/>
              <w:snapToGrid w:val="0"/>
            </w:pPr>
            <w:r>
              <w:rPr>
                <w:rFonts w:hint="eastAsia" w:eastAsia="PMingLiU"/>
                <w:lang w:eastAsia="zh-TW"/>
              </w:rPr>
              <w:t>李文明先生</w:t>
            </w:r>
          </w:p>
        </w:tc>
      </w:tr>
      <w:tr>
        <w:tblPrEx>
          <w:tblLayout w:type="fixed"/>
          <w:tblCellMar>
            <w:top w:w="0" w:type="dxa"/>
            <w:left w:w="108" w:type="dxa"/>
            <w:bottom w:w="0" w:type="dxa"/>
            <w:right w:w="108" w:type="dxa"/>
          </w:tblCellMar>
        </w:tblPrEx>
        <w:tc>
          <w:tcPr>
            <w:tcW w:w="2840" w:type="dxa"/>
          </w:tcPr>
          <w:p>
            <w:pPr>
              <w:kinsoku w:val="0"/>
              <w:snapToGrid w:val="0"/>
            </w:pPr>
          </w:p>
        </w:tc>
        <w:tc>
          <w:tcPr>
            <w:tcW w:w="2841" w:type="dxa"/>
          </w:tcPr>
          <w:p>
            <w:pPr>
              <w:kinsoku w:val="0"/>
              <w:snapToGrid w:val="0"/>
            </w:pPr>
            <w:r>
              <w:rPr>
                <w:rFonts w:hint="eastAsia" w:eastAsia="PMingLiU"/>
                <w:lang w:eastAsia="zh-TW"/>
              </w:rPr>
              <w:t>趙</w:t>
            </w:r>
            <w:r>
              <w:rPr>
                <w:rFonts w:eastAsia="PMingLiU"/>
                <w:lang w:eastAsia="zh-TW"/>
              </w:rPr>
              <w:t xml:space="preserve">  </w:t>
            </w:r>
            <w:r>
              <w:rPr>
                <w:rFonts w:hint="eastAsia" w:eastAsia="PMingLiU"/>
                <w:lang w:eastAsia="zh-TW"/>
              </w:rPr>
              <w:t>斌先生</w:t>
            </w:r>
          </w:p>
        </w:tc>
        <w:tc>
          <w:tcPr>
            <w:tcW w:w="2841" w:type="dxa"/>
          </w:tcPr>
          <w:p>
            <w:pPr>
              <w:kinsoku w:val="0"/>
              <w:snapToGrid w:val="0"/>
            </w:pPr>
            <w:r>
              <w:rPr>
                <w:rFonts w:hint="eastAsia" w:eastAsia="PMingLiU"/>
                <w:lang w:eastAsia="zh-TW"/>
              </w:rPr>
              <w:t>陳仲戟先生</w:t>
            </w:r>
          </w:p>
        </w:tc>
      </w:tr>
      <w:tr>
        <w:tblPrEx>
          <w:tblLayout w:type="fixed"/>
          <w:tblCellMar>
            <w:top w:w="0" w:type="dxa"/>
            <w:left w:w="108" w:type="dxa"/>
            <w:bottom w:w="0" w:type="dxa"/>
            <w:right w:w="108" w:type="dxa"/>
          </w:tblCellMar>
        </w:tblPrEx>
        <w:tc>
          <w:tcPr>
            <w:tcW w:w="2840" w:type="dxa"/>
          </w:tcPr>
          <w:p>
            <w:pPr>
              <w:kinsoku w:val="0"/>
              <w:snapToGrid w:val="0"/>
            </w:pPr>
          </w:p>
        </w:tc>
        <w:tc>
          <w:tcPr>
            <w:tcW w:w="2841" w:type="dxa"/>
          </w:tcPr>
          <w:p>
            <w:pPr>
              <w:kinsoku w:val="0"/>
              <w:snapToGrid w:val="0"/>
            </w:pPr>
          </w:p>
        </w:tc>
        <w:tc>
          <w:tcPr>
            <w:tcW w:w="2841" w:type="dxa"/>
          </w:tcPr>
          <w:p>
            <w:pPr>
              <w:kinsoku w:val="0"/>
              <w:snapToGrid w:val="0"/>
            </w:pPr>
          </w:p>
        </w:tc>
      </w:tr>
    </w:tbl>
    <w:p>
      <w:pPr>
        <w:widowControl/>
        <w:jc w:val="left"/>
        <w:rPr>
          <w:rFonts w:ascii="Times New Roman" w:hAnsi="Times New Roman" w:cs="Times New Roman"/>
          <w:b/>
          <w:sz w:val="30"/>
          <w:szCs w:val="30"/>
        </w:rPr>
      </w:pPr>
      <w:r>
        <w:rPr>
          <w:rFonts w:ascii="Times New Roman" w:hAnsi="Times New Roman" w:cs="Times New Roman"/>
          <w:b/>
          <w:sz w:val="30"/>
          <w:szCs w:val="30"/>
        </w:rPr>
        <w:br w:type="page"/>
      </w:r>
    </w:p>
    <w:p>
      <w:pPr>
        <w:spacing w:line="360" w:lineRule="auto"/>
        <w:jc w:val="center"/>
        <w:rPr>
          <w:rFonts w:ascii="Times New Roman" w:hAnsi="Times New Roman" w:cs="Times New Roman"/>
          <w:b/>
          <w:sz w:val="30"/>
          <w:szCs w:val="30"/>
        </w:rPr>
      </w:pPr>
      <w:r>
        <w:rPr>
          <w:rFonts w:ascii="Times New Roman" w:hAnsi="Times New Roman" w:cs="Times New Roman"/>
          <w:b/>
          <w:sz w:val="30"/>
          <w:szCs w:val="30"/>
        </w:rPr>
        <w:t>中泰证券股份有限公司关于山东新华制药股份有限公司</w:t>
      </w:r>
    </w:p>
    <w:p>
      <w:pPr>
        <w:spacing w:line="360" w:lineRule="auto"/>
        <w:jc w:val="center"/>
        <w:rPr>
          <w:rFonts w:ascii="Times New Roman" w:hAnsi="Times New Roman" w:cs="Times New Roman"/>
          <w:b/>
          <w:sz w:val="30"/>
          <w:szCs w:val="30"/>
        </w:rPr>
      </w:pPr>
      <w:r>
        <w:rPr>
          <w:rFonts w:ascii="Times New Roman" w:hAnsi="Times New Roman" w:cs="Times New Roman"/>
          <w:b/>
          <w:sz w:val="30"/>
          <w:szCs w:val="30"/>
        </w:rPr>
        <w:t>商标使用费的日常关联交易预计事项的核查意见</w:t>
      </w:r>
    </w:p>
    <w:p>
      <w:pPr>
        <w:spacing w:line="360" w:lineRule="auto"/>
        <w:rPr>
          <w:rFonts w:ascii="Times New Roman" w:hAnsi="Times New Roman" w:cs="Times New Roman"/>
          <w:sz w:val="24"/>
          <w:szCs w:val="24"/>
        </w:rPr>
      </w:pP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中泰证券股份有限公司（以下简称“保荐机构”</w:t>
      </w:r>
      <w:r>
        <w:rPr>
          <w:rFonts w:hint="eastAsia" w:ascii="Times New Roman" w:hAnsi="Times New Roman" w:cs="Times New Roman"/>
          <w:sz w:val="24"/>
          <w:szCs w:val="24"/>
        </w:rPr>
        <w:t>或</w:t>
      </w:r>
      <w:r>
        <w:rPr>
          <w:rFonts w:ascii="Times New Roman" w:hAnsi="Times New Roman" w:cs="Times New Roman"/>
          <w:sz w:val="24"/>
          <w:szCs w:val="24"/>
        </w:rPr>
        <w:t>“中泰证券”）作为山东新华制药股份有限公司（以下简称“新华制药”或“公司”）</w:t>
      </w:r>
      <w:r>
        <w:rPr>
          <w:rFonts w:hint="eastAsia" w:ascii="Times New Roman" w:hAnsi="Times New Roman" w:cs="Times New Roman"/>
          <w:sz w:val="24"/>
          <w:szCs w:val="24"/>
        </w:rPr>
        <w:t>非公开发行</w:t>
      </w:r>
      <w:r>
        <w:rPr>
          <w:rFonts w:ascii="Times New Roman" w:hAnsi="Times New Roman" w:cs="Times New Roman"/>
          <w:sz w:val="24"/>
          <w:szCs w:val="24"/>
        </w:rPr>
        <w:t>保荐机构，根据《证券发行上市保荐业务管理办法》、《深圳证券交易所上市公司保荐工作指引》、《深圳证券交易所主板上市公司规范运作指引》的有关规定，就新华制药商标使用费的日常关联交易预计事项进行了审慎核查，核查情况如下：</w:t>
      </w:r>
    </w:p>
    <w:p>
      <w:pPr>
        <w:spacing w:beforeLines="50"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一、商标使用费的日常关联交易基本情况</w:t>
      </w:r>
    </w:p>
    <w:p>
      <w:pPr>
        <w:spacing w:beforeLines="50"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（一）日常关联交易概述</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1996年12月7日公司与山东新华医药集团有限责任公司（以下简称“新华集团”）就新华集团持有的“新华”牌商标达成商标许可协议（以下简称“商标许可协议”），商标许可协议在许可商标的有效期内（包括许可商标根</w:t>
      </w:r>
      <w:r>
        <w:rPr>
          <w:rFonts w:hint="eastAsia" w:ascii="Times New Roman" w:hAnsi="Times New Roman" w:cs="Times New Roman"/>
          <w:sz w:val="24"/>
          <w:szCs w:val="24"/>
        </w:rPr>
        <w:t>据</w:t>
      </w:r>
      <w:r>
        <w:rPr>
          <w:rFonts w:ascii="Times New Roman" w:hAnsi="Times New Roman" w:cs="Times New Roman"/>
          <w:sz w:val="24"/>
          <w:szCs w:val="24"/>
        </w:rPr>
        <w:t>商标局容许被续展之有效期）持续有效，公司获新华集团授予独家使用权，就其现有及将来于中国及海外的产品，使用“新华”商标，首年年费为人民币600,000元，其后每年递增人民币100,000元，直至年费达到人民币1,100,000元。</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公司与新华集团于2012年3月23日签订商标许可协议的补充协议，使用年费变更为人民币1,000万元，商标许可协议的其他条款维持不变。公司与新华集团于2014年10月27日续签商标许可协议的补充协议（以下简称“补充协议”），协议有效期自2015年1月1日起至 2017年12月31日止。</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公司与新华集团于2017年10月30日在山东省淄博市续签商标许可协议的补充协议（“补充协议”），协议有效期自2018年1月1日起至 2020年12月31日止，根据补充协议，公司使用“新华”牌商标的使用年费仍为人民币1,000万元，商标许可协议的其他条款维持不变。</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鉴于新华集团持有本公司已发行股份总数的32.94%，为公司的控股股东，根据香港联合交易所（“联交所”）《证券上市规则》14A.32和深圳证券交易所《股票上市规则》10.2.4条（合称“上市规则”）的规定，公司与新华集团之间的任何交易均构成关联交易。</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此日常关联交易无需获得股东大会的批准，不构成《上市公司重大资产重组管理办法》规定的重大资产重组，不需要经过有关部门批准。</w:t>
      </w:r>
    </w:p>
    <w:p>
      <w:pPr>
        <w:spacing w:beforeLines="50"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（二）预计日常关联交易类别和金额</w:t>
      </w:r>
    </w:p>
    <w:p>
      <w:pPr>
        <w:spacing w:beforeLines="50" w:line="360" w:lineRule="auto"/>
        <w:ind w:firstLine="480" w:firstLineChars="200"/>
        <w:jc w:val="right"/>
        <w:rPr>
          <w:rFonts w:ascii="Times New Roman" w:hAnsi="Times New Roman" w:cs="Times New Roman"/>
          <w:sz w:val="24"/>
          <w:szCs w:val="24"/>
        </w:rPr>
      </w:pPr>
      <w:r>
        <w:rPr>
          <w:rFonts w:ascii="Times New Roman" w:hAnsi="Times New Roman" w:cs="Times New Roman"/>
          <w:sz w:val="24"/>
          <w:szCs w:val="24"/>
        </w:rPr>
        <w:t>人民币万元</w:t>
      </w:r>
    </w:p>
    <w:tbl>
      <w:tblPr>
        <w:tblStyle w:val="7"/>
        <w:tblW w:w="9211" w:type="dxa"/>
        <w:jc w:val="center"/>
        <w:tblInd w:w="-689" w:type="dxa"/>
        <w:tblLayout w:type="fixed"/>
        <w:tblCellMar>
          <w:top w:w="0" w:type="dxa"/>
          <w:left w:w="108" w:type="dxa"/>
          <w:bottom w:w="0" w:type="dxa"/>
          <w:right w:w="108" w:type="dxa"/>
        </w:tblCellMar>
      </w:tblPr>
      <w:tblGrid>
        <w:gridCol w:w="1163"/>
        <w:gridCol w:w="707"/>
        <w:gridCol w:w="916"/>
        <w:gridCol w:w="989"/>
        <w:gridCol w:w="724"/>
        <w:gridCol w:w="803"/>
        <w:gridCol w:w="1304"/>
        <w:gridCol w:w="1304"/>
        <w:gridCol w:w="1301"/>
      </w:tblGrid>
      <w:tr>
        <w:tblPrEx>
          <w:tblLayout w:type="fixed"/>
          <w:tblCellMar>
            <w:top w:w="0" w:type="dxa"/>
            <w:left w:w="108" w:type="dxa"/>
            <w:bottom w:w="0" w:type="dxa"/>
            <w:right w:w="108" w:type="dxa"/>
          </w:tblCellMar>
        </w:tblPrEx>
        <w:trPr>
          <w:trHeight w:val="285" w:hRule="atLeast"/>
          <w:jc w:val="center"/>
        </w:trPr>
        <w:tc>
          <w:tcPr>
            <w:tcW w:w="11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关联交易类别</w:t>
            </w:r>
          </w:p>
        </w:tc>
        <w:tc>
          <w:tcPr>
            <w:tcW w:w="70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关联人</w:t>
            </w:r>
          </w:p>
        </w:tc>
        <w:tc>
          <w:tcPr>
            <w:tcW w:w="91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关联交易内容</w:t>
            </w:r>
          </w:p>
        </w:tc>
        <w:tc>
          <w:tcPr>
            <w:tcW w:w="98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关联交易定价原则</w:t>
            </w:r>
          </w:p>
        </w:tc>
        <w:tc>
          <w:tcPr>
            <w:tcW w:w="72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2016年</w:t>
            </w:r>
          </w:p>
        </w:tc>
        <w:tc>
          <w:tcPr>
            <w:tcW w:w="80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2017年1-9月</w:t>
            </w:r>
          </w:p>
        </w:tc>
        <w:tc>
          <w:tcPr>
            <w:tcW w:w="130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2018年预计最高交易金额</w:t>
            </w:r>
          </w:p>
        </w:tc>
        <w:tc>
          <w:tcPr>
            <w:tcW w:w="130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2019年预计最高交易金额</w:t>
            </w:r>
          </w:p>
        </w:tc>
        <w:tc>
          <w:tcPr>
            <w:tcW w:w="130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2020年预计最高交易金额</w:t>
            </w:r>
          </w:p>
        </w:tc>
      </w:tr>
      <w:tr>
        <w:tblPrEx>
          <w:tblLayout w:type="fixed"/>
          <w:tblCellMar>
            <w:top w:w="0" w:type="dxa"/>
            <w:left w:w="108" w:type="dxa"/>
            <w:bottom w:w="0" w:type="dxa"/>
            <w:right w:w="108" w:type="dxa"/>
          </w:tblCellMar>
        </w:tblPrEx>
        <w:trPr>
          <w:trHeight w:val="285" w:hRule="atLeast"/>
          <w:jc w:val="center"/>
        </w:trPr>
        <w:tc>
          <w:tcPr>
            <w:tcW w:w="1163"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使用关联方商标</w:t>
            </w:r>
          </w:p>
        </w:tc>
        <w:tc>
          <w:tcPr>
            <w:tcW w:w="70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新华集团</w:t>
            </w:r>
          </w:p>
        </w:tc>
        <w:tc>
          <w:tcPr>
            <w:tcW w:w="91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商标使用费</w:t>
            </w:r>
          </w:p>
        </w:tc>
        <w:tc>
          <w:tcPr>
            <w:tcW w:w="98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协议价格</w:t>
            </w:r>
          </w:p>
        </w:tc>
        <w:tc>
          <w:tcPr>
            <w:tcW w:w="72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1,000</w:t>
            </w:r>
          </w:p>
        </w:tc>
        <w:tc>
          <w:tcPr>
            <w:tcW w:w="803"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707</w:t>
            </w:r>
          </w:p>
        </w:tc>
        <w:tc>
          <w:tcPr>
            <w:tcW w:w="130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1,000</w:t>
            </w:r>
          </w:p>
        </w:tc>
        <w:tc>
          <w:tcPr>
            <w:tcW w:w="130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1,000</w:t>
            </w:r>
          </w:p>
        </w:tc>
        <w:tc>
          <w:tcPr>
            <w:tcW w:w="130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1,000</w:t>
            </w:r>
          </w:p>
        </w:tc>
      </w:tr>
    </w:tbl>
    <w:p>
      <w:pPr>
        <w:spacing w:beforeLines="50"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（三）当年年初至披露日与前述关联人累计已发生的各类关联交易的金额</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本年年初至公告披露日公司及其附属公司与新华集团累计发生的各类关联交易的金额为人民币5,511.06万元。</w:t>
      </w:r>
    </w:p>
    <w:p>
      <w:pPr>
        <w:spacing w:beforeLines="50"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二、关联方基本情况</w:t>
      </w:r>
    </w:p>
    <w:p>
      <w:pPr>
        <w:spacing w:beforeLines="50"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（一）基本情况</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新华集团是经淄博市国有资产管理委员会以淄国资委[1995]1号文批准，在原山东新华制药厂的基础上于1995年6月15日成立的国有独资公司。注册资本为人民币29,850万元，统一社会信用代码为913703001641324721，注册地址为山东省淄博市张店区东一路14号，法定代表人为张代铭先生。其经营范围为：投资于建筑工程的设计、房地产开发、餐饮；包装装潢；化工机械设备、仪器、 仪表的制造、销售；化工产品销售；经营进出口业务。截至2016年12月31日，新华集团经审计的总资产为人民币48.37亿元，净资产为人民币21.34亿元，2016 年度的营业收入为人民币40.40亿元，归属于母公司所有者净利润为人民币4,443万元。</w:t>
      </w:r>
    </w:p>
    <w:p>
      <w:pPr>
        <w:spacing w:beforeLines="50"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（二）与上市公司的关联关系</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w:t>
      </w:r>
      <w:r>
        <w:rPr>
          <w:rFonts w:hint="eastAsia" w:ascii="Times New Roman" w:hAnsi="Times New Roman" w:cs="Times New Roman"/>
          <w:sz w:val="24"/>
          <w:szCs w:val="24"/>
        </w:rPr>
        <w:t>次</w:t>
      </w:r>
      <w:r>
        <w:rPr>
          <w:rFonts w:ascii="Times New Roman" w:hAnsi="Times New Roman" w:cs="Times New Roman"/>
          <w:sz w:val="24"/>
          <w:szCs w:val="24"/>
        </w:rPr>
        <w:t>关联交易所涉及的关联方为新华集团。新华集团为公司的直接控股股东，持有公司32.94%的股份。本交易符合香港联合交易所《证券上市规则》14A.76(2)和深圳证券交易所《股票上市规则》10.2.4条规定的关联关系的情形。</w:t>
      </w:r>
    </w:p>
    <w:p>
      <w:pPr>
        <w:spacing w:beforeLines="50"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（三）履约能力分析</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公司有能力向新华集团支付商标使用费。</w:t>
      </w:r>
    </w:p>
    <w:p>
      <w:pPr>
        <w:spacing w:beforeLines="50"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三、关联交易协议的主要内容和定价政策</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公司与新华集团于2017年10月30日续签补充协议，经公司董事会批准后生效。根据补充协议，公司使用“新华”牌商标的使用年费仍为人民币1,000万元，协议期限自2018年1月1日起至2020年12月31日止，公司应于每年6月30日或之前以现金方式向新华集团支付商标使用年费。商标许可协议的其它条款维持不变。</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商标使用年费的确定主要基于商标的品牌效应以及公司产品销售规模。</w:t>
      </w:r>
    </w:p>
    <w:p>
      <w:pPr>
        <w:spacing w:beforeLines="50"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四、关联交易的目的及对上市公司的影响</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通过上述日常关联交易，公司及/或其附属公司可以在国内外营销产品，且可在未来生产产品中继续使用该商标，从而对公司的持续经营发挥重要作用。上述日常关联交易是按正常商业条款在日常及一般业务过程中订立的，符合公司及全体股东的整体利益。</w:t>
      </w:r>
    </w:p>
    <w:p>
      <w:pPr>
        <w:spacing w:beforeLines="50"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五</w:t>
      </w:r>
      <w:r>
        <w:rPr>
          <w:rFonts w:hint="eastAsia" w:ascii="Times New Roman" w:hAnsi="Times New Roman" w:cs="Times New Roman"/>
          <w:b/>
          <w:sz w:val="24"/>
          <w:szCs w:val="24"/>
        </w:rPr>
        <w:t>、关联交易履行的程序</w:t>
      </w:r>
    </w:p>
    <w:p>
      <w:pPr>
        <w:spacing w:beforeLines="50"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次关联交易已经公司第八届董事会第十四次会议审议通过，关联董事回避表决。本次关联交易事项已获得公司独立董事的事前认可，并发表了同意的独立意见。本次关联交易事项属于公司董事会决策权限，不需要公司股东大会审议。</w:t>
      </w:r>
    </w:p>
    <w:p>
      <w:pPr>
        <w:spacing w:beforeLines="50" w:line="360" w:lineRule="auto"/>
        <w:ind w:firstLine="482" w:firstLineChars="200"/>
        <w:rPr>
          <w:rFonts w:ascii="Times New Roman" w:hAnsi="Times New Roman" w:cs="Times New Roman"/>
          <w:b/>
          <w:sz w:val="24"/>
          <w:szCs w:val="24"/>
        </w:rPr>
      </w:pPr>
      <w:r>
        <w:rPr>
          <w:rFonts w:hint="eastAsia" w:ascii="Times New Roman" w:hAnsi="Times New Roman" w:cs="Times New Roman"/>
          <w:b/>
          <w:sz w:val="24"/>
          <w:szCs w:val="24"/>
        </w:rPr>
        <w:t>六</w:t>
      </w:r>
      <w:r>
        <w:rPr>
          <w:rFonts w:ascii="Times New Roman" w:hAnsi="Times New Roman" w:cs="Times New Roman"/>
          <w:b/>
          <w:sz w:val="24"/>
          <w:szCs w:val="24"/>
        </w:rPr>
        <w:t>、保荐机构的意见</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经核查，保荐机构认为：新华制药上述关联交易程序符合国家有关法律法规、香港联合交易所《证券上市规则》、深圳证券交易所《股票上市规则》和《公司章程》的规定，</w:t>
      </w:r>
      <w:r>
        <w:rPr>
          <w:rFonts w:hint="eastAsia" w:ascii="Times New Roman" w:hAnsi="Times New Roman" w:cs="Times New Roman"/>
          <w:sz w:val="24"/>
          <w:szCs w:val="24"/>
        </w:rPr>
        <w:t>关联交易已经公司第八届董事会第十四次会议审议通过，独立董事事前认可并发表同意的独立意见，不需要公司股东大会审议，履行了必要的决策程序。</w:t>
      </w:r>
      <w:r>
        <w:rPr>
          <w:rFonts w:ascii="Times New Roman" w:hAnsi="Times New Roman" w:cs="Times New Roman"/>
          <w:sz w:val="24"/>
          <w:szCs w:val="24"/>
        </w:rPr>
        <w:t>使用“新华”商标交易为公司日常业务，是生产经营所必需，交易价格系按照一般商业条款达成，符合公平合理的原则，日常关联交易额度预计合理，不存在损害公司和非关联方股东及中小股东利益的行为。</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综上所述，中泰证券对新华制药本次关联交易事项无异议。</w:t>
      </w:r>
    </w:p>
    <w:p>
      <w:pPr>
        <w:spacing w:before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（以下无正文）</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rPr>
          <w:rFonts w:ascii="Times New Roman" w:hAnsi="Times New Roman" w:cs="Times New Roman"/>
          <w:sz w:val="24"/>
          <w:szCs w:val="24"/>
        </w:rPr>
      </w:pPr>
      <w:r>
        <w:drawing>
          <wp:anchor distT="0" distB="0" distL="114300" distR="114300" simplePos="0" relativeHeight="251658240" behindDoc="0" locked="0" layoutInCell="1" allowOverlap="1">
            <wp:simplePos x="0" y="0"/>
            <wp:positionH relativeFrom="column">
              <wp:posOffset>-1162050</wp:posOffset>
            </wp:positionH>
            <wp:positionV relativeFrom="paragraph">
              <wp:posOffset>-914400</wp:posOffset>
            </wp:positionV>
            <wp:extent cx="7572375" cy="106965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2197" cy="10696324"/>
                    </a:xfrm>
                    <a:prstGeom prst="rect">
                      <a:avLst/>
                    </a:prstGeom>
                  </pic:spPr>
                </pic:pic>
              </a:graphicData>
            </a:graphic>
          </wp:anchor>
        </w:drawing>
      </w:r>
      <w:r>
        <w:rPr>
          <w:rFonts w:ascii="Times New Roman" w:hAnsi="Times New Roman" w:cs="Times New Roman"/>
          <w:sz w:val="24"/>
          <w:szCs w:val="24"/>
        </w:rPr>
        <w:t>（本页无正文，为《中泰证券股份有限公司关于山东新华制药股份有限公司商标使用费的日常关联交易预计事项的核查意见》之签署页）</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u w:val="single"/>
        </w:rPr>
      </w:pPr>
      <w:r>
        <w:rPr>
          <w:rFonts w:ascii="Times New Roman" w:hAnsi="Times New Roman" w:cs="Times New Roman"/>
          <w:sz w:val="24"/>
          <w:szCs w:val="24"/>
        </w:rPr>
        <w:t>保荐代表人：</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战肖华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王庆刚</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right"/>
        <w:rPr>
          <w:rFonts w:ascii="Times New Roman" w:hAnsi="Times New Roman" w:cs="Times New Roman"/>
          <w:sz w:val="24"/>
          <w:szCs w:val="24"/>
        </w:rPr>
      </w:pPr>
    </w:p>
    <w:p>
      <w:pPr>
        <w:spacing w:line="360" w:lineRule="auto"/>
        <w:jc w:val="right"/>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中泰证券股份有限公司</w:t>
      </w:r>
    </w:p>
    <w:p>
      <w:pPr>
        <w:spacing w:line="360" w:lineRule="auto"/>
        <w:jc w:val="right"/>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年    月    日 </w:t>
      </w:r>
    </w:p>
    <w:p>
      <w:pPr>
        <w:widowControl/>
        <w:jc w:val="left"/>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PMingLiU">
    <w:panose1 w:val="02020500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6F2D"/>
    <w:rsid w:val="00002278"/>
    <w:rsid w:val="00027338"/>
    <w:rsid w:val="0004261F"/>
    <w:rsid w:val="00076EB5"/>
    <w:rsid w:val="000C0701"/>
    <w:rsid w:val="000C1382"/>
    <w:rsid w:val="002308BF"/>
    <w:rsid w:val="00250AC6"/>
    <w:rsid w:val="002660B2"/>
    <w:rsid w:val="002C5A31"/>
    <w:rsid w:val="002D4CE0"/>
    <w:rsid w:val="0034161B"/>
    <w:rsid w:val="00536E2B"/>
    <w:rsid w:val="005475F4"/>
    <w:rsid w:val="00561DFF"/>
    <w:rsid w:val="005E37F9"/>
    <w:rsid w:val="005E6FFC"/>
    <w:rsid w:val="00606F2D"/>
    <w:rsid w:val="0064188E"/>
    <w:rsid w:val="00647143"/>
    <w:rsid w:val="00683FC0"/>
    <w:rsid w:val="006A5147"/>
    <w:rsid w:val="006A65B8"/>
    <w:rsid w:val="006D54B1"/>
    <w:rsid w:val="006E2954"/>
    <w:rsid w:val="006F744E"/>
    <w:rsid w:val="00742B8A"/>
    <w:rsid w:val="00762FB9"/>
    <w:rsid w:val="007E0300"/>
    <w:rsid w:val="00852E38"/>
    <w:rsid w:val="008B7CA7"/>
    <w:rsid w:val="008C002D"/>
    <w:rsid w:val="009109F4"/>
    <w:rsid w:val="009A547E"/>
    <w:rsid w:val="009C7384"/>
    <w:rsid w:val="00A62026"/>
    <w:rsid w:val="00A90227"/>
    <w:rsid w:val="00AC03E1"/>
    <w:rsid w:val="00B05AF6"/>
    <w:rsid w:val="00B1743B"/>
    <w:rsid w:val="00B2426A"/>
    <w:rsid w:val="00B26335"/>
    <w:rsid w:val="00CA26E0"/>
    <w:rsid w:val="00D010D0"/>
    <w:rsid w:val="00D305DB"/>
    <w:rsid w:val="00D46459"/>
    <w:rsid w:val="00D72D90"/>
    <w:rsid w:val="00D95AB9"/>
    <w:rsid w:val="00DA2488"/>
    <w:rsid w:val="00F12431"/>
    <w:rsid w:val="5BE41AB7"/>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479</Words>
  <Characters>2735</Characters>
  <Lines>22</Lines>
  <Paragraphs>6</Paragraphs>
  <TotalTime>0</TotalTime>
  <ScaleCrop>false</ScaleCrop>
  <LinksUpToDate>false</LinksUpToDate>
  <CharactersWithSpaces>3208</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2017-11-10T05:24:00Z</dcterms:created>
  <dc:creator>lenovo</dc:creator>
  <cp:lastModifiedBy>曹长求</cp:lastModifiedBy>
  <cp:lastPrinted>2017-11-08T08:57:00Z</cp:lastPrinted>
  <dcterms:modified xsi:type="dcterms:W3CDTF">2017-11-10T08:24:23Z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