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0A6DCE" w:rsidP="00FA3D02">
      <w:pPr>
        <w:autoSpaceDE w:val="0"/>
        <w:autoSpaceDN w:val="0"/>
        <w:adjustRightInd w:val="0"/>
        <w:rPr>
          <w:rFonts w:ascii="宋体" w:hAnsi="宋体"/>
          <w:color w:val="231F20"/>
          <w:kern w:val="0"/>
          <w:sz w:val="28"/>
          <w:szCs w:val="18"/>
          <w:lang w:eastAsia="zh-TW"/>
        </w:rPr>
      </w:pPr>
      <w:r w:rsidRPr="000A6DCE">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7163AC"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w:t>
      </w:r>
      <w:r w:rsidR="00252E49" w:rsidRPr="007708CF">
        <w:rPr>
          <w:rFonts w:ascii="宋体" w:eastAsia="PMingLiU" w:hAnsi="宋体" w:hint="eastAsia"/>
          <w:color w:val="231F20"/>
          <w:kern w:val="0"/>
          <w:szCs w:val="21"/>
          <w:lang w:eastAsia="zh-TW"/>
        </w:rPr>
        <w:t>新華</w:t>
      </w:r>
      <w:r w:rsidR="00252E49">
        <w:rPr>
          <w:rFonts w:ascii="宋体" w:eastAsia="PMingLiU" w:hAnsi="宋体" w:hint="eastAsia"/>
          <w:color w:val="231F20"/>
          <w:kern w:val="0"/>
          <w:szCs w:val="21"/>
          <w:lang w:eastAsia="zh-TW"/>
        </w:rPr>
        <w:t>製</w:t>
      </w:r>
      <w:r w:rsidR="00252E49" w:rsidRPr="007708CF">
        <w:rPr>
          <w:rFonts w:ascii="宋体" w:eastAsia="PMingLiU" w:hAnsi="宋体" w:hint="eastAsia"/>
          <w:color w:val="231F20"/>
          <w:kern w:val="0"/>
          <w:szCs w:val="21"/>
          <w:lang w:eastAsia="zh-TW"/>
        </w:rPr>
        <w:t>藥股份有限公司（「本公司」）將於</w:t>
      </w:r>
      <w:r w:rsidR="00252E49" w:rsidRPr="007708CF">
        <w:rPr>
          <w:rFonts w:ascii="宋体" w:eastAsia="PMingLiU" w:hAnsi="宋体"/>
          <w:color w:val="231F20"/>
          <w:kern w:val="0"/>
          <w:szCs w:val="21"/>
          <w:lang w:eastAsia="zh-TW"/>
        </w:rPr>
        <w:t>20</w:t>
      </w:r>
      <w:r w:rsidR="00252E49" w:rsidRPr="00B45245">
        <w:rPr>
          <w:rFonts w:ascii="宋体" w:eastAsia="PMingLiU" w:hAnsi="宋体"/>
          <w:color w:val="231F20"/>
          <w:kern w:val="0"/>
          <w:szCs w:val="21"/>
          <w:lang w:eastAsia="zh-TW"/>
        </w:rPr>
        <w:t>1</w:t>
      </w:r>
      <w:r w:rsidR="00252E49" w:rsidRPr="007163AC">
        <w:rPr>
          <w:rFonts w:ascii="宋体" w:eastAsia="PMingLiU" w:hAnsi="宋体"/>
          <w:color w:val="231F20"/>
          <w:kern w:val="0"/>
          <w:szCs w:val="21"/>
          <w:lang w:eastAsia="zh-TW"/>
        </w:rPr>
        <w:t>7</w:t>
      </w:r>
      <w:r w:rsidR="00252E49" w:rsidRPr="007708CF">
        <w:rPr>
          <w:rFonts w:ascii="宋体" w:eastAsia="PMingLiU" w:hAnsi="宋体" w:hint="eastAsia"/>
          <w:color w:val="231F20"/>
          <w:kern w:val="0"/>
          <w:szCs w:val="21"/>
          <w:lang w:eastAsia="zh-TW"/>
        </w:rPr>
        <w:t>年</w:t>
      </w:r>
      <w:r w:rsidR="00252E49" w:rsidRPr="00252E49">
        <w:rPr>
          <w:rFonts w:ascii="宋体" w:eastAsia="PMingLiU" w:hAnsi="宋体"/>
          <w:color w:val="231F20"/>
          <w:kern w:val="0"/>
          <w:szCs w:val="21"/>
          <w:lang w:eastAsia="zh-TW"/>
        </w:rPr>
        <w:t>10</w:t>
      </w:r>
      <w:r w:rsidR="00252E49" w:rsidRPr="007708CF">
        <w:rPr>
          <w:rFonts w:ascii="宋体" w:eastAsia="PMingLiU" w:hAnsi="宋体" w:hint="eastAsia"/>
          <w:color w:val="231F20"/>
          <w:kern w:val="0"/>
          <w:szCs w:val="21"/>
          <w:lang w:eastAsia="zh-TW"/>
        </w:rPr>
        <w:t>月</w:t>
      </w:r>
      <w:r w:rsidR="00252E49">
        <w:rPr>
          <w:rFonts w:ascii="宋体" w:eastAsia="PMingLiU" w:hAnsi="宋体"/>
          <w:color w:val="231F20"/>
          <w:kern w:val="0"/>
          <w:szCs w:val="21"/>
          <w:lang w:eastAsia="zh-TW"/>
        </w:rPr>
        <w:t>1</w:t>
      </w:r>
      <w:r w:rsidR="00252E49" w:rsidRPr="00252E49">
        <w:rPr>
          <w:rFonts w:ascii="宋体" w:eastAsia="PMingLiU" w:hAnsi="宋体"/>
          <w:color w:val="231F20"/>
          <w:kern w:val="0"/>
          <w:szCs w:val="21"/>
          <w:lang w:eastAsia="zh-TW"/>
        </w:rPr>
        <w:t>9</w:t>
      </w:r>
      <w:r w:rsidR="00252E49" w:rsidRPr="007708CF">
        <w:rPr>
          <w:rFonts w:ascii="宋体" w:eastAsia="PMingLiU" w:hAnsi="宋体" w:hint="eastAsia"/>
          <w:color w:val="231F20"/>
          <w:kern w:val="0"/>
          <w:szCs w:val="21"/>
          <w:lang w:eastAsia="zh-TW"/>
        </w:rPr>
        <w:t>日在巨潮資訊網（</w:t>
      </w:r>
      <w:hyperlink r:id="rId8" w:history="1">
        <w:r w:rsidR="00252E49" w:rsidRPr="007708CF">
          <w:rPr>
            <w:rStyle w:val="a8"/>
            <w:rFonts w:ascii="宋体" w:eastAsia="PMingLiU" w:hAnsi="宋体"/>
            <w:kern w:val="0"/>
            <w:szCs w:val="21"/>
            <w:lang w:eastAsia="zh-TW"/>
          </w:rPr>
          <w:t>http://www.cninfo.com.cn</w:t>
        </w:r>
      </w:hyperlink>
      <w:r w:rsidR="00252E49" w:rsidRPr="007708CF">
        <w:rPr>
          <w:rFonts w:ascii="宋体" w:eastAsia="PMingLiU" w:hAnsi="宋体" w:hint="eastAsia"/>
          <w:color w:val="231F20"/>
          <w:kern w:val="0"/>
          <w:szCs w:val="21"/>
          <w:lang w:eastAsia="zh-TW"/>
        </w:rPr>
        <w:t>）刊登本公司</w:t>
      </w:r>
      <w:r w:rsidR="00252E49">
        <w:rPr>
          <w:rFonts w:ascii="宋体" w:eastAsia="PMingLiU" w:hAnsi="宋体" w:hint="eastAsia"/>
          <w:color w:val="231F20"/>
          <w:kern w:val="0"/>
          <w:szCs w:val="21"/>
          <w:lang w:eastAsia="zh-TW"/>
        </w:rPr>
        <w:t>《</w:t>
      </w:r>
      <w:r w:rsidR="00252E49" w:rsidRPr="00252E49">
        <w:rPr>
          <w:rFonts w:ascii="宋体" w:eastAsia="PMingLiU" w:hAnsi="宋体" w:hint="eastAsia"/>
          <w:color w:val="231F20"/>
          <w:kern w:val="0"/>
          <w:szCs w:val="21"/>
          <w:lang w:eastAsia="zh-TW"/>
        </w:rPr>
        <w:t>山東新華製藥股份有限公司關於簽訂募集資金專戶存儲三方監管協議的公告</w:t>
      </w:r>
      <w:r w:rsidR="00252E49" w:rsidRPr="00BE207E">
        <w:rPr>
          <w:rFonts w:ascii="宋体" w:eastAsia="PMingLiU" w:hAnsi="宋体" w:hint="eastAsia"/>
          <w:color w:val="231F20"/>
          <w:kern w:val="0"/>
          <w:szCs w:val="21"/>
          <w:lang w:eastAsia="zh-TW"/>
        </w:rPr>
        <w:t>》</w:t>
      </w:r>
      <w:r w:rsidR="00252E49" w:rsidRPr="007708CF">
        <w:rPr>
          <w:rFonts w:ascii="宋体" w:eastAsia="PMingLiU" w:hAnsi="宋体" w:hint="eastAsia"/>
          <w:color w:val="231F20"/>
          <w:kern w:val="0"/>
          <w:szCs w:val="21"/>
          <w:lang w:eastAsia="zh-TW"/>
        </w:rPr>
        <w:t>，茲載列有關</w:t>
      </w:r>
      <w:r w:rsidR="00252E49" w:rsidRPr="00EF7938">
        <w:rPr>
          <w:rFonts w:ascii="宋体" w:eastAsia="PMingLiU" w:hAnsi="宋体" w:hint="eastAsia"/>
          <w:color w:val="231F20"/>
          <w:kern w:val="0"/>
          <w:szCs w:val="21"/>
          <w:lang w:eastAsia="zh-TW"/>
        </w:rPr>
        <w:t>文</w:t>
      </w:r>
      <w:r w:rsidR="00252E49"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252E49"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252E49"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252E49" w:rsidP="00D13A68">
      <w:pPr>
        <w:autoSpaceDE w:val="0"/>
        <w:autoSpaceDN w:val="0"/>
        <w:adjustRightInd w:val="0"/>
        <w:ind w:right="420" w:firstLineChars="3800" w:firstLine="798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252E49" w:rsidP="00D13A68">
      <w:pPr>
        <w:autoSpaceDE w:val="0"/>
        <w:autoSpaceDN w:val="0"/>
        <w:adjustRightInd w:val="0"/>
        <w:ind w:right="420" w:firstLineChars="3800" w:firstLine="798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252E49"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252E49">
        <w:rPr>
          <w:rFonts w:ascii="宋体" w:eastAsia="PMingLiU" w:hAnsi="宋体" w:hint="eastAsia"/>
          <w:color w:val="231F20"/>
          <w:kern w:val="0"/>
          <w:szCs w:val="21"/>
          <w:lang w:eastAsia="zh-TW"/>
        </w:rPr>
        <w:t>十</w:t>
      </w:r>
      <w:r w:rsidRPr="007708CF">
        <w:rPr>
          <w:rFonts w:ascii="宋体" w:eastAsia="PMingLiU" w:hAnsi="宋体" w:hint="eastAsia"/>
          <w:color w:val="231F20"/>
          <w:kern w:val="0"/>
          <w:szCs w:val="21"/>
          <w:lang w:eastAsia="zh-TW"/>
        </w:rPr>
        <w:t>月</w:t>
      </w:r>
      <w:r>
        <w:rPr>
          <w:rFonts w:ascii="宋体" w:eastAsia="PMingLiU" w:hAnsi="宋体" w:hint="eastAsia"/>
          <w:color w:val="231F20"/>
          <w:kern w:val="0"/>
          <w:szCs w:val="21"/>
          <w:lang w:eastAsia="zh-TW"/>
        </w:rPr>
        <w:t>十</w:t>
      </w:r>
      <w:r w:rsidRPr="00252E49">
        <w:rPr>
          <w:rFonts w:ascii="宋体" w:eastAsia="PMingLiU" w:hAnsi="宋体" w:hint="eastAsia"/>
          <w:color w:val="231F20"/>
          <w:kern w:val="0"/>
          <w:szCs w:val="21"/>
          <w:lang w:eastAsia="zh-TW"/>
        </w:rPr>
        <w:t>八</w:t>
      </w:r>
      <w:r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0A6DCE"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831310" w:rsidRDefault="00831310" w:rsidP="00FA3D02">
                  <w:pPr>
                    <w:rPr>
                      <w:sz w:val="16"/>
                      <w:szCs w:val="16"/>
                    </w:rPr>
                  </w:pPr>
                </w:p>
              </w:txbxContent>
            </v:textbox>
          </v:shape>
        </w:pict>
      </w:r>
      <w:r w:rsidR="00252E49">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FA3D02" w:rsidRDefault="00FA3D02" w:rsidP="00FA3D02"/>
    <w:p w:rsidR="00753BFB" w:rsidRDefault="00753BFB" w:rsidP="00753BFB">
      <w:pPr>
        <w:spacing w:before="400"/>
        <w:rPr>
          <w:kern w:val="0"/>
        </w:rPr>
      </w:pPr>
    </w:p>
    <w:p w:rsidR="00B646FD" w:rsidRDefault="00B646FD" w:rsidP="00252E49">
      <w:pPr>
        <w:pStyle w:val="Default"/>
        <w:spacing w:line="288" w:lineRule="auto"/>
        <w:jc w:val="center"/>
        <w:rPr>
          <w:rFonts w:asciiTheme="minorEastAsia" w:eastAsiaTheme="minorEastAsia" w:hAnsiTheme="minorEastAsia" w:hint="eastAsia"/>
        </w:rPr>
      </w:pPr>
    </w:p>
    <w:p w:rsidR="00252E49" w:rsidRPr="00B646FD" w:rsidRDefault="00252E49" w:rsidP="00252E49">
      <w:pPr>
        <w:pStyle w:val="Default"/>
        <w:spacing w:line="288" w:lineRule="auto"/>
        <w:jc w:val="center"/>
        <w:rPr>
          <w:rFonts w:asciiTheme="minorEastAsia" w:eastAsiaTheme="minorEastAsia" w:hAnsiTheme="minorEastAsia" w:cs="Times New Roman"/>
        </w:rPr>
      </w:pPr>
      <w:r w:rsidRPr="00B646FD">
        <w:rPr>
          <w:rFonts w:asciiTheme="minorEastAsia" w:eastAsiaTheme="minorEastAsia" w:hAnsiTheme="minorEastAsia" w:hint="eastAsia"/>
        </w:rPr>
        <w:lastRenderedPageBreak/>
        <w:t>证券代码：</w:t>
      </w:r>
      <w:r w:rsidRPr="00B646FD">
        <w:rPr>
          <w:rFonts w:asciiTheme="minorEastAsia" w:eastAsiaTheme="minorEastAsia" w:hAnsiTheme="minorEastAsia" w:cs="Times New Roman"/>
        </w:rPr>
        <w:t>000756</w:t>
      </w:r>
      <w:r w:rsidRPr="00B646FD">
        <w:rPr>
          <w:rFonts w:asciiTheme="minorEastAsia" w:eastAsiaTheme="minorEastAsia" w:hAnsiTheme="minorEastAsia" w:cs="Times New Roman" w:hint="eastAsia"/>
        </w:rPr>
        <w:tab/>
      </w:r>
      <w:r w:rsidRPr="00B646FD">
        <w:rPr>
          <w:rFonts w:asciiTheme="minorEastAsia" w:eastAsiaTheme="minorEastAsia" w:hAnsiTheme="minorEastAsia" w:cs="Times New Roman" w:hint="eastAsia"/>
        </w:rPr>
        <w:tab/>
      </w:r>
      <w:r w:rsidRPr="00B646FD">
        <w:rPr>
          <w:rFonts w:asciiTheme="minorEastAsia" w:eastAsiaTheme="minorEastAsia" w:hAnsiTheme="minorEastAsia" w:cs="Times New Roman" w:hint="eastAsia"/>
        </w:rPr>
        <w:tab/>
      </w:r>
      <w:r w:rsidRPr="00B646FD">
        <w:rPr>
          <w:rFonts w:asciiTheme="minorEastAsia" w:eastAsiaTheme="minorEastAsia" w:hAnsiTheme="minorEastAsia" w:hint="eastAsia"/>
        </w:rPr>
        <w:t>证券简称：新华制药</w:t>
      </w:r>
      <w:r w:rsidRPr="00B646FD">
        <w:rPr>
          <w:rFonts w:asciiTheme="minorEastAsia" w:eastAsiaTheme="minorEastAsia" w:hAnsiTheme="minorEastAsia" w:hint="eastAsia"/>
        </w:rPr>
        <w:tab/>
      </w:r>
      <w:r w:rsidRPr="00B646FD">
        <w:rPr>
          <w:rFonts w:asciiTheme="minorEastAsia" w:eastAsiaTheme="minorEastAsia" w:hAnsiTheme="minorEastAsia" w:hint="eastAsia"/>
        </w:rPr>
        <w:tab/>
      </w:r>
      <w:r w:rsidRPr="00B646FD">
        <w:rPr>
          <w:rFonts w:asciiTheme="minorEastAsia" w:eastAsiaTheme="minorEastAsia" w:hAnsiTheme="minorEastAsia" w:hint="eastAsia"/>
        </w:rPr>
        <w:tab/>
        <w:t>公告编号：</w:t>
      </w:r>
      <w:r w:rsidRPr="00B646FD">
        <w:rPr>
          <w:rFonts w:asciiTheme="minorEastAsia" w:eastAsiaTheme="minorEastAsia" w:hAnsiTheme="minorEastAsia" w:cs="Times New Roman"/>
        </w:rPr>
        <w:t>201</w:t>
      </w:r>
      <w:r w:rsidRPr="00B646FD">
        <w:rPr>
          <w:rFonts w:asciiTheme="minorEastAsia" w:eastAsiaTheme="minorEastAsia" w:hAnsiTheme="minorEastAsia" w:cs="Times New Roman" w:hint="eastAsia"/>
        </w:rPr>
        <w:t>7</w:t>
      </w:r>
      <w:r w:rsidRPr="00B646FD">
        <w:rPr>
          <w:rFonts w:asciiTheme="minorEastAsia" w:eastAsiaTheme="minorEastAsia" w:hAnsiTheme="minorEastAsia" w:cs="Times New Roman"/>
        </w:rPr>
        <w:t>-</w:t>
      </w:r>
      <w:r w:rsidRPr="00B646FD">
        <w:rPr>
          <w:rFonts w:asciiTheme="minorEastAsia" w:eastAsiaTheme="minorEastAsia" w:hAnsiTheme="minorEastAsia" w:cs="Times New Roman" w:hint="eastAsia"/>
        </w:rPr>
        <w:t>24</w:t>
      </w:r>
    </w:p>
    <w:p w:rsidR="00252E49" w:rsidRPr="00B646FD" w:rsidRDefault="00252E49" w:rsidP="00252E49">
      <w:pPr>
        <w:pStyle w:val="Default"/>
        <w:spacing w:line="288" w:lineRule="auto"/>
        <w:jc w:val="center"/>
        <w:rPr>
          <w:rFonts w:asciiTheme="minorEastAsia" w:eastAsiaTheme="minorEastAsia" w:hAnsiTheme="minorEastAsia"/>
        </w:rPr>
      </w:pPr>
    </w:p>
    <w:p w:rsidR="00252E49" w:rsidRPr="00B646FD" w:rsidRDefault="00252E49" w:rsidP="00252E49">
      <w:pPr>
        <w:pStyle w:val="Default"/>
        <w:spacing w:line="288" w:lineRule="auto"/>
        <w:jc w:val="center"/>
        <w:rPr>
          <w:rFonts w:asciiTheme="minorEastAsia" w:eastAsiaTheme="minorEastAsia" w:hAnsiTheme="minorEastAsia"/>
          <w:b/>
        </w:rPr>
      </w:pPr>
    </w:p>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山东新华制药股份有限公司</w:t>
      </w:r>
    </w:p>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关于签订募集资金专户存储三方监管协议的公告</w:t>
      </w:r>
    </w:p>
    <w:p w:rsidR="00252E49" w:rsidRPr="00B646FD" w:rsidRDefault="00252E49" w:rsidP="00252E49">
      <w:pPr>
        <w:pStyle w:val="Default"/>
        <w:spacing w:line="288" w:lineRule="auto"/>
        <w:jc w:val="center"/>
        <w:rPr>
          <w:rFonts w:asciiTheme="minorEastAsia" w:eastAsiaTheme="minorEastAsia" w:hAnsiTheme="minorEastAsia"/>
        </w:rPr>
      </w:pP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本公司及董事会全体成员保证信息披露的内容真实、准确和完整，没有虚假记载、误导性陈述或重大遗漏。</w:t>
      </w:r>
    </w:p>
    <w:p w:rsidR="00252E49" w:rsidRPr="00B646FD" w:rsidRDefault="00252E49" w:rsidP="00252E49">
      <w:pPr>
        <w:pStyle w:val="Default"/>
        <w:spacing w:line="288" w:lineRule="auto"/>
        <w:rPr>
          <w:rFonts w:asciiTheme="minorEastAsia" w:eastAsiaTheme="minorEastAsia" w:hAnsiTheme="minorEastAsia"/>
        </w:rPr>
      </w:pPr>
    </w:p>
    <w:p w:rsidR="00252E49" w:rsidRPr="00B646FD" w:rsidRDefault="00252E49" w:rsidP="00B646FD">
      <w:pPr>
        <w:pStyle w:val="Default"/>
        <w:spacing w:line="288" w:lineRule="auto"/>
        <w:ind w:firstLineChars="200" w:firstLine="482"/>
        <w:rPr>
          <w:rFonts w:asciiTheme="minorEastAsia" w:eastAsiaTheme="minorEastAsia" w:hAnsiTheme="minorEastAsia"/>
          <w:b/>
        </w:rPr>
      </w:pPr>
      <w:r w:rsidRPr="00B646FD">
        <w:rPr>
          <w:rFonts w:asciiTheme="minorEastAsia" w:eastAsiaTheme="minorEastAsia" w:hAnsiTheme="minorEastAsia" w:hint="eastAsia"/>
          <w:b/>
        </w:rPr>
        <w:t>一、募集资金基本情况</w:t>
      </w:r>
    </w:p>
    <w:p w:rsidR="00252E49" w:rsidRPr="00B646FD" w:rsidRDefault="00252E49" w:rsidP="00252E49">
      <w:pPr>
        <w:pStyle w:val="Default"/>
        <w:spacing w:line="288" w:lineRule="auto"/>
        <w:ind w:firstLineChars="200" w:firstLine="480"/>
        <w:rPr>
          <w:rFonts w:asciiTheme="minorEastAsia" w:eastAsiaTheme="minorEastAsia" w:hAnsiTheme="minorEastAsia"/>
        </w:rPr>
      </w:pP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r w:rsidRPr="00B646FD">
        <w:rPr>
          <w:rFonts w:asciiTheme="minorEastAsia" w:eastAsiaTheme="minorEastAsia" w:hAnsiTheme="minorEastAsia" w:hint="eastAsia"/>
        </w:rPr>
        <w:t>山东新华制药股份有限公司（以下称公司）经中国证券监督管理委员会（以下称中国证监会）《关于核准山东新华制药股份有限公司非公开发行股票的批复》（证监许可[2017]459号）核准，并经深圳证券交易所同意，非公开发行A</w:t>
      </w:r>
      <w:proofErr w:type="gramStart"/>
      <w:r w:rsidRPr="00B646FD">
        <w:rPr>
          <w:rFonts w:asciiTheme="minorEastAsia" w:eastAsiaTheme="minorEastAsia" w:hAnsiTheme="minorEastAsia" w:hint="eastAsia"/>
        </w:rPr>
        <w:t>股</w:t>
      </w:r>
      <w:proofErr w:type="gramEnd"/>
      <w:r w:rsidRPr="00B646FD">
        <w:rPr>
          <w:rFonts w:asciiTheme="minorEastAsia" w:eastAsiaTheme="minorEastAsia" w:hAnsiTheme="minorEastAsia" w:hint="eastAsia"/>
        </w:rPr>
        <w:t>股票普通股</w:t>
      </w:r>
      <w:r w:rsidRPr="00B646FD">
        <w:rPr>
          <w:rFonts w:asciiTheme="minorEastAsia" w:eastAsiaTheme="minorEastAsia" w:hAnsiTheme="minorEastAsia"/>
        </w:rPr>
        <w:t>21,040,591</w:t>
      </w:r>
      <w:r w:rsidRPr="00B646FD">
        <w:rPr>
          <w:rFonts w:asciiTheme="minorEastAsia" w:eastAsiaTheme="minorEastAsia" w:hAnsiTheme="minorEastAsia" w:hint="eastAsia"/>
        </w:rPr>
        <w:t>股，发行价格11.15元/股，募集资金总额</w:t>
      </w:r>
      <w:r w:rsidRPr="00B646FD">
        <w:rPr>
          <w:rFonts w:asciiTheme="minorEastAsia" w:eastAsiaTheme="minorEastAsia" w:hAnsiTheme="minorEastAsia"/>
        </w:rPr>
        <w:t>234,602,589.65</w:t>
      </w:r>
      <w:r w:rsidRPr="00B646FD">
        <w:rPr>
          <w:rFonts w:asciiTheme="minorEastAsia" w:eastAsiaTheme="minorEastAsia" w:hAnsiTheme="minorEastAsia" w:hint="eastAsia"/>
        </w:rPr>
        <w:t>元，扣除保荐承销费及其他发行费用</w:t>
      </w:r>
      <w:r w:rsidRPr="00B646FD">
        <w:rPr>
          <w:rFonts w:asciiTheme="minorEastAsia" w:eastAsiaTheme="minorEastAsia" w:hAnsiTheme="minorEastAsia"/>
        </w:rPr>
        <w:t>11,204,126.37</w:t>
      </w:r>
      <w:r w:rsidRPr="00B646FD">
        <w:rPr>
          <w:rFonts w:asciiTheme="minorEastAsia" w:eastAsiaTheme="minorEastAsia" w:hAnsiTheme="minorEastAsia" w:hint="eastAsia"/>
        </w:rPr>
        <w:t>元，实际募集资金净额为人民币</w:t>
      </w:r>
      <w:r w:rsidRPr="00B646FD">
        <w:rPr>
          <w:rFonts w:asciiTheme="minorEastAsia" w:eastAsiaTheme="minorEastAsia" w:hAnsiTheme="minorEastAsia"/>
        </w:rPr>
        <w:t>223,398,463.28</w:t>
      </w:r>
      <w:r w:rsidRPr="00B646FD">
        <w:rPr>
          <w:rFonts w:asciiTheme="minorEastAsia" w:eastAsiaTheme="minorEastAsia" w:hAnsiTheme="minorEastAsia" w:hint="eastAsia"/>
        </w:rPr>
        <w:t>元。上述资金到位情况已经</w:t>
      </w:r>
      <w:proofErr w:type="gramStart"/>
      <w:r w:rsidRPr="00B646FD">
        <w:rPr>
          <w:rFonts w:asciiTheme="minorEastAsia" w:eastAsiaTheme="minorEastAsia" w:hAnsiTheme="minorEastAsia" w:hint="eastAsia"/>
        </w:rPr>
        <w:t>由信永中和</w:t>
      </w:r>
      <w:proofErr w:type="gramEnd"/>
      <w:r w:rsidRPr="00B646FD">
        <w:rPr>
          <w:rFonts w:asciiTheme="minorEastAsia" w:eastAsiaTheme="minorEastAsia" w:hAnsiTheme="minorEastAsia" w:hint="eastAsia"/>
        </w:rPr>
        <w:t>会计师事务所（特殊普通合伙）验证，并出具</w:t>
      </w:r>
      <w:r w:rsidRPr="00B646FD">
        <w:rPr>
          <w:rFonts w:asciiTheme="minorEastAsia" w:eastAsiaTheme="minorEastAsia" w:hAnsiTheme="minorEastAsia"/>
        </w:rPr>
        <w:t>XYZH/2017JNA50532</w:t>
      </w:r>
      <w:r w:rsidRPr="00B646FD">
        <w:rPr>
          <w:rFonts w:asciiTheme="minorEastAsia" w:eastAsiaTheme="minorEastAsia" w:hAnsiTheme="minorEastAsia" w:hint="eastAsia"/>
        </w:rPr>
        <w:t>号《验资报告》。</w:t>
      </w: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p>
    <w:p w:rsidR="00252E49" w:rsidRPr="00B646FD" w:rsidRDefault="00252E49" w:rsidP="00B646FD">
      <w:pPr>
        <w:pStyle w:val="Default"/>
        <w:spacing w:line="288" w:lineRule="auto"/>
        <w:ind w:firstLineChars="200" w:firstLine="482"/>
        <w:rPr>
          <w:rFonts w:asciiTheme="minorEastAsia" w:eastAsiaTheme="minorEastAsia" w:hAnsiTheme="minorEastAsia"/>
          <w:b/>
        </w:rPr>
      </w:pPr>
      <w:r w:rsidRPr="00B646FD">
        <w:rPr>
          <w:rFonts w:asciiTheme="minorEastAsia" w:eastAsiaTheme="minorEastAsia" w:hAnsiTheme="minorEastAsia" w:hint="eastAsia"/>
          <w:b/>
        </w:rPr>
        <w:t>二、《募集资金专户存储三方监管协议》的签订情况和募集资金专户的开立情况</w:t>
      </w:r>
    </w:p>
    <w:p w:rsidR="00252E49" w:rsidRPr="00B646FD" w:rsidRDefault="00252E49" w:rsidP="00252E49">
      <w:pPr>
        <w:pStyle w:val="Default"/>
        <w:spacing w:line="288" w:lineRule="auto"/>
        <w:ind w:firstLineChars="200" w:firstLine="480"/>
        <w:rPr>
          <w:rFonts w:asciiTheme="minorEastAsia" w:eastAsiaTheme="minorEastAsia" w:hAnsiTheme="minorEastAsia"/>
        </w:rPr>
      </w:pP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为规范公司募集资金的管理和使用，保护投资者的权益，根据中国证监会《上市公司监管指引第2号——上市公司募集资金管理和使用的监管要求》、《深圳证券交易所主板上市公司规范运作指引（2015年修订）》及公司《募集资金管理办法》的要求，公司及保荐机构中泰证券股份有限公司（以下称中泰证券）分别与中国农业银行股份有限公司淄博分行、中国工商银行股份有限公司淄博张店支行（以下称募集资金专户存储银行）于2017年10月18日签订了《募集资金专户存储三方监管协议》（以下称《三方监管协议》）。</w:t>
      </w: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r w:rsidRPr="00B646FD">
        <w:rPr>
          <w:rFonts w:asciiTheme="minorEastAsia" w:eastAsiaTheme="minorEastAsia" w:hAnsiTheme="minorEastAsia" w:hint="eastAsia"/>
        </w:rPr>
        <w:t>截至2017年10月10日，公司募集资金专户的开立及存储情况如下：</w:t>
      </w: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2496"/>
        <w:gridCol w:w="1942"/>
        <w:gridCol w:w="1542"/>
      </w:tblGrid>
      <w:tr w:rsidR="00252E49" w:rsidRPr="00B646FD" w:rsidTr="00252E49">
        <w:tc>
          <w:tcPr>
            <w:tcW w:w="2718" w:type="dxa"/>
          </w:tcPr>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募集资金专户开户银行</w:t>
            </w:r>
          </w:p>
        </w:tc>
        <w:tc>
          <w:tcPr>
            <w:tcW w:w="2496" w:type="dxa"/>
          </w:tcPr>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银行账户</w:t>
            </w:r>
          </w:p>
        </w:tc>
        <w:tc>
          <w:tcPr>
            <w:tcW w:w="1942" w:type="dxa"/>
          </w:tcPr>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账户余额（元）</w:t>
            </w:r>
          </w:p>
        </w:tc>
        <w:tc>
          <w:tcPr>
            <w:tcW w:w="1542" w:type="dxa"/>
          </w:tcPr>
          <w:p w:rsidR="00252E49" w:rsidRPr="00B646FD" w:rsidRDefault="00252E49" w:rsidP="00252E49">
            <w:pPr>
              <w:pStyle w:val="Default"/>
              <w:spacing w:line="288" w:lineRule="auto"/>
              <w:jc w:val="center"/>
              <w:rPr>
                <w:rFonts w:asciiTheme="minorEastAsia" w:eastAsiaTheme="minorEastAsia" w:hAnsiTheme="minorEastAsia"/>
                <w:b/>
              </w:rPr>
            </w:pPr>
            <w:r w:rsidRPr="00B646FD">
              <w:rPr>
                <w:rFonts w:asciiTheme="minorEastAsia" w:eastAsiaTheme="minorEastAsia" w:hAnsiTheme="minorEastAsia" w:hint="eastAsia"/>
                <w:b/>
              </w:rPr>
              <w:t>资金用途</w:t>
            </w:r>
          </w:p>
        </w:tc>
      </w:tr>
      <w:tr w:rsidR="00252E49" w:rsidRPr="00B646FD" w:rsidTr="00252E49">
        <w:tc>
          <w:tcPr>
            <w:tcW w:w="2718"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hint="eastAsia"/>
              </w:rPr>
              <w:t>中国农业银行股份有限公司淄博分行</w:t>
            </w:r>
          </w:p>
        </w:tc>
        <w:tc>
          <w:tcPr>
            <w:tcW w:w="2496"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rPr>
              <w:t>15211001040052972</w:t>
            </w:r>
          </w:p>
        </w:tc>
        <w:tc>
          <w:tcPr>
            <w:tcW w:w="1942"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rPr>
              <w:t>79,999,640.00</w:t>
            </w:r>
          </w:p>
        </w:tc>
        <w:tc>
          <w:tcPr>
            <w:tcW w:w="1542"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hint="eastAsia"/>
              </w:rPr>
              <w:t>偿还银行贷款</w:t>
            </w:r>
          </w:p>
        </w:tc>
      </w:tr>
      <w:tr w:rsidR="00252E49" w:rsidRPr="00B646FD" w:rsidTr="00252E49">
        <w:tc>
          <w:tcPr>
            <w:tcW w:w="2718"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hint="eastAsia"/>
              </w:rPr>
              <w:t>中国工商银行股份有限公司淄博张店支行</w:t>
            </w:r>
          </w:p>
        </w:tc>
        <w:tc>
          <w:tcPr>
            <w:tcW w:w="2496"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rPr>
              <w:t>1603002129200497230</w:t>
            </w:r>
          </w:p>
        </w:tc>
        <w:tc>
          <w:tcPr>
            <w:tcW w:w="1942"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rPr>
              <w:t>143,398,204.38</w:t>
            </w:r>
          </w:p>
        </w:tc>
        <w:tc>
          <w:tcPr>
            <w:tcW w:w="1542" w:type="dxa"/>
          </w:tcPr>
          <w:p w:rsidR="00252E49" w:rsidRPr="00B646FD" w:rsidRDefault="00252E49" w:rsidP="00252E49">
            <w:pPr>
              <w:pStyle w:val="Default"/>
              <w:spacing w:line="288" w:lineRule="auto"/>
              <w:jc w:val="both"/>
              <w:rPr>
                <w:rFonts w:asciiTheme="minorEastAsia" w:eastAsiaTheme="minorEastAsia" w:hAnsiTheme="minorEastAsia"/>
              </w:rPr>
            </w:pPr>
            <w:r w:rsidRPr="00B646FD">
              <w:rPr>
                <w:rFonts w:asciiTheme="minorEastAsia" w:eastAsiaTheme="minorEastAsia" w:hAnsiTheme="minorEastAsia" w:hint="eastAsia"/>
              </w:rPr>
              <w:t>偿还银行贷款</w:t>
            </w:r>
          </w:p>
        </w:tc>
      </w:tr>
    </w:tbl>
    <w:p w:rsidR="00252E49" w:rsidRPr="00B646FD" w:rsidRDefault="00252E49" w:rsidP="00252E49">
      <w:pPr>
        <w:pStyle w:val="Default"/>
        <w:spacing w:line="288" w:lineRule="auto"/>
        <w:jc w:val="both"/>
        <w:rPr>
          <w:rFonts w:asciiTheme="minorEastAsia" w:eastAsiaTheme="minorEastAsia" w:hAnsiTheme="minorEastAsia"/>
        </w:rPr>
      </w:pPr>
    </w:p>
    <w:p w:rsidR="00252E49" w:rsidRPr="00B646FD" w:rsidRDefault="00252E49" w:rsidP="00B646FD">
      <w:pPr>
        <w:pStyle w:val="Default"/>
        <w:spacing w:line="288" w:lineRule="auto"/>
        <w:ind w:firstLineChars="200" w:firstLine="482"/>
        <w:jc w:val="both"/>
        <w:rPr>
          <w:rFonts w:asciiTheme="minorEastAsia" w:eastAsiaTheme="minorEastAsia" w:hAnsiTheme="minorEastAsia"/>
        </w:rPr>
      </w:pPr>
      <w:r w:rsidRPr="00B646FD">
        <w:rPr>
          <w:rFonts w:asciiTheme="minorEastAsia" w:eastAsiaTheme="minorEastAsia" w:hAnsiTheme="minorEastAsia" w:hint="eastAsia"/>
          <w:b/>
        </w:rPr>
        <w:t>三、《募集资金专户存储三方监管协议》主要内容</w:t>
      </w: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1、公司已在募集资金专户存储银行开设募集资金专项账户（</w:t>
      </w:r>
      <w:proofErr w:type="gramStart"/>
      <w:r w:rsidRPr="00B646FD">
        <w:rPr>
          <w:rFonts w:asciiTheme="minorEastAsia" w:eastAsiaTheme="minorEastAsia" w:hAnsiTheme="minorEastAsia" w:hint="eastAsia"/>
        </w:rPr>
        <w:t>以下称专户</w:t>
      </w:r>
      <w:proofErr w:type="gramEnd"/>
      <w:r w:rsidRPr="00B646FD">
        <w:rPr>
          <w:rFonts w:asciiTheme="minorEastAsia" w:eastAsiaTheme="minorEastAsia" w:hAnsiTheme="minorEastAsia" w:hint="eastAsia"/>
        </w:rPr>
        <w:t>），专户信息及存储金额如“二、《募集资金专户存储三方监管协议》的签订情况和募集资金专户的开立情况”中所述。该专户仅用于偿还银行贷款项目，不得用做其他用途。</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2、公司和募集资金专户存储银行应当共同遵守《中华人民共和国票据法》、《支付结算办法》、《人民币银行结算账户管理办法》等法律、法规、规章。</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3、中泰证券作为公司的保荐机构，应当依据有关规定指定保荐代表人或其他工作人员对公司募集资金使用情况进行监督。中泰证券应当依据《深圳证券交易所主板上市公司规范运作指引（2015年修订）》以及公司制定的《募集资金管理办法》履行其督导职责，并有权采取现场调查、书面问询等方式行使其监督权。公司和募集资金专户存储银行应当配合中泰证券的调查与查询。中泰证券每半年对公司募集资金的存放和使用情况进行一次现场检查。</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4、公司授权中泰证券指定的保荐代表</w:t>
      </w:r>
      <w:proofErr w:type="gramStart"/>
      <w:r w:rsidRPr="00B646FD">
        <w:rPr>
          <w:rFonts w:asciiTheme="minorEastAsia" w:eastAsiaTheme="minorEastAsia" w:hAnsiTheme="minorEastAsia" w:hint="eastAsia"/>
        </w:rPr>
        <w:t>人战肖华</w:t>
      </w:r>
      <w:proofErr w:type="gramEnd"/>
      <w:r w:rsidRPr="00B646FD">
        <w:rPr>
          <w:rFonts w:asciiTheme="minorEastAsia" w:eastAsiaTheme="minorEastAsia" w:hAnsiTheme="minorEastAsia" w:hint="eastAsia"/>
        </w:rPr>
        <w:t>、王庆刚可以随时到募集资金专户存储银行查询、复印公司专户的资料；募集资金专户存储银行应及时、准确、完整地向其提供所需的有关专户的资料。</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保荐代表人向募集资金专户存储银行查询公司专户有关情况时应出具本人的合法身份证明；中泰证券指定的其他工作人员向募集资金专户存储银行查询公司专户有关情况时应出具本人的合法身份证明和单位介绍信。</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5、募集资金专户存储银行按月（每月5日之前）向公司出具对账单，并抄送中泰证券。募集资金专户存储银行应保证对账单内容真实、准确、完整。</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6、公司一次或者十二个月内累计从该专户中支取的金额超过500.00万元人民币的，募集资金专户存储银行应当以传真或扫描文件方式及时通知中泰证券。</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7、中泰证券有权根据有关规定更换指定的保荐代表人。中泰证券更换保荐代表人的，应将相关证明文件书面通知募集资金专户存储银行，同时按协议第十一条的要求向公司、募集资金专户存储银行书面通知更换后的保荐代表人联系方式。更换保荐代表人不影响协议的效力。</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8、募集资金专户存储银行连续三次未及时向中泰证券出具对账单或向中泰证券通知专户大额支取情况，以及存在未配合中泰证券调查专户情形的，公司有权单方面终止本协议并注销募集资金专户。</w:t>
      </w:r>
    </w:p>
    <w:p w:rsidR="00252E49" w:rsidRPr="00B646FD" w:rsidRDefault="00252E49" w:rsidP="00252E49">
      <w:pPr>
        <w:pStyle w:val="Default"/>
        <w:spacing w:line="288" w:lineRule="auto"/>
        <w:ind w:firstLineChars="200" w:firstLine="480"/>
        <w:rPr>
          <w:rFonts w:asciiTheme="minorEastAsia" w:eastAsiaTheme="minorEastAsia" w:hAnsiTheme="minorEastAsia"/>
        </w:rPr>
      </w:pPr>
      <w:r w:rsidRPr="00B646FD">
        <w:rPr>
          <w:rFonts w:asciiTheme="minorEastAsia" w:eastAsiaTheme="minorEastAsia" w:hAnsiTheme="minorEastAsia" w:hint="eastAsia"/>
        </w:rPr>
        <w:t>9、协议自公司、中泰证券、募集资金专户存储银行</w:t>
      </w:r>
      <w:proofErr w:type="gramStart"/>
      <w:r w:rsidRPr="00B646FD">
        <w:rPr>
          <w:rFonts w:asciiTheme="minorEastAsia" w:eastAsiaTheme="minorEastAsia" w:hAnsiTheme="minorEastAsia" w:hint="eastAsia"/>
        </w:rPr>
        <w:t>三方法</w:t>
      </w:r>
      <w:proofErr w:type="gramEnd"/>
      <w:r w:rsidRPr="00B646FD">
        <w:rPr>
          <w:rFonts w:asciiTheme="minorEastAsia" w:eastAsiaTheme="minorEastAsia" w:hAnsiTheme="minorEastAsia" w:hint="eastAsia"/>
        </w:rPr>
        <w:t>定代表人或其授权代表签署并加盖各自单位公章之日起生效，</w:t>
      </w:r>
      <w:proofErr w:type="gramStart"/>
      <w:r w:rsidRPr="00B646FD">
        <w:rPr>
          <w:rFonts w:asciiTheme="minorEastAsia" w:eastAsiaTheme="minorEastAsia" w:hAnsiTheme="minorEastAsia" w:hint="eastAsia"/>
        </w:rPr>
        <w:t>至专户</w:t>
      </w:r>
      <w:proofErr w:type="gramEnd"/>
      <w:r w:rsidRPr="00B646FD">
        <w:rPr>
          <w:rFonts w:asciiTheme="minorEastAsia" w:eastAsiaTheme="minorEastAsia" w:hAnsiTheme="minorEastAsia" w:hint="eastAsia"/>
        </w:rPr>
        <w:t>资金全部支出完毕并依法</w:t>
      </w:r>
      <w:proofErr w:type="gramStart"/>
      <w:r w:rsidRPr="00B646FD">
        <w:rPr>
          <w:rFonts w:asciiTheme="minorEastAsia" w:eastAsiaTheme="minorEastAsia" w:hAnsiTheme="minorEastAsia" w:hint="eastAsia"/>
        </w:rPr>
        <w:t>销户且中</w:t>
      </w:r>
      <w:proofErr w:type="gramEnd"/>
      <w:r w:rsidRPr="00B646FD">
        <w:rPr>
          <w:rFonts w:asciiTheme="minorEastAsia" w:eastAsiaTheme="minorEastAsia" w:hAnsiTheme="minorEastAsia" w:hint="eastAsia"/>
        </w:rPr>
        <w:t>泰证券督导期结束后失效。</w:t>
      </w:r>
    </w:p>
    <w:p w:rsidR="00252E49" w:rsidRPr="00B646FD" w:rsidRDefault="00252E49" w:rsidP="00252E49">
      <w:pPr>
        <w:pStyle w:val="Default"/>
        <w:spacing w:line="288" w:lineRule="auto"/>
        <w:jc w:val="both"/>
        <w:rPr>
          <w:rFonts w:asciiTheme="minorEastAsia" w:eastAsiaTheme="minorEastAsia" w:hAnsiTheme="minorEastAsia"/>
        </w:rPr>
      </w:pPr>
    </w:p>
    <w:p w:rsidR="00252E49" w:rsidRPr="00B646FD" w:rsidRDefault="00252E49" w:rsidP="00252E49">
      <w:pPr>
        <w:pStyle w:val="Default"/>
        <w:spacing w:line="288" w:lineRule="auto"/>
        <w:jc w:val="both"/>
        <w:rPr>
          <w:rFonts w:asciiTheme="minorEastAsia" w:eastAsiaTheme="minorEastAsia" w:hAnsiTheme="minorEastAsia"/>
        </w:rPr>
      </w:pPr>
    </w:p>
    <w:p w:rsidR="00252E49" w:rsidRPr="00B646FD" w:rsidRDefault="00252E49" w:rsidP="00252E49">
      <w:pPr>
        <w:pStyle w:val="Default"/>
        <w:spacing w:line="288" w:lineRule="auto"/>
        <w:ind w:firstLineChars="200" w:firstLine="480"/>
        <w:jc w:val="both"/>
        <w:rPr>
          <w:rFonts w:asciiTheme="minorEastAsia" w:eastAsiaTheme="minorEastAsia" w:hAnsiTheme="minorEastAsia"/>
        </w:rPr>
      </w:pPr>
      <w:r w:rsidRPr="00B646FD">
        <w:rPr>
          <w:rFonts w:asciiTheme="minorEastAsia" w:eastAsiaTheme="minorEastAsia" w:hAnsiTheme="minorEastAsia"/>
        </w:rPr>
        <w:t>特此公告</w:t>
      </w:r>
      <w:r w:rsidRPr="00B646FD">
        <w:rPr>
          <w:rFonts w:asciiTheme="minorEastAsia" w:eastAsiaTheme="minorEastAsia" w:hAnsiTheme="minorEastAsia" w:hint="eastAsia"/>
        </w:rPr>
        <w:t>。</w:t>
      </w:r>
    </w:p>
    <w:p w:rsidR="00252E49" w:rsidRPr="00B646FD" w:rsidRDefault="00252E49" w:rsidP="00252E49">
      <w:pPr>
        <w:pStyle w:val="Default"/>
        <w:spacing w:line="288" w:lineRule="auto"/>
        <w:jc w:val="both"/>
        <w:rPr>
          <w:rFonts w:asciiTheme="minorEastAsia" w:eastAsiaTheme="minorEastAsia" w:hAnsiTheme="minorEastAsia"/>
        </w:rPr>
      </w:pPr>
    </w:p>
    <w:p w:rsidR="00252E49" w:rsidRPr="00B646FD" w:rsidRDefault="00252E49" w:rsidP="00252E49">
      <w:pPr>
        <w:pStyle w:val="Default"/>
        <w:spacing w:line="288" w:lineRule="auto"/>
        <w:ind w:firstLineChars="200" w:firstLine="480"/>
        <w:jc w:val="right"/>
        <w:rPr>
          <w:rFonts w:asciiTheme="minorEastAsia" w:eastAsiaTheme="minorEastAsia" w:hAnsiTheme="minorEastAsia"/>
        </w:rPr>
      </w:pPr>
      <w:r w:rsidRPr="00B646FD">
        <w:rPr>
          <w:rFonts w:asciiTheme="minorEastAsia" w:eastAsiaTheme="minorEastAsia" w:hAnsiTheme="minorEastAsia"/>
        </w:rPr>
        <w:t>山东新华制药股份有限公司董事会</w:t>
      </w:r>
    </w:p>
    <w:p w:rsidR="00252E49" w:rsidRPr="00B646FD" w:rsidRDefault="00252E49" w:rsidP="00252E49">
      <w:pPr>
        <w:pStyle w:val="Default"/>
        <w:spacing w:line="288" w:lineRule="auto"/>
        <w:ind w:firstLineChars="200" w:firstLine="480"/>
        <w:jc w:val="right"/>
        <w:rPr>
          <w:rFonts w:asciiTheme="minorEastAsia" w:eastAsiaTheme="minorEastAsia" w:hAnsiTheme="minorEastAsia"/>
        </w:rPr>
      </w:pPr>
    </w:p>
    <w:p w:rsidR="0049616C" w:rsidRPr="00B646FD" w:rsidRDefault="00B646FD" w:rsidP="00B646FD">
      <w:pPr>
        <w:pStyle w:val="Default"/>
        <w:spacing w:line="288" w:lineRule="auto"/>
        <w:ind w:right="480" w:firstLineChars="200" w:firstLine="480"/>
        <w:jc w:val="center"/>
        <w:rPr>
          <w:rFonts w:asciiTheme="minorEastAsia" w:eastAsiaTheme="minorEastAsia" w:hAnsiTheme="minorEastAsia"/>
        </w:rPr>
      </w:pPr>
      <w:r>
        <w:rPr>
          <w:rFonts w:asciiTheme="minorEastAsia" w:eastAsiaTheme="minorEastAsia" w:hAnsiTheme="minorEastAsia" w:hint="eastAsia"/>
        </w:rPr>
        <w:t xml:space="preserve">                                                 </w:t>
      </w:r>
      <w:r w:rsidR="00252E49" w:rsidRPr="00B646FD">
        <w:rPr>
          <w:rFonts w:asciiTheme="minorEastAsia" w:eastAsiaTheme="minorEastAsia" w:hAnsiTheme="minorEastAsia" w:hint="eastAsia"/>
        </w:rPr>
        <w:t>2017年10月18日</w:t>
      </w:r>
    </w:p>
    <w:sectPr w:rsidR="0049616C" w:rsidRPr="00B646FD" w:rsidSect="009613CD">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AC" w:rsidRDefault="00596FAC">
      <w:r>
        <w:separator/>
      </w:r>
    </w:p>
  </w:endnote>
  <w:endnote w:type="continuationSeparator" w:id="0">
    <w:p w:rsidR="00596FAC" w:rsidRDefault="00596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AC" w:rsidRDefault="00596FAC">
      <w:r>
        <w:separator/>
      </w:r>
    </w:p>
  </w:footnote>
  <w:footnote w:type="continuationSeparator" w:id="0">
    <w:p w:rsidR="00596FAC" w:rsidRDefault="0059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D9A"/>
    <w:multiLevelType w:val="singleLevel"/>
    <w:tmpl w:val="58C79D9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550CF"/>
    <w:rsid w:val="000607A0"/>
    <w:rsid w:val="00073213"/>
    <w:rsid w:val="0008412A"/>
    <w:rsid w:val="00090039"/>
    <w:rsid w:val="000A6C7D"/>
    <w:rsid w:val="000A6DCE"/>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36E59"/>
    <w:rsid w:val="002453F2"/>
    <w:rsid w:val="00252E49"/>
    <w:rsid w:val="00271AF3"/>
    <w:rsid w:val="00282B4B"/>
    <w:rsid w:val="002A3077"/>
    <w:rsid w:val="002B64E5"/>
    <w:rsid w:val="002D3A29"/>
    <w:rsid w:val="002F100D"/>
    <w:rsid w:val="00304CBF"/>
    <w:rsid w:val="00327A94"/>
    <w:rsid w:val="00333059"/>
    <w:rsid w:val="0035518F"/>
    <w:rsid w:val="003564F2"/>
    <w:rsid w:val="003748D8"/>
    <w:rsid w:val="0037523B"/>
    <w:rsid w:val="00396C8E"/>
    <w:rsid w:val="003A232A"/>
    <w:rsid w:val="003B0247"/>
    <w:rsid w:val="003B34BC"/>
    <w:rsid w:val="003C12A0"/>
    <w:rsid w:val="003C5E43"/>
    <w:rsid w:val="003E2E86"/>
    <w:rsid w:val="00403876"/>
    <w:rsid w:val="0042795D"/>
    <w:rsid w:val="00427C40"/>
    <w:rsid w:val="00440F85"/>
    <w:rsid w:val="00456336"/>
    <w:rsid w:val="0049616C"/>
    <w:rsid w:val="004A21A6"/>
    <w:rsid w:val="004A7A50"/>
    <w:rsid w:val="004B67FA"/>
    <w:rsid w:val="004C3F94"/>
    <w:rsid w:val="004D531A"/>
    <w:rsid w:val="004D55C9"/>
    <w:rsid w:val="004F0BA3"/>
    <w:rsid w:val="0051320F"/>
    <w:rsid w:val="005162AF"/>
    <w:rsid w:val="00525F2F"/>
    <w:rsid w:val="00531110"/>
    <w:rsid w:val="00536D20"/>
    <w:rsid w:val="005378F2"/>
    <w:rsid w:val="005473AF"/>
    <w:rsid w:val="005476C0"/>
    <w:rsid w:val="00565A50"/>
    <w:rsid w:val="0057405A"/>
    <w:rsid w:val="00575E46"/>
    <w:rsid w:val="00596FAC"/>
    <w:rsid w:val="005A7ACA"/>
    <w:rsid w:val="005D1D96"/>
    <w:rsid w:val="005E08EA"/>
    <w:rsid w:val="006104A5"/>
    <w:rsid w:val="00614F09"/>
    <w:rsid w:val="006174CD"/>
    <w:rsid w:val="006654A4"/>
    <w:rsid w:val="00676AFC"/>
    <w:rsid w:val="00682D5C"/>
    <w:rsid w:val="006835BB"/>
    <w:rsid w:val="00693EA5"/>
    <w:rsid w:val="006C1777"/>
    <w:rsid w:val="006C1A06"/>
    <w:rsid w:val="006C5363"/>
    <w:rsid w:val="006D511B"/>
    <w:rsid w:val="007108A7"/>
    <w:rsid w:val="00710E6C"/>
    <w:rsid w:val="00711E51"/>
    <w:rsid w:val="00712D7B"/>
    <w:rsid w:val="007163AC"/>
    <w:rsid w:val="007213B8"/>
    <w:rsid w:val="00721A9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823775"/>
    <w:rsid w:val="00831310"/>
    <w:rsid w:val="008357CD"/>
    <w:rsid w:val="00850BEF"/>
    <w:rsid w:val="00890F93"/>
    <w:rsid w:val="00895D85"/>
    <w:rsid w:val="008B1D13"/>
    <w:rsid w:val="008B447A"/>
    <w:rsid w:val="008F7472"/>
    <w:rsid w:val="0094049A"/>
    <w:rsid w:val="00957A0E"/>
    <w:rsid w:val="009613CD"/>
    <w:rsid w:val="00961D6C"/>
    <w:rsid w:val="009839AF"/>
    <w:rsid w:val="00991935"/>
    <w:rsid w:val="009A252B"/>
    <w:rsid w:val="009A3726"/>
    <w:rsid w:val="009B5525"/>
    <w:rsid w:val="009C0157"/>
    <w:rsid w:val="009C14A2"/>
    <w:rsid w:val="009D3EAA"/>
    <w:rsid w:val="009E34D3"/>
    <w:rsid w:val="009F6C80"/>
    <w:rsid w:val="009F6C97"/>
    <w:rsid w:val="00A021A1"/>
    <w:rsid w:val="00A06CF0"/>
    <w:rsid w:val="00A271DB"/>
    <w:rsid w:val="00A439F6"/>
    <w:rsid w:val="00A46C48"/>
    <w:rsid w:val="00A5370C"/>
    <w:rsid w:val="00A56170"/>
    <w:rsid w:val="00A562E6"/>
    <w:rsid w:val="00A56694"/>
    <w:rsid w:val="00A66AB0"/>
    <w:rsid w:val="00A709E0"/>
    <w:rsid w:val="00A806BC"/>
    <w:rsid w:val="00A93541"/>
    <w:rsid w:val="00AA7D0F"/>
    <w:rsid w:val="00AB60E7"/>
    <w:rsid w:val="00AC0AEB"/>
    <w:rsid w:val="00AC3030"/>
    <w:rsid w:val="00AC5AD3"/>
    <w:rsid w:val="00AD4787"/>
    <w:rsid w:val="00AF346F"/>
    <w:rsid w:val="00AF61D7"/>
    <w:rsid w:val="00B10E93"/>
    <w:rsid w:val="00B146CC"/>
    <w:rsid w:val="00B41786"/>
    <w:rsid w:val="00B41995"/>
    <w:rsid w:val="00B45245"/>
    <w:rsid w:val="00B459A4"/>
    <w:rsid w:val="00B467BB"/>
    <w:rsid w:val="00B646FD"/>
    <w:rsid w:val="00B66E55"/>
    <w:rsid w:val="00BA1D54"/>
    <w:rsid w:val="00BA630D"/>
    <w:rsid w:val="00BA6BC2"/>
    <w:rsid w:val="00BB649D"/>
    <w:rsid w:val="00BB7883"/>
    <w:rsid w:val="00BC5CEE"/>
    <w:rsid w:val="00BC6D22"/>
    <w:rsid w:val="00BD5808"/>
    <w:rsid w:val="00BD60E1"/>
    <w:rsid w:val="00BE207E"/>
    <w:rsid w:val="00BE5ADA"/>
    <w:rsid w:val="00BF23B0"/>
    <w:rsid w:val="00C1544D"/>
    <w:rsid w:val="00C15D08"/>
    <w:rsid w:val="00C23CA8"/>
    <w:rsid w:val="00C44B44"/>
    <w:rsid w:val="00C633DB"/>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D6B34"/>
    <w:rsid w:val="00DF5BAB"/>
    <w:rsid w:val="00E06B5C"/>
    <w:rsid w:val="00E12508"/>
    <w:rsid w:val="00E148D5"/>
    <w:rsid w:val="00E24FBF"/>
    <w:rsid w:val="00E26C5B"/>
    <w:rsid w:val="00E33D3A"/>
    <w:rsid w:val="00E33FE1"/>
    <w:rsid w:val="00E34900"/>
    <w:rsid w:val="00E40FA9"/>
    <w:rsid w:val="00E41A81"/>
    <w:rsid w:val="00E61B4F"/>
    <w:rsid w:val="00E66F83"/>
    <w:rsid w:val="00E91AE2"/>
    <w:rsid w:val="00E94C55"/>
    <w:rsid w:val="00EC26E3"/>
    <w:rsid w:val="00EC4F6E"/>
    <w:rsid w:val="00EC72F8"/>
    <w:rsid w:val="00EE2A25"/>
    <w:rsid w:val="00F006B9"/>
    <w:rsid w:val="00F06005"/>
    <w:rsid w:val="00F102FC"/>
    <w:rsid w:val="00F2325B"/>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uiPriority w:val="39"/>
    <w:qFormat/>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semiHidden/>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uiPriority w:val="99"/>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locked/>
    <w:rsid w:val="001055E8"/>
    <w:rPr>
      <w:rFonts w:eastAsia="宋体"/>
      <w:kern w:val="2"/>
      <w:sz w:val="18"/>
      <w:szCs w:val="18"/>
      <w:lang w:val="en-US" w:eastAsia="zh-CN" w:bidi="ar-SA"/>
    </w:rPr>
  </w:style>
  <w:style w:type="paragraph" w:customStyle="1" w:styleId="1">
    <w:name w:val="页脚1"/>
    <w:basedOn w:val="a"/>
    <w:uiPriority w:val="99"/>
    <w:rsid w:val="00F910DD"/>
    <w:pPr>
      <w:tabs>
        <w:tab w:val="center" w:pos="4153"/>
        <w:tab w:val="right" w:pos="8306"/>
      </w:tabs>
      <w:snapToGrid w:val="0"/>
      <w:jc w:val="right"/>
    </w:pPr>
    <w:rPr>
      <w:sz w:val="18"/>
      <w:szCs w:val="18"/>
    </w:rPr>
  </w:style>
  <w:style w:type="paragraph" w:styleId="ab">
    <w:name w:val="Plain Text"/>
    <w:basedOn w:val="a"/>
    <w:link w:val="Char2"/>
    <w:rsid w:val="00EC72F8"/>
    <w:rPr>
      <w:rFonts w:ascii="宋体" w:hAnsi="Courier New"/>
      <w:szCs w:val="20"/>
    </w:rPr>
  </w:style>
  <w:style w:type="character" w:customStyle="1" w:styleId="Char2">
    <w:name w:val="纯文本 Char"/>
    <w:basedOn w:val="a0"/>
    <w:link w:val="ab"/>
    <w:rsid w:val="00EC72F8"/>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391</Words>
  <Characters>2232</Characters>
  <Application>Microsoft Office Word</Application>
  <DocSecurity>0</DocSecurity>
  <Lines>18</Lines>
  <Paragraphs>5</Paragraphs>
  <ScaleCrop>false</ScaleCrop>
  <Company>x6x8.com</Company>
  <LinksUpToDate>false</LinksUpToDate>
  <CharactersWithSpaces>2618</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18</cp:revision>
  <cp:lastPrinted>2017-04-18T07:49:00Z</cp:lastPrinted>
  <dcterms:created xsi:type="dcterms:W3CDTF">2017-04-12T01:58:00Z</dcterms:created>
  <dcterms:modified xsi:type="dcterms:W3CDTF">2017-10-18T06:54:00Z</dcterms:modified>
</cp:coreProperties>
</file>