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1E9" w:rsidRDefault="00FE1CE4">
      <w:pPr>
        <w:jc w:val="both"/>
        <w:rPr>
          <w:rFonts w:ascii="Times New Roman" w:eastAsiaTheme="majorEastAsia" w:hAnsi="Times New Roman" w:cs="Times New Roman"/>
          <w:i/>
          <w:color w:val="000000" w:themeColor="text1"/>
          <w:szCs w:val="24"/>
          <w:lang w:eastAsia="zh-HK"/>
        </w:rPr>
      </w:pPr>
      <w:r>
        <w:rPr>
          <w:rFonts w:ascii="Times New Roman" w:eastAsia="SimSun" w:hAnsi="Times New Roman" w:cs="Times New Roman"/>
          <w:i/>
          <w:color w:val="000000" w:themeColor="text1"/>
          <w:szCs w:val="24"/>
        </w:rPr>
        <w:t>香港交易及結算所有限公司及香港聯合交易所有限公司對本公告的內容概不負責，對其準確性或完整性亦不發表任何聲明，並明確表示，概不對因本公告全部或任何部分內容而產生或因倚賴該等內容而引致的任何損失承擔任何責任。</w:t>
      </w:r>
    </w:p>
    <w:p w:rsidR="00AE71E9" w:rsidRDefault="00FE1CE4">
      <w:pPr>
        <w:jc w:val="center"/>
        <w:rPr>
          <w:rFonts w:ascii="Times New Roman" w:eastAsiaTheme="majorEastAsia" w:hAnsi="Times New Roman" w:cs="Times New Roman"/>
          <w:i/>
          <w:color w:val="000000" w:themeColor="text1"/>
          <w:szCs w:val="24"/>
          <w:lang w:eastAsia="zh-HK"/>
        </w:rPr>
      </w:pPr>
      <w:r>
        <w:rPr>
          <w:rFonts w:ascii="Times New Roman" w:eastAsiaTheme="majorEastAsia" w:hAnsi="Times New Roman" w:cs="Times New Roman"/>
          <w:i/>
          <w:noProof/>
          <w:color w:val="000000" w:themeColor="text1"/>
          <w:szCs w:val="24"/>
          <w:lang w:eastAsia="zh-CN"/>
        </w:rPr>
        <w:drawing>
          <wp:inline distT="0" distB="0" distL="0" distR="0">
            <wp:extent cx="530225" cy="572770"/>
            <wp:effectExtent l="0" t="0" r="317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30225" cy="572770"/>
                    </a:xfrm>
                    <a:prstGeom prst="rect">
                      <a:avLst/>
                    </a:prstGeom>
                    <a:noFill/>
                  </pic:spPr>
                </pic:pic>
              </a:graphicData>
            </a:graphic>
          </wp:inline>
        </w:drawing>
      </w:r>
    </w:p>
    <w:p w:rsidR="00AE71E9" w:rsidRDefault="00FE1CE4">
      <w:pPr>
        <w:jc w:val="center"/>
        <w:rPr>
          <w:rFonts w:ascii="Times New Roman" w:eastAsiaTheme="majorEastAsia" w:hAnsi="Times New Roman" w:cs="Times New Roman"/>
          <w:b/>
          <w:color w:val="000000" w:themeColor="text1"/>
          <w:szCs w:val="24"/>
          <w:lang w:eastAsia="zh-HK"/>
        </w:rPr>
      </w:pPr>
      <w:r>
        <w:rPr>
          <w:rFonts w:ascii="Times New Roman" w:eastAsiaTheme="majorEastAsia" w:hAnsi="Times New Roman" w:cs="Times New Roman"/>
          <w:b/>
          <w:color w:val="000000" w:themeColor="text1"/>
          <w:szCs w:val="24"/>
          <w:lang w:eastAsia="zh-HK"/>
        </w:rPr>
        <w:t>山東新華製藥股份有限公司</w:t>
      </w:r>
    </w:p>
    <w:p w:rsidR="00AE71E9" w:rsidRDefault="00FE1CE4">
      <w:pPr>
        <w:jc w:val="center"/>
        <w:rPr>
          <w:rFonts w:ascii="Times New Roman" w:eastAsiaTheme="majorEastAsia" w:hAnsi="Times New Roman" w:cs="Times New Roman"/>
          <w:b/>
          <w:color w:val="000000" w:themeColor="text1"/>
          <w:szCs w:val="24"/>
          <w:lang w:eastAsia="zh-HK"/>
        </w:rPr>
      </w:pPr>
      <w:r>
        <w:rPr>
          <w:rFonts w:ascii="Times New Roman" w:eastAsiaTheme="majorEastAsia" w:hAnsi="Times New Roman" w:cs="Times New Roman"/>
          <w:b/>
          <w:color w:val="000000" w:themeColor="text1"/>
          <w:szCs w:val="24"/>
          <w:lang w:eastAsia="zh-HK"/>
        </w:rPr>
        <w:t>Shandong Xinhua Pharmaceutical Company Limited</w:t>
      </w:r>
    </w:p>
    <w:p w:rsidR="00AE71E9" w:rsidRDefault="00FE1CE4">
      <w:pPr>
        <w:jc w:val="center"/>
        <w:rPr>
          <w:rFonts w:ascii="Times New Roman" w:eastAsiaTheme="majorEastAsia" w:hAnsi="Times New Roman" w:cs="Times New Roman"/>
          <w:b/>
          <w:color w:val="000000" w:themeColor="text1"/>
          <w:szCs w:val="24"/>
          <w:lang w:eastAsia="zh-HK"/>
        </w:rPr>
      </w:pPr>
      <w:r>
        <w:rPr>
          <w:rFonts w:ascii="Times New Roman" w:eastAsiaTheme="majorEastAsia" w:hAnsi="Times New Roman" w:cs="Times New Roman"/>
          <w:b/>
          <w:color w:val="000000" w:themeColor="text1"/>
          <w:szCs w:val="24"/>
          <w:lang w:eastAsia="zh-HK"/>
        </w:rPr>
        <w:t>（於中華人民共和國註冊成立的股份有限公司）</w:t>
      </w:r>
    </w:p>
    <w:p w:rsidR="00AE71E9" w:rsidRDefault="00FE1CE4">
      <w:pPr>
        <w:jc w:val="center"/>
        <w:rPr>
          <w:rFonts w:ascii="Times New Roman" w:eastAsiaTheme="majorEastAsia" w:hAnsi="Times New Roman" w:cs="Times New Roman"/>
          <w:b/>
          <w:color w:val="000000" w:themeColor="text1"/>
          <w:szCs w:val="24"/>
          <w:lang w:eastAsia="zh-HK"/>
        </w:rPr>
      </w:pPr>
      <w:r>
        <w:rPr>
          <w:rFonts w:ascii="Times New Roman" w:eastAsiaTheme="majorEastAsia" w:hAnsi="Times New Roman" w:cs="Times New Roman"/>
          <w:b/>
          <w:color w:val="000000" w:themeColor="text1"/>
          <w:szCs w:val="24"/>
          <w:lang w:eastAsia="zh-HK"/>
        </w:rPr>
        <w:t>（股份代碼：</w:t>
      </w:r>
      <w:r>
        <w:rPr>
          <w:rFonts w:ascii="Times New Roman" w:eastAsiaTheme="majorEastAsia" w:hAnsi="Times New Roman" w:cs="Times New Roman"/>
          <w:b/>
          <w:color w:val="000000" w:themeColor="text1"/>
          <w:szCs w:val="24"/>
          <w:lang w:eastAsia="zh-HK"/>
        </w:rPr>
        <w:t>0719</w:t>
      </w:r>
      <w:r>
        <w:rPr>
          <w:rFonts w:ascii="Times New Roman" w:eastAsiaTheme="majorEastAsia" w:hAnsi="Times New Roman" w:cs="Times New Roman"/>
          <w:b/>
          <w:color w:val="000000" w:themeColor="text1"/>
          <w:szCs w:val="24"/>
          <w:lang w:eastAsia="zh-HK"/>
        </w:rPr>
        <w:t>）</w:t>
      </w:r>
    </w:p>
    <w:p w:rsidR="00AE71E9" w:rsidRDefault="00AE71E9">
      <w:pPr>
        <w:jc w:val="center"/>
        <w:rPr>
          <w:rFonts w:ascii="Times New Roman" w:eastAsiaTheme="majorEastAsia" w:hAnsi="Times New Roman" w:cs="Times New Roman"/>
          <w:b/>
          <w:color w:val="000000" w:themeColor="text1"/>
          <w:szCs w:val="24"/>
          <w:lang w:eastAsia="zh-HK"/>
        </w:rPr>
      </w:pPr>
    </w:p>
    <w:p w:rsidR="00AE71E9" w:rsidRDefault="00FE1CE4">
      <w:pPr>
        <w:jc w:val="center"/>
        <w:rPr>
          <w:rFonts w:ascii="Times New Roman" w:eastAsiaTheme="majorEastAsia" w:hAnsi="Times New Roman" w:cs="Times New Roman"/>
          <w:b/>
          <w:color w:val="000000" w:themeColor="text1"/>
          <w:szCs w:val="24"/>
        </w:rPr>
      </w:pPr>
      <w:r>
        <w:rPr>
          <w:rFonts w:ascii="Times New Roman" w:eastAsiaTheme="majorEastAsia" w:hAnsi="Times New Roman" w:cs="Times New Roman"/>
          <w:b/>
          <w:color w:val="000000" w:themeColor="text1"/>
          <w:szCs w:val="24"/>
          <w:lang w:eastAsia="zh-HK"/>
        </w:rPr>
        <w:t>根據建議配售事項</w:t>
      </w:r>
      <w:r>
        <w:rPr>
          <w:rFonts w:ascii="Times New Roman" w:eastAsia="SimSun" w:hAnsi="Times New Roman" w:cs="Times New Roman"/>
          <w:b/>
          <w:color w:val="000000" w:themeColor="text1"/>
          <w:szCs w:val="24"/>
        </w:rPr>
        <w:t>完成</w:t>
      </w:r>
      <w:r>
        <w:rPr>
          <w:rFonts w:ascii="Times New Roman" w:eastAsiaTheme="majorEastAsia" w:hAnsi="Times New Roman" w:cs="Times New Roman"/>
          <w:b/>
          <w:color w:val="000000" w:themeColor="text1"/>
          <w:szCs w:val="24"/>
          <w:lang w:eastAsia="zh-HK"/>
        </w:rPr>
        <w:t>A</w:t>
      </w:r>
      <w:r>
        <w:rPr>
          <w:rFonts w:ascii="Times New Roman" w:eastAsiaTheme="majorEastAsia" w:hAnsi="Times New Roman" w:cs="Times New Roman"/>
          <w:b/>
          <w:color w:val="000000" w:themeColor="text1"/>
          <w:szCs w:val="24"/>
          <w:lang w:eastAsia="zh-HK"/>
        </w:rPr>
        <w:t>股發行</w:t>
      </w:r>
    </w:p>
    <w:p w:rsidR="00AE71E9" w:rsidRDefault="00AE71E9">
      <w:pPr>
        <w:jc w:val="center"/>
        <w:rPr>
          <w:rFonts w:ascii="Times New Roman" w:eastAsiaTheme="majorEastAsia" w:hAnsi="Times New Roman" w:cs="Times New Roman"/>
          <w:color w:val="000000" w:themeColor="text1"/>
          <w:szCs w:val="24"/>
        </w:rPr>
      </w:pPr>
    </w:p>
    <w:p w:rsidR="00AE71E9" w:rsidRDefault="00AE71E9">
      <w:pPr>
        <w:rPr>
          <w:rFonts w:ascii="Times New Roman" w:eastAsiaTheme="majorEastAsia" w:hAnsi="Times New Roman" w:cs="Times New Roman"/>
          <w:color w:val="000000" w:themeColor="text1"/>
          <w:szCs w:val="24"/>
        </w:rPr>
      </w:pPr>
    </w:p>
    <w:p w:rsidR="00AE71E9" w:rsidRDefault="00FE1CE4">
      <w:pPr>
        <w:jc w:val="both"/>
        <w:rPr>
          <w:rFonts w:ascii="Times New Roman" w:eastAsiaTheme="majorEastAsia" w:hAnsi="Times New Roman" w:cs="Times New Roman"/>
          <w:color w:val="000000" w:themeColor="text1"/>
          <w:szCs w:val="24"/>
        </w:rPr>
      </w:pPr>
      <w:r>
        <w:rPr>
          <w:rFonts w:ascii="Times New Roman" w:eastAsia="SimSun" w:hAnsi="Times New Roman" w:cs="Times New Roman"/>
          <w:color w:val="000000" w:themeColor="text1"/>
          <w:szCs w:val="24"/>
        </w:rPr>
        <w:t>茲提述山東新華製藥股份有限公司（</w:t>
      </w:r>
      <w:r>
        <w:rPr>
          <w:rFonts w:ascii="Times New Roman" w:eastAsia="SimSun" w:hAnsi="Times New Roman" w:cs="Times New Roman"/>
          <w:b/>
          <w:color w:val="000000" w:themeColor="text1"/>
          <w:szCs w:val="24"/>
        </w:rPr>
        <w:t>「本公司」</w:t>
      </w:r>
      <w:r>
        <w:rPr>
          <w:rFonts w:ascii="Times New Roman" w:eastAsia="SimSun" w:hAnsi="Times New Roman" w:cs="Times New Roman"/>
          <w:color w:val="000000" w:themeColor="text1"/>
          <w:szCs w:val="24"/>
        </w:rPr>
        <w:t>）日期為二零一五年十二月十四日的通函以及本公司自二零一五年十月八日起所作內容</w:t>
      </w:r>
      <w:r>
        <w:rPr>
          <w:rFonts w:ascii="Times New Roman" w:eastAsia="SimSun" w:hAnsi="Times New Roman" w:cs="Times New Roman"/>
          <w:color w:val="000000" w:themeColor="text1"/>
          <w:szCs w:val="24"/>
        </w:rPr>
        <w:t>(</w:t>
      </w:r>
      <w:r>
        <w:rPr>
          <w:rFonts w:ascii="Times New Roman" w:eastAsia="SimSun" w:hAnsi="Times New Roman" w:cs="Times New Roman" w:hint="eastAsia"/>
          <w:color w:val="000000" w:themeColor="text1"/>
          <w:szCs w:val="24"/>
        </w:rPr>
        <w:t>尤其是</w:t>
      </w:r>
      <w:r>
        <w:rPr>
          <w:rFonts w:ascii="Times New Roman" w:eastAsia="SimSun" w:hAnsi="Times New Roman" w:cs="Times New Roman"/>
          <w:color w:val="000000" w:themeColor="text1"/>
          <w:szCs w:val="24"/>
        </w:rPr>
        <w:t>本公司日期為二零一</w:t>
      </w:r>
      <w:r>
        <w:rPr>
          <w:rFonts w:asciiTheme="minorEastAsia" w:hAnsiTheme="minorEastAsia" w:cs="Times New Roman" w:hint="eastAsia"/>
          <w:color w:val="000000" w:themeColor="text1"/>
          <w:szCs w:val="24"/>
        </w:rPr>
        <w:t>七</w:t>
      </w:r>
      <w:r>
        <w:rPr>
          <w:rFonts w:ascii="Times New Roman" w:eastAsia="SimSun" w:hAnsi="Times New Roman" w:cs="Times New Roman"/>
          <w:color w:val="000000" w:themeColor="text1"/>
          <w:szCs w:val="24"/>
        </w:rPr>
        <w:t>年</w:t>
      </w:r>
      <w:r w:rsidR="002839A8" w:rsidRPr="002839A8">
        <w:rPr>
          <w:rFonts w:ascii="Times New Roman" w:eastAsia="PMingLiU" w:hAnsi="Times New Roman" w:cs="Times New Roman" w:hint="eastAsia"/>
          <w:color w:val="000000" w:themeColor="text1"/>
          <w:szCs w:val="24"/>
        </w:rPr>
        <w:t>九月二十</w:t>
      </w:r>
      <w:r w:rsidR="002839A8" w:rsidRPr="002839A8">
        <w:rPr>
          <w:rFonts w:asciiTheme="minorEastAsia" w:eastAsia="PMingLiU" w:hAnsiTheme="minorEastAsia" w:cs="Times New Roman" w:hint="eastAsia"/>
          <w:color w:val="000000" w:themeColor="text1"/>
          <w:szCs w:val="24"/>
        </w:rPr>
        <w:t>九</w:t>
      </w:r>
      <w:r w:rsidR="002839A8" w:rsidRPr="002839A8">
        <w:rPr>
          <w:rFonts w:ascii="Times New Roman" w:eastAsia="PMingLiU" w:hAnsi="Times New Roman" w:cs="Times New Roman" w:hint="eastAsia"/>
          <w:color w:val="000000" w:themeColor="text1"/>
          <w:szCs w:val="24"/>
        </w:rPr>
        <w:t>日的</w:t>
      </w:r>
      <w:r>
        <w:rPr>
          <w:rFonts w:ascii="Times New Roman" w:eastAsia="SimSun" w:hAnsi="Times New Roman" w:cs="Times New Roman"/>
          <w:color w:val="000000" w:themeColor="text1"/>
          <w:szCs w:val="24"/>
        </w:rPr>
        <w:t>公告（</w:t>
      </w:r>
      <w:r>
        <w:rPr>
          <w:rFonts w:ascii="Times New Roman" w:eastAsia="SimSun" w:hAnsi="Times New Roman" w:cs="Times New Roman"/>
          <w:b/>
          <w:color w:val="000000" w:themeColor="text1"/>
          <w:szCs w:val="24"/>
        </w:rPr>
        <w:t>「該公告」</w:t>
      </w:r>
      <w:r>
        <w:rPr>
          <w:rFonts w:ascii="Times New Roman" w:eastAsia="SimSun" w:hAnsi="Times New Roman" w:cs="Times New Roman"/>
          <w:color w:val="000000" w:themeColor="text1"/>
          <w:szCs w:val="24"/>
        </w:rPr>
        <w:t>）</w:t>
      </w:r>
      <w:r>
        <w:rPr>
          <w:rFonts w:ascii="Times New Roman" w:eastAsia="SimSun" w:hAnsi="Times New Roman" w:cs="Times New Roman"/>
          <w:color w:val="000000" w:themeColor="text1"/>
          <w:szCs w:val="24"/>
        </w:rPr>
        <w:t>)</w:t>
      </w:r>
      <w:r>
        <w:rPr>
          <w:rFonts w:ascii="Times New Roman" w:eastAsia="SimSun" w:hAnsi="Times New Roman" w:cs="Times New Roman"/>
          <w:color w:val="000000" w:themeColor="text1"/>
          <w:szCs w:val="24"/>
        </w:rPr>
        <w:t>有關本公司建議非公開發行及配售</w:t>
      </w:r>
      <w:r>
        <w:rPr>
          <w:rFonts w:ascii="Times New Roman" w:eastAsia="SimSun" w:hAnsi="Times New Roman" w:cs="Times New Roman"/>
          <w:color w:val="000000" w:themeColor="text1"/>
          <w:szCs w:val="24"/>
        </w:rPr>
        <w:t>A</w:t>
      </w:r>
      <w:r>
        <w:rPr>
          <w:rFonts w:ascii="Times New Roman" w:eastAsia="SimSun" w:hAnsi="Times New Roman" w:cs="Times New Roman"/>
          <w:color w:val="000000" w:themeColor="text1"/>
          <w:szCs w:val="24"/>
        </w:rPr>
        <w:t>股（</w:t>
      </w:r>
      <w:r>
        <w:rPr>
          <w:rFonts w:ascii="Times New Roman" w:eastAsia="SimSun" w:hAnsi="Times New Roman" w:cs="Times New Roman"/>
          <w:b/>
          <w:color w:val="000000" w:themeColor="text1"/>
          <w:szCs w:val="24"/>
        </w:rPr>
        <w:t>「建議配售」</w:t>
      </w:r>
      <w:r>
        <w:rPr>
          <w:rFonts w:ascii="Times New Roman" w:eastAsia="SimSun" w:hAnsi="Times New Roman" w:cs="Times New Roman"/>
          <w:color w:val="000000" w:themeColor="text1"/>
          <w:szCs w:val="24"/>
        </w:rPr>
        <w:t>）的公告、通函及披露。</w:t>
      </w:r>
    </w:p>
    <w:p w:rsidR="00AE71E9" w:rsidRDefault="00AE71E9">
      <w:pPr>
        <w:jc w:val="both"/>
        <w:rPr>
          <w:rFonts w:ascii="Times New Roman" w:eastAsiaTheme="majorEastAsia" w:hAnsi="Times New Roman" w:cs="Times New Roman"/>
          <w:color w:val="000000" w:themeColor="text1"/>
          <w:szCs w:val="24"/>
        </w:rPr>
      </w:pPr>
    </w:p>
    <w:p w:rsidR="00AE71E9" w:rsidRDefault="00FE1CE4">
      <w:pPr>
        <w:jc w:val="both"/>
        <w:rPr>
          <w:rFonts w:ascii="Times New Roman" w:eastAsiaTheme="majorEastAsia" w:hAnsi="Times New Roman" w:cs="Times New Roman"/>
          <w:color w:val="000000" w:themeColor="text1"/>
          <w:szCs w:val="24"/>
        </w:rPr>
      </w:pPr>
      <w:r>
        <w:rPr>
          <w:rFonts w:ascii="Times New Roman" w:eastAsia="SimSun" w:hAnsi="Times New Roman" w:cs="Times New Roman"/>
          <w:color w:val="000000" w:themeColor="text1"/>
          <w:szCs w:val="24"/>
        </w:rPr>
        <w:t>除非另有指明，否則本公告內所用詞彙與本公司日期為二零一六年十二月十二日的通函（</w:t>
      </w:r>
      <w:r>
        <w:rPr>
          <w:rFonts w:ascii="Times New Roman" w:eastAsia="SimSun" w:hAnsi="Times New Roman" w:cs="Times New Roman"/>
          <w:b/>
          <w:color w:val="000000" w:themeColor="text1"/>
          <w:szCs w:val="24"/>
        </w:rPr>
        <w:t>「該通函」</w:t>
      </w:r>
      <w:r>
        <w:rPr>
          <w:rFonts w:ascii="Times New Roman" w:eastAsia="SimSun" w:hAnsi="Times New Roman" w:cs="Times New Roman"/>
          <w:color w:val="000000" w:themeColor="text1"/>
          <w:szCs w:val="24"/>
        </w:rPr>
        <w:t>）</w:t>
      </w:r>
      <w:r>
        <w:rPr>
          <w:rFonts w:asciiTheme="minorEastAsia" w:hAnsiTheme="minorEastAsia" w:cs="Times New Roman" w:hint="eastAsia"/>
          <w:color w:val="000000" w:themeColor="text1"/>
          <w:szCs w:val="24"/>
        </w:rPr>
        <w:t>及/或該公告</w:t>
      </w:r>
      <w:r>
        <w:rPr>
          <w:rFonts w:ascii="Times New Roman" w:eastAsia="SimSun" w:hAnsi="Times New Roman" w:cs="Times New Roman"/>
          <w:color w:val="000000" w:themeColor="text1"/>
          <w:szCs w:val="24"/>
        </w:rPr>
        <w:t>內所定義者具有相同涵義。</w:t>
      </w:r>
    </w:p>
    <w:p w:rsidR="00AE71E9" w:rsidRDefault="00AE71E9">
      <w:pPr>
        <w:jc w:val="center"/>
        <w:rPr>
          <w:rFonts w:ascii="Times New Roman" w:eastAsiaTheme="majorEastAsia" w:hAnsi="Times New Roman" w:cs="Times New Roman"/>
          <w:b/>
          <w:color w:val="000000" w:themeColor="text1"/>
          <w:szCs w:val="24"/>
        </w:rPr>
      </w:pPr>
    </w:p>
    <w:p w:rsidR="00AE71E9" w:rsidRDefault="00FE1CE4">
      <w:pPr>
        <w:pStyle w:val="Subhead1"/>
        <w:snapToGrid w:val="0"/>
        <w:outlineLvl w:val="0"/>
        <w:rPr>
          <w:rFonts w:ascii="SimSun" w:eastAsia="SimSun" w:hAnsi="SimSun" w:cs="PMingLiU"/>
          <w:sz w:val="24"/>
          <w:szCs w:val="24"/>
        </w:rPr>
      </w:pPr>
      <w:r>
        <w:rPr>
          <w:rFonts w:ascii="SimSun" w:eastAsia="SimSun" w:hAnsi="SimSun" w:cs="PMingLiU" w:hint="eastAsia"/>
          <w:sz w:val="24"/>
          <w:szCs w:val="24"/>
        </w:rPr>
        <w:t>將發行的新A股股份數量的調整</w:t>
      </w:r>
    </w:p>
    <w:p w:rsidR="00AE71E9" w:rsidRDefault="00AE71E9">
      <w:pPr>
        <w:pStyle w:val="Subhead1"/>
        <w:snapToGrid w:val="0"/>
        <w:spacing w:line="240" w:lineRule="auto"/>
        <w:outlineLvl w:val="0"/>
        <w:rPr>
          <w:rFonts w:ascii="Times New Roman" w:hAnsi="Times New Roman"/>
          <w:sz w:val="24"/>
          <w:szCs w:val="24"/>
        </w:rPr>
      </w:pPr>
    </w:p>
    <w:p w:rsidR="00AE71E9" w:rsidRDefault="00FE1CE4">
      <w:pPr>
        <w:snapToGrid w:val="0"/>
        <w:jc w:val="both"/>
        <w:rPr>
          <w:rFonts w:ascii="PMingLiU" w:eastAsia="PMingLiU" w:hAnsi="PMingLiU"/>
        </w:rPr>
      </w:pPr>
      <w:r>
        <w:rPr>
          <w:rFonts w:ascii="PMingLiU" w:eastAsia="PMingLiU" w:hAnsi="PMingLiU" w:cs="PMingLiU" w:hint="eastAsia"/>
        </w:rPr>
        <w:t>如本公司於二零一六年九月十四日之公告</w:t>
      </w:r>
      <w:bookmarkStart w:id="0" w:name="_GoBack"/>
      <w:bookmarkEnd w:id="0"/>
      <w:r>
        <w:rPr>
          <w:rFonts w:ascii="PMingLiU" w:eastAsia="PMingLiU" w:hAnsi="PMingLiU" w:cs="PMingLiU" w:hint="eastAsia"/>
        </w:rPr>
        <w:t>中所披露，在建議配售事項下發行的</w:t>
      </w:r>
      <w:r>
        <w:rPr>
          <w:rFonts w:ascii="PMingLiU" w:eastAsia="PMingLiU" w:hAnsi="PMingLiU" w:hint="eastAsia"/>
        </w:rPr>
        <w:t>A</w:t>
      </w:r>
      <w:r>
        <w:rPr>
          <w:rFonts w:ascii="PMingLiU" w:eastAsia="PMingLiU" w:hAnsi="PMingLiU" w:cs="PMingLiU" w:hint="eastAsia"/>
        </w:rPr>
        <w:t>股股份數目已調整為</w:t>
      </w:r>
      <w:r>
        <w:rPr>
          <w:rFonts w:ascii="PMingLiU" w:eastAsia="PMingLiU" w:hAnsi="PMingLiU" w:hint="eastAsia"/>
        </w:rPr>
        <w:t>67,143,166</w:t>
      </w:r>
      <w:r>
        <w:rPr>
          <w:rFonts w:ascii="PMingLiU" w:eastAsia="PMingLiU" w:hAnsi="PMingLiU" w:cs="PMingLiU" w:hint="eastAsia"/>
        </w:rPr>
        <w:t>股。</w:t>
      </w:r>
    </w:p>
    <w:p w:rsidR="00AE71E9" w:rsidRDefault="00AE71E9">
      <w:pPr>
        <w:snapToGrid w:val="0"/>
        <w:jc w:val="both"/>
        <w:rPr>
          <w:rFonts w:ascii="PMingLiU" w:eastAsia="PMingLiU" w:hAnsi="PMingLiU"/>
        </w:rPr>
      </w:pPr>
    </w:p>
    <w:p w:rsidR="00AE71E9" w:rsidRDefault="00FE1CE4">
      <w:pPr>
        <w:snapToGrid w:val="0"/>
        <w:jc w:val="both"/>
        <w:rPr>
          <w:rFonts w:ascii="PMingLiU" w:eastAsia="PMingLiU" w:hAnsi="PMingLiU" w:cs="PMingLiU"/>
        </w:rPr>
      </w:pPr>
      <w:r>
        <w:rPr>
          <w:rFonts w:ascii="PMingLiU" w:eastAsia="PMingLiU" w:hAnsi="PMingLiU" w:cs="PMingLiU" w:hint="eastAsia"/>
        </w:rPr>
        <w:t>根據該公告披露的價格調整機制，如認購價格低於建議配售下新</w:t>
      </w:r>
      <w:r>
        <w:rPr>
          <w:rFonts w:ascii="PMingLiU" w:eastAsia="PMingLiU" w:hAnsi="PMingLiU" w:hint="eastAsia"/>
        </w:rPr>
        <w:t>A</w:t>
      </w:r>
      <w:r>
        <w:rPr>
          <w:rFonts w:ascii="PMingLiU" w:eastAsia="PMingLiU" w:hAnsi="PMingLiU" w:cs="PMingLiU" w:hint="eastAsia"/>
        </w:rPr>
        <w:t>股發行期的第一天（</w:t>
      </w:r>
      <w:r>
        <w:rPr>
          <w:rFonts w:ascii="PMingLiU" w:eastAsia="PMingLiU" w:hAnsi="PMingLiU" w:hint="eastAsia"/>
          <w:kern w:val="0"/>
        </w:rPr>
        <w:t>“</w:t>
      </w:r>
      <w:r>
        <w:rPr>
          <w:rFonts w:ascii="PMingLiU" w:eastAsia="PMingLiU" w:hAnsi="PMingLiU" w:cs="PMingLiU" w:hint="eastAsia"/>
          <w:b/>
        </w:rPr>
        <w:t>首個發行日</w:t>
      </w:r>
      <w:r>
        <w:rPr>
          <w:rFonts w:ascii="PMingLiU" w:eastAsia="PMingLiU" w:hAnsi="PMingLiU" w:hint="eastAsia"/>
        </w:rPr>
        <w:t>”</w:t>
      </w:r>
      <w:r>
        <w:rPr>
          <w:rFonts w:ascii="PMingLiU" w:eastAsia="PMingLiU" w:hAnsi="PMingLiU" w:cs="PMingLiU" w:hint="eastAsia"/>
        </w:rPr>
        <w:t>）前的</w:t>
      </w:r>
      <w:r>
        <w:rPr>
          <w:rFonts w:ascii="PMingLiU" w:eastAsia="PMingLiU" w:hAnsi="PMingLiU" w:hint="eastAsia"/>
        </w:rPr>
        <w:t>20</w:t>
      </w:r>
      <w:r>
        <w:rPr>
          <w:rFonts w:ascii="PMingLiU" w:eastAsia="PMingLiU" w:hAnsi="PMingLiU" w:cs="PMingLiU" w:hint="eastAsia"/>
        </w:rPr>
        <w:t>個交易日中每股</w:t>
      </w:r>
      <w:r>
        <w:rPr>
          <w:rFonts w:ascii="PMingLiU" w:eastAsia="PMingLiU" w:hAnsi="PMingLiU" w:hint="eastAsia"/>
        </w:rPr>
        <w:t>A</w:t>
      </w:r>
      <w:r>
        <w:rPr>
          <w:rFonts w:ascii="PMingLiU" w:eastAsia="PMingLiU" w:hAnsi="PMingLiU" w:cs="PMingLiU" w:hint="eastAsia"/>
        </w:rPr>
        <w:t>股的平均成交價格（</w:t>
      </w:r>
      <w:r>
        <w:rPr>
          <w:rFonts w:ascii="PMingLiU" w:eastAsia="PMingLiU" w:hAnsi="PMingLiU" w:hint="eastAsia"/>
          <w:kern w:val="0"/>
        </w:rPr>
        <w:t>“</w:t>
      </w:r>
      <w:r>
        <w:rPr>
          <w:rFonts w:ascii="PMingLiU" w:eastAsia="PMingLiU" w:hAnsi="PMingLiU" w:hint="eastAsia"/>
          <w:b/>
        </w:rPr>
        <w:t>20</w:t>
      </w:r>
      <w:r>
        <w:rPr>
          <w:rFonts w:ascii="PMingLiU" w:eastAsia="PMingLiU" w:hAnsi="PMingLiU" w:cs="PMingLiU" w:hint="eastAsia"/>
          <w:b/>
        </w:rPr>
        <w:t>日平均成交價</w:t>
      </w:r>
      <w:r>
        <w:rPr>
          <w:rFonts w:ascii="PMingLiU" w:eastAsia="PMingLiU" w:hAnsi="PMingLiU" w:hint="eastAsia"/>
        </w:rPr>
        <w:t>”</w:t>
      </w:r>
      <w:r>
        <w:rPr>
          <w:rFonts w:ascii="PMingLiU" w:eastAsia="PMingLiU" w:hAnsi="PMingLiU" w:cs="PMingLiU" w:hint="eastAsia"/>
        </w:rPr>
        <w:t>）的</w:t>
      </w:r>
      <w:r>
        <w:rPr>
          <w:rFonts w:ascii="PMingLiU" w:eastAsia="PMingLiU" w:hAnsi="PMingLiU" w:hint="eastAsia"/>
        </w:rPr>
        <w:t>70</w:t>
      </w:r>
      <w:r>
        <w:rPr>
          <w:rFonts w:ascii="PMingLiU" w:eastAsia="PMingLiU" w:hAnsi="PMingLiU" w:cs="PMingLiU" w:hint="eastAsia"/>
        </w:rPr>
        <w:t>％，認購價將調整至相當於</w:t>
      </w:r>
      <w:r>
        <w:rPr>
          <w:rFonts w:ascii="PMingLiU" w:eastAsia="PMingLiU" w:hAnsi="PMingLiU" w:hint="eastAsia"/>
        </w:rPr>
        <w:t>20</w:t>
      </w:r>
      <w:r>
        <w:rPr>
          <w:rFonts w:ascii="PMingLiU" w:eastAsia="PMingLiU" w:hAnsi="PMingLiU" w:cs="PMingLiU" w:hint="eastAsia"/>
        </w:rPr>
        <w:t>日平均成交價的</w:t>
      </w:r>
      <w:r>
        <w:rPr>
          <w:rFonts w:ascii="PMingLiU" w:eastAsia="PMingLiU" w:hAnsi="PMingLiU" w:hint="eastAsia"/>
        </w:rPr>
        <w:t>70</w:t>
      </w:r>
      <w:r>
        <w:rPr>
          <w:rFonts w:ascii="PMingLiU" w:eastAsia="PMingLiU" w:hAnsi="PMingLiU" w:cs="PMingLiU" w:hint="eastAsia"/>
        </w:rPr>
        <w:t>％（該</w:t>
      </w:r>
      <w:r>
        <w:rPr>
          <w:rFonts w:ascii="PMingLiU" w:eastAsia="PMingLiU" w:hAnsi="PMingLiU" w:hint="eastAsia"/>
        </w:rPr>
        <w:t>20</w:t>
      </w:r>
      <w:r>
        <w:rPr>
          <w:rFonts w:ascii="PMingLiU" w:eastAsia="PMingLiU" w:hAnsi="PMingLiU" w:cs="PMingLiU" w:hint="eastAsia"/>
        </w:rPr>
        <w:t>日平均成交價將為首個發行日之前</w:t>
      </w:r>
      <w:r>
        <w:rPr>
          <w:rFonts w:ascii="PMingLiU" w:eastAsia="PMingLiU" w:hAnsi="PMingLiU" w:hint="eastAsia"/>
        </w:rPr>
        <w:t>20</w:t>
      </w:r>
      <w:r>
        <w:rPr>
          <w:rFonts w:ascii="PMingLiU" w:eastAsia="PMingLiU" w:hAnsi="PMingLiU" w:cs="PMingLiU" w:hint="eastAsia"/>
        </w:rPr>
        <w:t>個交易日的</w:t>
      </w:r>
      <w:r>
        <w:rPr>
          <w:rFonts w:ascii="PMingLiU" w:eastAsia="PMingLiU" w:hAnsi="PMingLiU" w:hint="eastAsia"/>
        </w:rPr>
        <w:t>A</w:t>
      </w:r>
      <w:r>
        <w:rPr>
          <w:rFonts w:ascii="PMingLiU" w:eastAsia="PMingLiU" w:hAnsi="PMingLiU" w:cs="PMingLiU" w:hint="eastAsia"/>
        </w:rPr>
        <w:t>股總交易金額除以第一個發行日之前</w:t>
      </w:r>
      <w:r>
        <w:rPr>
          <w:rFonts w:ascii="PMingLiU" w:eastAsia="PMingLiU" w:hAnsi="PMingLiU" w:hint="eastAsia"/>
        </w:rPr>
        <w:t>20</w:t>
      </w:r>
      <w:r>
        <w:rPr>
          <w:rFonts w:ascii="PMingLiU" w:eastAsia="PMingLiU" w:hAnsi="PMingLiU" w:cs="PMingLiU" w:hint="eastAsia"/>
        </w:rPr>
        <w:t>個交易日的</w:t>
      </w:r>
      <w:r>
        <w:rPr>
          <w:rFonts w:ascii="PMingLiU" w:eastAsia="PMingLiU" w:hAnsi="PMingLiU" w:hint="eastAsia"/>
        </w:rPr>
        <w:t>A</w:t>
      </w:r>
      <w:r>
        <w:rPr>
          <w:rFonts w:ascii="PMingLiU" w:eastAsia="PMingLiU" w:hAnsi="PMingLiU" w:cs="PMingLiU" w:hint="eastAsia"/>
        </w:rPr>
        <w:t>股總交易量）。</w:t>
      </w:r>
    </w:p>
    <w:p w:rsidR="00AE71E9" w:rsidRDefault="00AE71E9">
      <w:pPr>
        <w:snapToGrid w:val="0"/>
        <w:jc w:val="both"/>
      </w:pPr>
    </w:p>
    <w:p w:rsidR="00AE71E9" w:rsidRPr="00264CB7" w:rsidRDefault="00FE1CE4">
      <w:pPr>
        <w:snapToGrid w:val="0"/>
        <w:jc w:val="both"/>
        <w:rPr>
          <w:rFonts w:eastAsia="宋体"/>
          <w:lang w:eastAsia="zh-CN"/>
        </w:rPr>
      </w:pPr>
      <w:r>
        <w:rPr>
          <w:rFonts w:ascii="PMingLiU" w:eastAsia="PMingLiU" w:hAnsi="PMingLiU" w:cs="PMingLiU" w:hint="eastAsia"/>
        </w:rPr>
        <w:t>建議配售的首個發行日期為二零一七年九月二十日。根據</w:t>
      </w:r>
      <w:r>
        <w:t>20</w:t>
      </w:r>
      <w:r>
        <w:rPr>
          <w:rFonts w:ascii="PMingLiU" w:eastAsia="PMingLiU" w:hAnsi="PMingLiU" w:cs="PMingLiU" w:hint="eastAsia"/>
        </w:rPr>
        <w:t>日平均成交價，認購價（</w:t>
      </w:r>
      <w:r>
        <w:t>20</w:t>
      </w:r>
      <w:r>
        <w:rPr>
          <w:rFonts w:ascii="PMingLiU" w:eastAsia="PMingLiU" w:hAnsi="PMingLiU" w:cs="PMingLiU" w:hint="eastAsia"/>
        </w:rPr>
        <w:t>日平均成交價的</w:t>
      </w:r>
      <w:r>
        <w:t>70</w:t>
      </w:r>
      <w:r>
        <w:rPr>
          <w:rFonts w:ascii="PMingLiU" w:eastAsia="PMingLiU" w:hAnsi="PMingLiU" w:cs="PMingLiU" w:hint="eastAsia"/>
        </w:rPr>
        <w:t>％）為每股</w:t>
      </w:r>
      <w:r>
        <w:t>A</w:t>
      </w:r>
      <w:r>
        <w:rPr>
          <w:rFonts w:ascii="PMingLiU" w:eastAsia="PMingLiU" w:hAnsi="PMingLiU" w:cs="PMingLiU" w:hint="eastAsia"/>
        </w:rPr>
        <w:t>股人民幣</w:t>
      </w:r>
      <w:r>
        <w:t>11.15</w:t>
      </w:r>
      <w:r>
        <w:rPr>
          <w:rFonts w:ascii="PMingLiU" w:eastAsia="PMingLiU" w:hAnsi="PMingLiU" w:cs="PMingLiU" w:hint="eastAsia"/>
        </w:rPr>
        <w:t>元。</w:t>
      </w:r>
    </w:p>
    <w:p w:rsidR="00AE71E9" w:rsidRDefault="00AE71E9">
      <w:pPr>
        <w:snapToGrid w:val="0"/>
        <w:jc w:val="both"/>
      </w:pPr>
    </w:p>
    <w:p w:rsidR="00AE71E9" w:rsidRDefault="00FE1CE4">
      <w:pPr>
        <w:snapToGrid w:val="0"/>
        <w:jc w:val="both"/>
      </w:pPr>
      <w:r>
        <w:rPr>
          <w:rFonts w:ascii="PMingLiU" w:eastAsia="PMingLiU" w:hAnsi="PMingLiU" w:cs="PMingLiU" w:hint="eastAsia"/>
        </w:rPr>
        <w:t>重慶寶潤私募投資</w:t>
      </w:r>
      <w:r>
        <w:t>1</w:t>
      </w:r>
      <w:r>
        <w:rPr>
          <w:rFonts w:ascii="PMingLiU" w:eastAsia="PMingLiU" w:hAnsi="PMingLiU" w:cs="PMingLiU" w:hint="eastAsia"/>
        </w:rPr>
        <w:t>號基金已於二零一七年九月十一日決定不認購建議配售，而北京信誠達融資產管理有限公司私募投資</w:t>
      </w:r>
      <w:r>
        <w:t xml:space="preserve">1 </w:t>
      </w:r>
      <w:r>
        <w:rPr>
          <w:rFonts w:ascii="PMingLiU" w:eastAsia="PMingLiU" w:hAnsi="PMingLiU" w:cs="PMingLiU" w:hint="eastAsia"/>
        </w:rPr>
        <w:t>號基金未能根據認購協議為認購事項支付款項。</w:t>
      </w:r>
    </w:p>
    <w:p w:rsidR="00AE71E9" w:rsidRDefault="00AE71E9">
      <w:pPr>
        <w:snapToGrid w:val="0"/>
        <w:jc w:val="both"/>
      </w:pPr>
    </w:p>
    <w:p w:rsidR="00AE71E9" w:rsidRDefault="00FE1CE4">
      <w:pPr>
        <w:snapToGrid w:val="0"/>
        <w:jc w:val="both"/>
        <w:rPr>
          <w:rFonts w:ascii="PMingLiU" w:eastAsia="PMingLiU" w:hAnsi="PMingLiU" w:cs="PMingLiU"/>
        </w:rPr>
      </w:pPr>
      <w:r>
        <w:rPr>
          <w:rFonts w:ascii="PMingLiU" w:eastAsia="PMingLiU" w:hAnsi="PMingLiU" w:cs="PMingLiU" w:hint="eastAsia"/>
        </w:rPr>
        <w:t>因為（</w:t>
      </w:r>
      <w:r>
        <w:t>i</w:t>
      </w:r>
      <w:r>
        <w:rPr>
          <w:rFonts w:ascii="PMingLiU" w:eastAsia="PMingLiU" w:hAnsi="PMingLiU" w:cs="PMingLiU" w:hint="eastAsia"/>
        </w:rPr>
        <w:t>）</w:t>
      </w:r>
      <w:r>
        <w:rPr>
          <w:rFonts w:ascii="PMingLiU" w:eastAsia="SimSun" w:hAnsi="PMingLiU" w:cs="PMingLiU" w:hint="eastAsia"/>
        </w:rPr>
        <w:t>如</w:t>
      </w:r>
      <w:r>
        <w:rPr>
          <w:rFonts w:ascii="PMingLiU" w:eastAsia="SimSun" w:hAnsi="PMingLiU" w:cs="PMingLiU" w:hint="eastAsia"/>
          <w:lang w:eastAsia="zh-CN"/>
        </w:rPr>
        <w:t>本</w:t>
      </w:r>
      <w:r>
        <w:rPr>
          <w:rFonts w:ascii="PMingLiU" w:eastAsia="SimSun" w:hAnsi="PMingLiU" w:cs="PMingLiU" w:hint="eastAsia"/>
        </w:rPr>
        <w:t>公告</w:t>
      </w:r>
      <w:r>
        <w:rPr>
          <w:rFonts w:ascii="PMingLiU" w:eastAsia="PMingLiU" w:hAnsi="PMingLiU" w:cs="PMingLiU" w:hint="eastAsia"/>
        </w:rPr>
        <w:t>所披露，認購價按首個發行日起的</w:t>
      </w:r>
      <w:r>
        <w:t>20</w:t>
      </w:r>
      <w:r>
        <w:rPr>
          <w:rFonts w:ascii="PMingLiU" w:eastAsia="PMingLiU" w:hAnsi="PMingLiU" w:cs="PMingLiU" w:hint="eastAsia"/>
        </w:rPr>
        <w:t>日平均成交價計算於二零一六年九月十四日由每股</w:t>
      </w:r>
      <w:r>
        <w:t>A</w:t>
      </w:r>
      <w:r>
        <w:rPr>
          <w:rFonts w:ascii="PMingLiU" w:eastAsia="PMingLiU" w:hAnsi="PMingLiU" w:cs="PMingLiU" w:hint="eastAsia"/>
        </w:rPr>
        <w:t>股人民幣</w:t>
      </w:r>
      <w:r>
        <w:t>9.34</w:t>
      </w:r>
      <w:r>
        <w:rPr>
          <w:rFonts w:ascii="PMingLiU" w:eastAsia="PMingLiU" w:hAnsi="PMingLiU" w:cs="PMingLiU" w:hint="eastAsia"/>
        </w:rPr>
        <w:t>元調整至每股</w:t>
      </w:r>
      <w:r>
        <w:t>A</w:t>
      </w:r>
      <w:r>
        <w:rPr>
          <w:rFonts w:ascii="PMingLiU" w:eastAsia="PMingLiU" w:hAnsi="PMingLiU" w:cs="PMingLiU" w:hint="eastAsia"/>
        </w:rPr>
        <w:t>股</w:t>
      </w:r>
      <w:r>
        <w:t>11.15</w:t>
      </w:r>
      <w:r>
        <w:rPr>
          <w:rFonts w:ascii="PMingLiU" w:eastAsia="PMingLiU" w:hAnsi="PMingLiU" w:cs="PMingLiU" w:hint="eastAsia"/>
        </w:rPr>
        <w:t>元</w:t>
      </w:r>
      <w:r>
        <w:t>;</w:t>
      </w:r>
      <w:r>
        <w:rPr>
          <w:rFonts w:ascii="PMingLiU" w:eastAsia="PMingLiU" w:hAnsi="PMingLiU" w:cs="PMingLiU" w:hint="eastAsia"/>
        </w:rPr>
        <w:t>及（</w:t>
      </w:r>
      <w:r>
        <w:t>ii</w:t>
      </w:r>
      <w:r>
        <w:rPr>
          <w:rFonts w:ascii="PMingLiU" w:eastAsia="PMingLiU" w:hAnsi="PMingLiU" w:cs="PMingLiU" w:hint="eastAsia"/>
        </w:rPr>
        <w:t>）重慶寶潤私募投資</w:t>
      </w:r>
      <w:r>
        <w:t>1</w:t>
      </w:r>
      <w:r>
        <w:rPr>
          <w:rFonts w:ascii="PMingLiU" w:eastAsia="PMingLiU" w:hAnsi="PMingLiU" w:cs="PMingLiU" w:hint="eastAsia"/>
        </w:rPr>
        <w:t>號基金及北京信誠達融資產管理有限公司私募投資</w:t>
      </w:r>
      <w:r>
        <w:t xml:space="preserve">1 </w:t>
      </w:r>
      <w:r>
        <w:rPr>
          <w:rFonts w:ascii="PMingLiU" w:eastAsia="PMingLiU" w:hAnsi="PMingLiU" w:cs="PMingLiU" w:hint="eastAsia"/>
        </w:rPr>
        <w:t>號基金對建議配售的認購中止，建議配售下發行的</w:t>
      </w:r>
      <w:r>
        <w:t>A</w:t>
      </w:r>
      <w:r>
        <w:rPr>
          <w:rFonts w:ascii="PMingLiU" w:eastAsia="PMingLiU" w:hAnsi="PMingLiU" w:cs="PMingLiU" w:hint="eastAsia"/>
        </w:rPr>
        <w:t>股股份數目調整為</w:t>
      </w:r>
      <w:r>
        <w:t>21,040,591</w:t>
      </w:r>
      <w:r>
        <w:rPr>
          <w:rFonts w:ascii="PMingLiU" w:eastAsia="PMingLiU" w:hAnsi="PMingLiU" w:cs="PMingLiU" w:hint="eastAsia"/>
        </w:rPr>
        <w:t>股</w:t>
      </w:r>
      <w:r>
        <w:t>A</w:t>
      </w:r>
      <w:r>
        <w:rPr>
          <w:rFonts w:ascii="PMingLiU" w:eastAsia="PMingLiU" w:hAnsi="PMingLiU" w:cs="PMingLiU" w:hint="eastAsia"/>
        </w:rPr>
        <w:t>股</w:t>
      </w:r>
      <w:r>
        <w:rPr>
          <w:rFonts w:ascii="PMingLiU" w:eastAsia="SimSun" w:hAnsi="PMingLiU" w:cs="PMingLiU" w:hint="eastAsia"/>
          <w:lang w:eastAsia="zh-CN"/>
        </w:rPr>
        <w:t>（“</w:t>
      </w:r>
      <w:r>
        <w:rPr>
          <w:rFonts w:ascii="Times New Roman" w:eastAsia="SimSun" w:hAnsi="Times New Roman" w:cs="Times New Roman" w:hint="eastAsia"/>
          <w:szCs w:val="24"/>
          <w:lang w:val="zh-CN"/>
        </w:rPr>
        <w:t>新增股份</w:t>
      </w:r>
      <w:r>
        <w:rPr>
          <w:rFonts w:ascii="PMingLiU" w:eastAsia="SimSun" w:hAnsi="PMingLiU" w:cs="PMingLiU" w:hint="eastAsia"/>
          <w:lang w:eastAsia="zh-CN"/>
        </w:rPr>
        <w:t>”）</w:t>
      </w:r>
      <w:r>
        <w:rPr>
          <w:rFonts w:ascii="PMingLiU" w:eastAsia="SimSun" w:hAnsi="PMingLiU" w:cs="PMingLiU" w:hint="eastAsia"/>
        </w:rPr>
        <w:t>，</w:t>
      </w:r>
      <w:r>
        <w:rPr>
          <w:rFonts w:ascii="PMingLiU" w:eastAsia="PMingLiU" w:hAnsi="PMingLiU" w:cs="PMingLiU" w:hint="eastAsia"/>
        </w:rPr>
        <w:t>其中員工持股計劃認購</w:t>
      </w:r>
      <w:r>
        <w:t>3,109,686</w:t>
      </w:r>
      <w:r>
        <w:rPr>
          <w:rFonts w:ascii="PMingLiU" w:eastAsia="PMingLiU" w:hAnsi="PMingLiU" w:cs="PMingLiU" w:hint="eastAsia"/>
        </w:rPr>
        <w:t>股</w:t>
      </w:r>
      <w:r>
        <w:t>A</w:t>
      </w:r>
      <w:r>
        <w:rPr>
          <w:rFonts w:ascii="PMingLiU" w:eastAsia="PMingLiU" w:hAnsi="PMingLiU" w:cs="PMingLiU" w:hint="eastAsia"/>
        </w:rPr>
        <w:t>股，山東聚贏產業基金（有限合夥</w:t>
      </w:r>
      <w:r>
        <w:t>)</w:t>
      </w:r>
      <w:r>
        <w:rPr>
          <w:rFonts w:ascii="PMingLiU" w:eastAsia="PMingLiU" w:hAnsi="PMingLiU" w:cs="PMingLiU" w:hint="eastAsia"/>
        </w:rPr>
        <w:t>認購</w:t>
      </w:r>
      <w:r>
        <w:t>17,930,905</w:t>
      </w:r>
      <w:r>
        <w:rPr>
          <w:rFonts w:ascii="PMingLiU" w:eastAsia="PMingLiU" w:hAnsi="PMingLiU" w:cs="PMingLiU" w:hint="eastAsia"/>
        </w:rPr>
        <w:t>股</w:t>
      </w:r>
      <w:r>
        <w:t>A</w:t>
      </w:r>
      <w:r>
        <w:rPr>
          <w:rFonts w:ascii="PMingLiU" w:eastAsia="PMingLiU" w:hAnsi="PMingLiU" w:cs="PMingLiU" w:hint="eastAsia"/>
        </w:rPr>
        <w:t>股。</w:t>
      </w:r>
    </w:p>
    <w:p w:rsidR="00AE71E9" w:rsidRDefault="00AE71E9">
      <w:pPr>
        <w:rPr>
          <w:rFonts w:ascii="Times New Roman" w:hAnsi="Times New Roman" w:cs="Times New Roman"/>
          <w:b/>
          <w:color w:val="000000" w:themeColor="text1"/>
          <w:szCs w:val="24"/>
        </w:rPr>
      </w:pPr>
    </w:p>
    <w:p w:rsidR="00AE71E9" w:rsidRDefault="00FE1CE4">
      <w:pPr>
        <w:rPr>
          <w:rFonts w:ascii="Times New Roman" w:eastAsiaTheme="majorEastAsia" w:hAnsi="Times New Roman" w:cs="Times New Roman"/>
          <w:b/>
          <w:color w:val="000000" w:themeColor="text1"/>
          <w:szCs w:val="24"/>
        </w:rPr>
      </w:pPr>
      <w:r>
        <w:rPr>
          <w:rFonts w:ascii="Times New Roman" w:eastAsia="SimSun" w:hAnsi="Times New Roman" w:cs="Times New Roman"/>
          <w:b/>
          <w:color w:val="000000" w:themeColor="text1"/>
          <w:szCs w:val="24"/>
        </w:rPr>
        <w:t>根據建議事項發行</w:t>
      </w:r>
      <w:r>
        <w:rPr>
          <w:rFonts w:ascii="Times New Roman" w:eastAsia="SimSun" w:hAnsi="Times New Roman" w:cs="Times New Roman"/>
          <w:b/>
          <w:color w:val="000000" w:themeColor="text1"/>
          <w:szCs w:val="24"/>
        </w:rPr>
        <w:t>A</w:t>
      </w:r>
      <w:r>
        <w:rPr>
          <w:rFonts w:ascii="Times New Roman" w:eastAsia="SimSun" w:hAnsi="Times New Roman" w:cs="Times New Roman"/>
          <w:b/>
          <w:color w:val="000000" w:themeColor="text1"/>
          <w:szCs w:val="24"/>
        </w:rPr>
        <w:t>股</w:t>
      </w:r>
    </w:p>
    <w:p w:rsidR="00AE71E9" w:rsidRDefault="00AE71E9">
      <w:pPr>
        <w:rPr>
          <w:rFonts w:ascii="Times New Roman" w:eastAsiaTheme="majorEastAsia" w:hAnsi="Times New Roman" w:cs="Times New Roman"/>
          <w:b/>
          <w:color w:val="000000" w:themeColor="text1"/>
          <w:szCs w:val="24"/>
        </w:rPr>
      </w:pPr>
    </w:p>
    <w:p w:rsidR="00AE71E9" w:rsidRPr="00264CB7" w:rsidRDefault="00FE1CE4">
      <w:pPr>
        <w:jc w:val="both"/>
        <w:rPr>
          <w:rFonts w:ascii="Times New Roman" w:eastAsia="SimSun" w:hAnsi="Times New Roman" w:cs="Times New Roman"/>
          <w:color w:val="000000" w:themeColor="text1"/>
          <w:szCs w:val="24"/>
        </w:rPr>
      </w:pPr>
      <w:r>
        <w:rPr>
          <w:rFonts w:ascii="Times New Roman" w:eastAsia="SimSun" w:hAnsi="Times New Roman" w:cs="Times New Roman"/>
          <w:color w:val="000000" w:themeColor="text1"/>
          <w:szCs w:val="24"/>
        </w:rPr>
        <w:t>本公司謹此宣佈，於二</w:t>
      </w:r>
      <w:r w:rsidRPr="00264CB7">
        <w:rPr>
          <w:rFonts w:ascii="Times New Roman" w:eastAsia="SimSun" w:hAnsi="Times New Roman" w:cs="Times New Roman"/>
          <w:color w:val="000000" w:themeColor="text1"/>
          <w:szCs w:val="24"/>
        </w:rPr>
        <w:t>零一七</w:t>
      </w:r>
      <w:r w:rsidR="00264CB7" w:rsidRPr="00264CB7">
        <w:rPr>
          <w:rFonts w:ascii="Times New Roman" w:eastAsia="PMingLiU" w:hAnsi="Times New Roman" w:cs="Times New Roman" w:hint="eastAsia"/>
          <w:color w:val="000000" w:themeColor="text1"/>
          <w:szCs w:val="24"/>
        </w:rPr>
        <w:t>年</w:t>
      </w:r>
      <w:r w:rsidR="00264CB7" w:rsidRPr="00264CB7">
        <w:rPr>
          <w:rFonts w:ascii="Times New Roman" w:eastAsia="PMingLiU" w:hAnsi="Times New Roman" w:hint="eastAsia"/>
          <w:szCs w:val="24"/>
        </w:rPr>
        <w:t>十月十一日</w:t>
      </w:r>
      <w:r w:rsidR="00264CB7" w:rsidRPr="00264CB7">
        <w:rPr>
          <w:rFonts w:ascii="Times New Roman" w:eastAsia="PMingLiU" w:hAnsi="Times New Roman" w:cs="Times New Roman" w:hint="eastAsia"/>
          <w:color w:val="000000" w:themeColor="text1"/>
          <w:szCs w:val="24"/>
        </w:rPr>
        <w:t>，</w:t>
      </w:r>
      <w:r w:rsidRPr="00264CB7">
        <w:rPr>
          <w:rFonts w:ascii="Times New Roman" w:eastAsia="SimSun" w:hAnsi="Times New Roman" w:cs="Times New Roman" w:hint="eastAsia"/>
          <w:color w:val="000000" w:themeColor="text1"/>
          <w:szCs w:val="24"/>
        </w:rPr>
        <w:t>該等</w:t>
      </w:r>
      <w:r>
        <w:rPr>
          <w:rFonts w:ascii="Times New Roman" w:eastAsia="SimSun" w:hAnsi="Times New Roman" w:cs="Times New Roman" w:hint="eastAsia"/>
          <w:color w:val="000000" w:themeColor="text1"/>
          <w:szCs w:val="24"/>
        </w:rPr>
        <w:t>增發股份</w:t>
      </w:r>
      <w:r>
        <w:rPr>
          <w:rFonts w:asciiTheme="minorEastAsia" w:hAnsiTheme="minorEastAsia" w:cs="Times New Roman" w:hint="eastAsia"/>
          <w:color w:val="000000" w:themeColor="text1"/>
          <w:szCs w:val="24"/>
        </w:rPr>
        <w:t>己正式登記到</w:t>
      </w:r>
      <w:r>
        <w:rPr>
          <w:rFonts w:ascii="PMingLiU" w:eastAsia="PMingLiU" w:hAnsi="PMingLiU" w:cs="PMingLiU" w:hint="eastAsia"/>
        </w:rPr>
        <w:t>員工持股計劃</w:t>
      </w:r>
      <w:r>
        <w:rPr>
          <w:rFonts w:ascii="PMingLiU" w:hAnsi="PMingLiU" w:cs="PMingLiU" w:hint="eastAsia"/>
        </w:rPr>
        <w:t>及</w:t>
      </w:r>
      <w:r>
        <w:rPr>
          <w:rFonts w:ascii="PMingLiU" w:eastAsia="PMingLiU" w:hAnsi="PMingLiU" w:cs="PMingLiU" w:hint="eastAsia"/>
        </w:rPr>
        <w:t>山東聚贏產業基金（有限合夥</w:t>
      </w:r>
      <w:r>
        <w:t>)</w:t>
      </w:r>
      <w:r>
        <w:rPr>
          <w:rFonts w:eastAsia="SimSun" w:hint="eastAsia"/>
          <w:lang w:eastAsia="zh-CN"/>
        </w:rPr>
        <w:t>（“</w:t>
      </w:r>
      <w:r>
        <w:rPr>
          <w:rFonts w:ascii="Times New Roman" w:eastAsia="SimSun" w:hAnsi="Times New Roman" w:cs="Times New Roman" w:hint="eastAsia"/>
          <w:szCs w:val="24"/>
          <w:lang w:val="zh-CN"/>
        </w:rPr>
        <w:t>本次發行對象</w:t>
      </w:r>
      <w:r>
        <w:rPr>
          <w:rFonts w:eastAsia="SimSun" w:hint="eastAsia"/>
          <w:lang w:eastAsia="zh-CN"/>
        </w:rPr>
        <w:t>”）</w:t>
      </w:r>
      <w:r>
        <w:rPr>
          <w:rFonts w:ascii="Times New Roman" w:eastAsia="SimSun" w:hAnsi="Times New Roman" w:cs="Times New Roman" w:hint="eastAsia"/>
          <w:color w:val="000000" w:themeColor="text1"/>
          <w:szCs w:val="24"/>
        </w:rPr>
        <w:t>名下</w:t>
      </w:r>
      <w:r>
        <w:rPr>
          <w:rFonts w:ascii="Times New Roman" w:eastAsia="SimSun" w:hAnsi="Times New Roman" w:cs="Times New Roman"/>
          <w:color w:val="000000" w:themeColor="text1"/>
          <w:szCs w:val="24"/>
        </w:rPr>
        <w:t>，</w:t>
      </w:r>
      <w:r>
        <w:rPr>
          <w:rFonts w:ascii="Times New Roman" w:eastAsia="SimSun" w:hAnsi="Times New Roman" w:cs="Times New Roman" w:hint="eastAsia"/>
          <w:color w:val="000000" w:themeColor="text1"/>
          <w:szCs w:val="24"/>
        </w:rPr>
        <w:t>並於深圳交易所上市。因此</w:t>
      </w:r>
      <w:r>
        <w:rPr>
          <w:rFonts w:asciiTheme="minorEastAsia" w:hAnsiTheme="minorEastAsia" w:cs="Times New Roman" w:hint="eastAsia"/>
          <w:color w:val="000000" w:themeColor="text1"/>
          <w:szCs w:val="24"/>
        </w:rPr>
        <w:t>，</w:t>
      </w:r>
      <w:r>
        <w:rPr>
          <w:rFonts w:ascii="Times New Roman" w:eastAsia="SimSun" w:hAnsi="Times New Roman" w:cs="Times New Roman"/>
          <w:color w:val="000000" w:themeColor="text1"/>
          <w:szCs w:val="24"/>
        </w:rPr>
        <w:t>根據建議配售</w:t>
      </w:r>
      <w:r w:rsidRPr="00264CB7">
        <w:rPr>
          <w:rFonts w:asciiTheme="minorEastAsia" w:hAnsiTheme="minorEastAsia" w:cs="Times New Roman" w:hint="eastAsia"/>
          <w:color w:val="000000" w:themeColor="text1"/>
          <w:szCs w:val="24"/>
        </w:rPr>
        <w:t>己於</w:t>
      </w:r>
      <w:r w:rsidRPr="00264CB7">
        <w:rPr>
          <w:rFonts w:ascii="Times New Roman" w:eastAsia="SimSun" w:hAnsi="Times New Roman" w:cs="Times New Roman"/>
          <w:color w:val="000000" w:themeColor="text1"/>
          <w:szCs w:val="24"/>
        </w:rPr>
        <w:t>二零一</w:t>
      </w:r>
      <w:r w:rsidR="00264CB7" w:rsidRPr="00264CB7">
        <w:rPr>
          <w:rFonts w:ascii="Times New Roman" w:eastAsia="PMingLiU" w:hAnsi="Times New Roman" w:cs="Times New Roman" w:hint="eastAsia"/>
          <w:color w:val="000000" w:themeColor="text1"/>
          <w:szCs w:val="24"/>
        </w:rPr>
        <w:t>七年</w:t>
      </w:r>
      <w:r w:rsidR="00264CB7" w:rsidRPr="00264CB7">
        <w:rPr>
          <w:rFonts w:ascii="Times New Roman" w:eastAsia="PMingLiU" w:hAnsi="Times New Roman" w:hint="eastAsia"/>
          <w:szCs w:val="24"/>
        </w:rPr>
        <w:t>十月十一日</w:t>
      </w:r>
      <w:r w:rsidR="00264CB7" w:rsidRPr="00264CB7">
        <w:rPr>
          <w:rFonts w:ascii="Times New Roman" w:eastAsia="PMingLiU" w:hAnsi="Times New Roman" w:cs="Times New Roman" w:hint="eastAsia"/>
          <w:color w:val="000000" w:themeColor="text1"/>
          <w:szCs w:val="24"/>
        </w:rPr>
        <w:t>完</w:t>
      </w:r>
      <w:r w:rsidRPr="00264CB7">
        <w:rPr>
          <w:rFonts w:ascii="Times New Roman" w:eastAsia="SimSun" w:hAnsi="Times New Roman" w:cs="Times New Roman"/>
          <w:color w:val="000000" w:themeColor="text1"/>
          <w:szCs w:val="24"/>
        </w:rPr>
        <w:t>成。</w:t>
      </w:r>
    </w:p>
    <w:p w:rsidR="00AE71E9" w:rsidRDefault="00FE1CE4" w:rsidP="00234ED5">
      <w:pPr>
        <w:spacing w:before="156" w:after="156" w:line="360" w:lineRule="auto"/>
        <w:rPr>
          <w:rFonts w:ascii="Times New Roman" w:eastAsia="SimSun" w:hAnsi="Times New Roman" w:cs="Times New Roman"/>
          <w:szCs w:val="24"/>
          <w:lang w:val="zh-CN"/>
        </w:rPr>
      </w:pPr>
      <w:r>
        <w:rPr>
          <w:rFonts w:ascii="Times New Roman" w:eastAsia="SimSun" w:hAnsi="Times New Roman" w:cs="Times New Roman" w:hint="eastAsia"/>
          <w:szCs w:val="24"/>
          <w:lang w:val="zh-CN"/>
        </w:rPr>
        <w:t>本次發行對象所認購的股票限售期為</w:t>
      </w:r>
      <w:r>
        <w:rPr>
          <w:rFonts w:ascii="Times New Roman" w:eastAsia="SimSun" w:hAnsi="Times New Roman" w:cs="Times New Roman" w:hint="eastAsia"/>
          <w:szCs w:val="24"/>
          <w:lang w:val="zh-CN"/>
        </w:rPr>
        <w:t>36</w:t>
      </w:r>
      <w:r>
        <w:rPr>
          <w:rFonts w:ascii="Times New Roman" w:eastAsia="SimSun" w:hAnsi="Times New Roman" w:cs="Times New Roman" w:hint="eastAsia"/>
          <w:szCs w:val="24"/>
          <w:lang w:val="zh-CN"/>
        </w:rPr>
        <w:t>個月，即自新增股份上市之日起</w:t>
      </w:r>
      <w:r>
        <w:rPr>
          <w:rFonts w:ascii="Times New Roman" w:eastAsia="SimSun" w:hAnsi="Times New Roman" w:cs="Times New Roman" w:hint="eastAsia"/>
          <w:szCs w:val="24"/>
          <w:lang w:val="zh-CN"/>
        </w:rPr>
        <w:t>36</w:t>
      </w:r>
      <w:r>
        <w:rPr>
          <w:rFonts w:ascii="Times New Roman" w:eastAsia="SimSun" w:hAnsi="Times New Roman" w:cs="Times New Roman" w:hint="eastAsia"/>
          <w:szCs w:val="24"/>
          <w:lang w:val="zh-CN"/>
        </w:rPr>
        <w:t>個月內不得轉讓。預計可上市流通時間為</w:t>
      </w:r>
      <w:r>
        <w:rPr>
          <w:rFonts w:ascii="Times New Roman" w:eastAsia="SimSun" w:hAnsi="Times New Roman" w:cs="Times New Roman" w:hint="eastAsia"/>
          <w:szCs w:val="24"/>
          <w:lang w:val="zh-CN"/>
        </w:rPr>
        <w:t>2020</w:t>
      </w:r>
      <w:r>
        <w:rPr>
          <w:rFonts w:ascii="Times New Roman" w:eastAsia="SimSun" w:hAnsi="Times New Roman" w:cs="Times New Roman" w:hint="eastAsia"/>
          <w:szCs w:val="24"/>
          <w:lang w:val="zh-CN"/>
        </w:rPr>
        <w:t>年</w:t>
      </w:r>
      <w:r w:rsidR="00264CB7">
        <w:rPr>
          <w:rFonts w:ascii="Times New Roman" w:eastAsia="宋体" w:hAnsi="Times New Roman" w:cs="Times New Roman" w:hint="eastAsia"/>
          <w:szCs w:val="24"/>
          <w:lang w:val="zh-CN" w:eastAsia="zh-CN"/>
        </w:rPr>
        <w:t>10</w:t>
      </w:r>
      <w:r w:rsidR="00264CB7">
        <w:rPr>
          <w:rFonts w:ascii="Times New Roman" w:eastAsia="SimSun" w:hAnsi="Times New Roman" w:cs="Times New Roman" w:hint="eastAsia"/>
          <w:szCs w:val="24"/>
          <w:lang w:val="zh-CN"/>
        </w:rPr>
        <w:t>月</w:t>
      </w:r>
      <w:r w:rsidR="00876ECF">
        <w:rPr>
          <w:rFonts w:ascii="Times New Roman" w:eastAsia="宋体" w:hAnsi="Times New Roman" w:cs="Times New Roman" w:hint="eastAsia"/>
          <w:szCs w:val="24"/>
          <w:lang w:val="zh-CN" w:eastAsia="zh-CN"/>
        </w:rPr>
        <w:t>13</w:t>
      </w:r>
      <w:r>
        <w:rPr>
          <w:rFonts w:ascii="Times New Roman" w:eastAsia="SimSun" w:hAnsi="Times New Roman" w:cs="Times New Roman" w:hint="eastAsia"/>
          <w:szCs w:val="24"/>
          <w:lang w:val="zh-CN"/>
        </w:rPr>
        <w:t>日。</w:t>
      </w:r>
    </w:p>
    <w:p w:rsidR="00AE71E9" w:rsidRDefault="00AE71E9" w:rsidP="00234ED5">
      <w:pPr>
        <w:spacing w:before="156" w:after="156" w:line="360" w:lineRule="auto"/>
        <w:rPr>
          <w:rFonts w:ascii="Times New Roman" w:eastAsia="SimSun" w:hAnsi="Times New Roman" w:cs="Times New Roman"/>
          <w:szCs w:val="24"/>
          <w:lang w:val="zh-CN"/>
        </w:rPr>
      </w:pPr>
    </w:p>
    <w:p w:rsidR="00AE71E9" w:rsidRDefault="00FE1CE4">
      <w:pPr>
        <w:jc w:val="both"/>
        <w:rPr>
          <w:rFonts w:ascii="Times New Roman" w:eastAsiaTheme="majorEastAsia" w:hAnsi="Times New Roman" w:cs="Times New Roman"/>
          <w:color w:val="000000" w:themeColor="text1"/>
          <w:szCs w:val="24"/>
        </w:rPr>
      </w:pPr>
      <w:r>
        <w:rPr>
          <w:rFonts w:ascii="Times New Roman" w:eastAsia="SimSun" w:hAnsi="Times New Roman" w:cs="Times New Roman" w:hint="eastAsia"/>
          <w:color w:val="000000" w:themeColor="text1"/>
          <w:szCs w:val="24"/>
        </w:rPr>
        <w:t>本公司根據建議配售而發行</w:t>
      </w:r>
      <w:r>
        <w:rPr>
          <w:rFonts w:ascii="Times New Roman" w:eastAsia="SimSun" w:hAnsi="Times New Roman" w:cs="Times New Roman" w:hint="eastAsia"/>
          <w:color w:val="000000" w:themeColor="text1"/>
          <w:szCs w:val="24"/>
        </w:rPr>
        <w:t>A</w:t>
      </w:r>
      <w:r>
        <w:rPr>
          <w:rFonts w:ascii="Times New Roman" w:eastAsia="SimSun" w:hAnsi="Times New Roman" w:cs="Times New Roman" w:hint="eastAsia"/>
          <w:color w:val="000000" w:themeColor="text1"/>
          <w:szCs w:val="24"/>
        </w:rPr>
        <w:t>股完成前</w:t>
      </w:r>
      <w:r>
        <w:rPr>
          <w:rFonts w:ascii="Times New Roman" w:eastAsia="SimSun" w:hAnsi="Times New Roman" w:cs="Times New Roman"/>
          <w:color w:val="000000" w:themeColor="text1"/>
          <w:szCs w:val="24"/>
        </w:rPr>
        <w:t>後</w:t>
      </w:r>
      <w:r>
        <w:rPr>
          <w:rFonts w:ascii="Times New Roman" w:eastAsia="SimSun" w:hAnsi="Times New Roman" w:cs="Times New Roman" w:hint="eastAsia"/>
          <w:color w:val="000000" w:themeColor="text1"/>
          <w:szCs w:val="24"/>
        </w:rPr>
        <w:t>之</w:t>
      </w:r>
      <w:r>
        <w:rPr>
          <w:rFonts w:ascii="Times New Roman" w:eastAsia="SimSun" w:hAnsi="Times New Roman" w:cs="Times New Roman"/>
          <w:color w:val="000000" w:themeColor="text1"/>
          <w:szCs w:val="24"/>
        </w:rPr>
        <w:t>股權</w:t>
      </w:r>
      <w:r>
        <w:rPr>
          <w:rFonts w:ascii="Times New Roman" w:eastAsia="SimSun" w:hAnsi="Times New Roman" w:cs="Times New Roman" w:hint="eastAsia"/>
          <w:color w:val="000000" w:themeColor="text1"/>
          <w:szCs w:val="24"/>
        </w:rPr>
        <w:t>情況亦已</w:t>
      </w:r>
      <w:r>
        <w:rPr>
          <w:rFonts w:ascii="Times New Roman" w:eastAsia="SimSun" w:hAnsi="Times New Roman" w:cs="Times New Roman"/>
          <w:color w:val="000000" w:themeColor="text1"/>
          <w:szCs w:val="24"/>
        </w:rPr>
        <w:t>載列</w:t>
      </w:r>
      <w:r>
        <w:rPr>
          <w:rFonts w:ascii="Times New Roman" w:eastAsia="SimSun" w:hAnsi="Times New Roman" w:cs="Times New Roman" w:hint="eastAsia"/>
          <w:color w:val="000000" w:themeColor="text1"/>
          <w:szCs w:val="24"/>
        </w:rPr>
        <w:t>於下</w:t>
      </w:r>
      <w:r>
        <w:rPr>
          <w:rFonts w:ascii="Times New Roman" w:eastAsia="SimSun" w:hAnsi="Times New Roman" w:cs="Times New Roman"/>
          <w:color w:val="000000" w:themeColor="text1"/>
          <w:szCs w:val="24"/>
        </w:rPr>
        <w:t>表</w:t>
      </w:r>
      <w:r>
        <w:rPr>
          <w:rFonts w:ascii="Times New Roman" w:eastAsia="SimSun" w:hAnsi="Times New Roman" w:cs="Times New Roman" w:hint="eastAsia"/>
          <w:color w:val="000000" w:themeColor="text1"/>
          <w:szCs w:val="24"/>
        </w:rPr>
        <w:t>。</w:t>
      </w:r>
    </w:p>
    <w:tbl>
      <w:tblPr>
        <w:tblStyle w:val="aa"/>
        <w:tblW w:w="8661" w:type="dxa"/>
        <w:jc w:val="right"/>
        <w:tblInd w:w="-7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62"/>
        <w:gridCol w:w="1929"/>
        <w:gridCol w:w="1617"/>
        <w:gridCol w:w="1929"/>
        <w:gridCol w:w="1624"/>
      </w:tblGrid>
      <w:tr w:rsidR="00AE71E9">
        <w:trPr>
          <w:jc w:val="right"/>
        </w:trPr>
        <w:tc>
          <w:tcPr>
            <w:tcW w:w="1562" w:type="dxa"/>
            <w:vAlign w:val="bottom"/>
          </w:tcPr>
          <w:p w:rsidR="00AE71E9" w:rsidRDefault="00FE1CE4">
            <w:pPr>
              <w:autoSpaceDE w:val="0"/>
              <w:autoSpaceDN w:val="0"/>
              <w:adjustRightInd w:val="0"/>
              <w:snapToGrid w:val="0"/>
              <w:rPr>
                <w:b/>
                <w:bCs/>
                <w:szCs w:val="24"/>
              </w:rPr>
            </w:pPr>
            <w:r>
              <w:rPr>
                <w:rFonts w:ascii="Times New Roman" w:eastAsia="SimSun" w:hAnsi="Times New Roman" w:cs="Times New Roman"/>
                <w:b/>
                <w:color w:val="000000" w:themeColor="text1"/>
                <w:szCs w:val="24"/>
              </w:rPr>
              <w:t>股東</w:t>
            </w:r>
          </w:p>
        </w:tc>
        <w:tc>
          <w:tcPr>
            <w:tcW w:w="3546" w:type="dxa"/>
            <w:gridSpan w:val="2"/>
            <w:vAlign w:val="bottom"/>
          </w:tcPr>
          <w:p w:rsidR="00AE71E9" w:rsidRDefault="00FE1CE4">
            <w:pPr>
              <w:autoSpaceDE w:val="0"/>
              <w:autoSpaceDN w:val="0"/>
              <w:adjustRightInd w:val="0"/>
              <w:snapToGrid w:val="0"/>
              <w:jc w:val="center"/>
              <w:rPr>
                <w:b/>
                <w:bCs/>
                <w:szCs w:val="24"/>
              </w:rPr>
            </w:pPr>
            <w:r>
              <w:rPr>
                <w:rFonts w:ascii="Times New Roman" w:eastAsia="SimSun" w:hAnsi="Times New Roman" w:cs="Times New Roman"/>
                <w:b/>
                <w:color w:val="000000" w:themeColor="text1"/>
                <w:szCs w:val="24"/>
              </w:rPr>
              <w:t>緊</w:t>
            </w:r>
            <w:r>
              <w:rPr>
                <w:rFonts w:asciiTheme="minorEastAsia" w:eastAsia="SimSun" w:hAnsiTheme="minorEastAsia" w:cs="Times New Roman" w:hint="eastAsia"/>
                <w:b/>
                <w:color w:val="000000" w:themeColor="text1"/>
                <w:szCs w:val="24"/>
              </w:rPr>
              <w:t>接</w:t>
            </w:r>
            <w:r>
              <w:rPr>
                <w:rFonts w:ascii="Times New Roman" w:eastAsia="SimSun" w:hAnsi="Times New Roman" w:cs="Times New Roman"/>
                <w:b/>
                <w:color w:val="000000" w:themeColor="text1"/>
                <w:szCs w:val="24"/>
              </w:rPr>
              <w:t>根據建議配售事項完成</w:t>
            </w:r>
            <w:r>
              <w:rPr>
                <w:rFonts w:ascii="Times New Roman" w:eastAsia="SimSun" w:hAnsi="Times New Roman" w:cs="Times New Roman"/>
                <w:b/>
                <w:color w:val="000000" w:themeColor="text1"/>
                <w:szCs w:val="24"/>
              </w:rPr>
              <w:t>A</w:t>
            </w:r>
            <w:r>
              <w:rPr>
                <w:rFonts w:ascii="Times New Roman" w:eastAsia="SimSun" w:hAnsi="Times New Roman" w:cs="Times New Roman"/>
                <w:b/>
                <w:color w:val="000000" w:themeColor="text1"/>
                <w:szCs w:val="24"/>
              </w:rPr>
              <w:t>股發</w:t>
            </w:r>
            <w:r>
              <w:rPr>
                <w:rFonts w:ascii="Times New Roman" w:eastAsia="SimSun" w:hAnsi="Times New Roman" w:cs="Times New Roman" w:hint="eastAsia"/>
                <w:b/>
                <w:color w:val="000000" w:themeColor="text1"/>
                <w:szCs w:val="24"/>
              </w:rPr>
              <w:t>行</w:t>
            </w:r>
            <w:r>
              <w:rPr>
                <w:rFonts w:ascii="Times New Roman" w:eastAsia="SimSun" w:hAnsi="Times New Roman" w:cs="Times New Roman"/>
                <w:b/>
                <w:color w:val="000000" w:themeColor="text1"/>
                <w:szCs w:val="24"/>
              </w:rPr>
              <w:t>前</w:t>
            </w:r>
          </w:p>
        </w:tc>
        <w:tc>
          <w:tcPr>
            <w:tcW w:w="3553" w:type="dxa"/>
            <w:gridSpan w:val="2"/>
            <w:vAlign w:val="bottom"/>
          </w:tcPr>
          <w:p w:rsidR="00AE71E9" w:rsidRDefault="00FE1CE4">
            <w:pPr>
              <w:autoSpaceDE w:val="0"/>
              <w:autoSpaceDN w:val="0"/>
              <w:adjustRightInd w:val="0"/>
              <w:snapToGrid w:val="0"/>
              <w:jc w:val="center"/>
              <w:rPr>
                <w:b/>
                <w:bCs/>
                <w:szCs w:val="24"/>
              </w:rPr>
            </w:pPr>
            <w:r>
              <w:rPr>
                <w:rFonts w:ascii="Times New Roman" w:eastAsia="SimSun" w:hAnsi="Times New Roman" w:cs="Times New Roman"/>
                <w:b/>
                <w:color w:val="000000" w:themeColor="text1"/>
                <w:szCs w:val="24"/>
              </w:rPr>
              <w:t>緊隨根據建議配售事項完成</w:t>
            </w:r>
            <w:r>
              <w:rPr>
                <w:rFonts w:ascii="Times New Roman" w:eastAsia="SimSun" w:hAnsi="Times New Roman" w:cs="Times New Roman"/>
                <w:b/>
                <w:color w:val="000000" w:themeColor="text1"/>
                <w:szCs w:val="24"/>
              </w:rPr>
              <w:t>A</w:t>
            </w:r>
            <w:r>
              <w:rPr>
                <w:rFonts w:ascii="Times New Roman" w:eastAsia="SimSun" w:hAnsi="Times New Roman" w:cs="Times New Roman"/>
                <w:b/>
                <w:color w:val="000000" w:themeColor="text1"/>
                <w:szCs w:val="24"/>
              </w:rPr>
              <w:t>股發</w:t>
            </w:r>
            <w:r>
              <w:rPr>
                <w:rFonts w:ascii="Times New Roman" w:eastAsia="SimSun" w:hAnsi="Times New Roman" w:cs="Times New Roman" w:hint="eastAsia"/>
                <w:b/>
                <w:color w:val="000000" w:themeColor="text1"/>
                <w:szCs w:val="24"/>
              </w:rPr>
              <w:t>行後</w:t>
            </w:r>
          </w:p>
        </w:tc>
      </w:tr>
      <w:tr w:rsidR="00AE71E9">
        <w:trPr>
          <w:jc w:val="right"/>
        </w:trPr>
        <w:tc>
          <w:tcPr>
            <w:tcW w:w="1562" w:type="dxa"/>
            <w:vAlign w:val="bottom"/>
          </w:tcPr>
          <w:p w:rsidR="00AE71E9" w:rsidRDefault="00AE71E9">
            <w:pPr>
              <w:autoSpaceDE w:val="0"/>
              <w:autoSpaceDN w:val="0"/>
              <w:adjustRightInd w:val="0"/>
              <w:snapToGrid w:val="0"/>
              <w:rPr>
                <w:b/>
                <w:bCs/>
                <w:szCs w:val="24"/>
              </w:rPr>
            </w:pPr>
          </w:p>
        </w:tc>
        <w:tc>
          <w:tcPr>
            <w:tcW w:w="3546" w:type="dxa"/>
            <w:gridSpan w:val="2"/>
            <w:vAlign w:val="bottom"/>
          </w:tcPr>
          <w:p w:rsidR="00AE71E9" w:rsidRDefault="00AE71E9">
            <w:pPr>
              <w:autoSpaceDE w:val="0"/>
              <w:autoSpaceDN w:val="0"/>
              <w:adjustRightInd w:val="0"/>
              <w:snapToGrid w:val="0"/>
              <w:jc w:val="center"/>
              <w:rPr>
                <w:b/>
                <w:bCs/>
                <w:szCs w:val="24"/>
              </w:rPr>
            </w:pPr>
          </w:p>
        </w:tc>
        <w:tc>
          <w:tcPr>
            <w:tcW w:w="3553" w:type="dxa"/>
            <w:gridSpan w:val="2"/>
            <w:vAlign w:val="bottom"/>
          </w:tcPr>
          <w:p w:rsidR="00AE71E9" w:rsidRDefault="00AE71E9">
            <w:pPr>
              <w:autoSpaceDE w:val="0"/>
              <w:autoSpaceDN w:val="0"/>
              <w:adjustRightInd w:val="0"/>
              <w:snapToGrid w:val="0"/>
              <w:jc w:val="center"/>
              <w:rPr>
                <w:b/>
                <w:bCs/>
                <w:szCs w:val="24"/>
              </w:rPr>
            </w:pPr>
          </w:p>
        </w:tc>
      </w:tr>
      <w:tr w:rsidR="00AE71E9">
        <w:trPr>
          <w:jc w:val="right"/>
        </w:trPr>
        <w:tc>
          <w:tcPr>
            <w:tcW w:w="1562" w:type="dxa"/>
          </w:tcPr>
          <w:p w:rsidR="00AE71E9" w:rsidRDefault="00AE71E9">
            <w:pPr>
              <w:autoSpaceDE w:val="0"/>
              <w:autoSpaceDN w:val="0"/>
              <w:adjustRightInd w:val="0"/>
              <w:snapToGrid w:val="0"/>
              <w:rPr>
                <w:b/>
                <w:bCs/>
                <w:szCs w:val="24"/>
              </w:rPr>
            </w:pPr>
          </w:p>
        </w:tc>
        <w:tc>
          <w:tcPr>
            <w:tcW w:w="1929" w:type="dxa"/>
          </w:tcPr>
          <w:p w:rsidR="00AE71E9" w:rsidRDefault="00FE1CE4">
            <w:pPr>
              <w:autoSpaceDE w:val="0"/>
              <w:autoSpaceDN w:val="0"/>
              <w:adjustRightInd w:val="0"/>
              <w:snapToGrid w:val="0"/>
              <w:jc w:val="right"/>
              <w:rPr>
                <w:i/>
                <w:iCs/>
                <w:szCs w:val="24"/>
              </w:rPr>
            </w:pPr>
            <w:r>
              <w:rPr>
                <w:rFonts w:ascii="Times New Roman" w:eastAsia="SimSun" w:hAnsi="Times New Roman" w:cs="Times New Roman"/>
                <w:i/>
                <w:color w:val="000000" w:themeColor="text1"/>
                <w:szCs w:val="24"/>
              </w:rPr>
              <w:t>股份數目</w:t>
            </w:r>
          </w:p>
        </w:tc>
        <w:tc>
          <w:tcPr>
            <w:tcW w:w="1617" w:type="dxa"/>
          </w:tcPr>
          <w:p w:rsidR="00AE71E9" w:rsidRDefault="00FE1CE4">
            <w:pPr>
              <w:autoSpaceDE w:val="0"/>
              <w:autoSpaceDN w:val="0"/>
              <w:adjustRightInd w:val="0"/>
              <w:snapToGrid w:val="0"/>
              <w:jc w:val="right"/>
              <w:rPr>
                <w:i/>
                <w:iCs/>
                <w:szCs w:val="24"/>
              </w:rPr>
            </w:pPr>
            <w:r>
              <w:rPr>
                <w:rFonts w:ascii="Times New Roman" w:eastAsia="SimSun" w:hAnsi="Times New Roman" w:cs="Times New Roman"/>
                <w:i/>
                <w:color w:val="000000" w:themeColor="text1"/>
                <w:szCs w:val="24"/>
              </w:rPr>
              <w:t>%</w:t>
            </w:r>
            <w:r>
              <w:rPr>
                <w:rFonts w:ascii="Times New Roman" w:eastAsia="SimSun" w:hAnsi="Times New Roman" w:cs="Times New Roman"/>
                <w:i/>
                <w:color w:val="000000" w:themeColor="text1"/>
                <w:szCs w:val="24"/>
              </w:rPr>
              <w:t>（佔股份總數）</w:t>
            </w:r>
          </w:p>
        </w:tc>
        <w:tc>
          <w:tcPr>
            <w:tcW w:w="1929" w:type="dxa"/>
          </w:tcPr>
          <w:p w:rsidR="00AE71E9" w:rsidRDefault="00FE1CE4">
            <w:pPr>
              <w:autoSpaceDE w:val="0"/>
              <w:autoSpaceDN w:val="0"/>
              <w:adjustRightInd w:val="0"/>
              <w:snapToGrid w:val="0"/>
              <w:jc w:val="right"/>
              <w:rPr>
                <w:i/>
                <w:iCs/>
                <w:szCs w:val="24"/>
              </w:rPr>
            </w:pPr>
            <w:r>
              <w:rPr>
                <w:rFonts w:ascii="Times New Roman" w:eastAsia="SimSun" w:hAnsi="Times New Roman" w:cs="Times New Roman"/>
                <w:i/>
                <w:color w:val="000000" w:themeColor="text1"/>
                <w:szCs w:val="24"/>
              </w:rPr>
              <w:t>股份數目</w:t>
            </w:r>
          </w:p>
        </w:tc>
        <w:tc>
          <w:tcPr>
            <w:tcW w:w="1624" w:type="dxa"/>
          </w:tcPr>
          <w:p w:rsidR="00AE71E9" w:rsidRDefault="00FE1CE4">
            <w:pPr>
              <w:autoSpaceDE w:val="0"/>
              <w:autoSpaceDN w:val="0"/>
              <w:adjustRightInd w:val="0"/>
              <w:snapToGrid w:val="0"/>
              <w:jc w:val="right"/>
              <w:rPr>
                <w:i/>
                <w:iCs/>
                <w:szCs w:val="24"/>
              </w:rPr>
            </w:pPr>
            <w:r>
              <w:rPr>
                <w:rFonts w:ascii="Times New Roman" w:eastAsia="SimSun" w:hAnsi="Times New Roman" w:cs="Times New Roman"/>
                <w:i/>
                <w:color w:val="000000" w:themeColor="text1"/>
                <w:szCs w:val="24"/>
              </w:rPr>
              <w:t>%</w:t>
            </w:r>
            <w:r>
              <w:rPr>
                <w:rFonts w:ascii="Times New Roman" w:eastAsia="SimSun" w:hAnsi="Times New Roman" w:cs="Times New Roman"/>
                <w:i/>
                <w:color w:val="000000" w:themeColor="text1"/>
                <w:szCs w:val="24"/>
              </w:rPr>
              <w:t>（佔股份總數）</w:t>
            </w:r>
          </w:p>
        </w:tc>
      </w:tr>
      <w:tr w:rsidR="00AE71E9">
        <w:trPr>
          <w:jc w:val="right"/>
        </w:trPr>
        <w:tc>
          <w:tcPr>
            <w:tcW w:w="1562" w:type="dxa"/>
          </w:tcPr>
          <w:p w:rsidR="00AE71E9" w:rsidRDefault="00AE71E9">
            <w:pPr>
              <w:autoSpaceDE w:val="0"/>
              <w:autoSpaceDN w:val="0"/>
              <w:adjustRightInd w:val="0"/>
              <w:snapToGrid w:val="0"/>
              <w:rPr>
                <w:szCs w:val="24"/>
              </w:rPr>
            </w:pPr>
          </w:p>
        </w:tc>
        <w:tc>
          <w:tcPr>
            <w:tcW w:w="1929" w:type="dxa"/>
          </w:tcPr>
          <w:p w:rsidR="00AE71E9" w:rsidRDefault="00AE71E9">
            <w:pPr>
              <w:autoSpaceDE w:val="0"/>
              <w:autoSpaceDN w:val="0"/>
              <w:adjustRightInd w:val="0"/>
              <w:snapToGrid w:val="0"/>
              <w:rPr>
                <w:szCs w:val="24"/>
              </w:rPr>
            </w:pPr>
          </w:p>
        </w:tc>
        <w:tc>
          <w:tcPr>
            <w:tcW w:w="1617" w:type="dxa"/>
          </w:tcPr>
          <w:p w:rsidR="00AE71E9" w:rsidRDefault="00AE71E9">
            <w:pPr>
              <w:autoSpaceDE w:val="0"/>
              <w:autoSpaceDN w:val="0"/>
              <w:adjustRightInd w:val="0"/>
              <w:snapToGrid w:val="0"/>
              <w:rPr>
                <w:szCs w:val="24"/>
              </w:rPr>
            </w:pPr>
          </w:p>
        </w:tc>
        <w:tc>
          <w:tcPr>
            <w:tcW w:w="1929" w:type="dxa"/>
          </w:tcPr>
          <w:p w:rsidR="00AE71E9" w:rsidRDefault="00AE71E9">
            <w:pPr>
              <w:autoSpaceDE w:val="0"/>
              <w:autoSpaceDN w:val="0"/>
              <w:adjustRightInd w:val="0"/>
              <w:snapToGrid w:val="0"/>
              <w:rPr>
                <w:szCs w:val="24"/>
              </w:rPr>
            </w:pPr>
          </w:p>
        </w:tc>
        <w:tc>
          <w:tcPr>
            <w:tcW w:w="1624" w:type="dxa"/>
          </w:tcPr>
          <w:p w:rsidR="00AE71E9" w:rsidRDefault="00AE71E9">
            <w:pPr>
              <w:autoSpaceDE w:val="0"/>
              <w:autoSpaceDN w:val="0"/>
              <w:adjustRightInd w:val="0"/>
              <w:snapToGrid w:val="0"/>
              <w:rPr>
                <w:szCs w:val="24"/>
              </w:rPr>
            </w:pPr>
          </w:p>
        </w:tc>
      </w:tr>
      <w:tr w:rsidR="00AE71E9">
        <w:trPr>
          <w:jc w:val="right"/>
        </w:trPr>
        <w:tc>
          <w:tcPr>
            <w:tcW w:w="1562" w:type="dxa"/>
          </w:tcPr>
          <w:p w:rsidR="00AE71E9" w:rsidRDefault="00FE1CE4">
            <w:pPr>
              <w:kinsoku w:val="0"/>
              <w:overflowPunct w:val="0"/>
              <w:autoSpaceDE w:val="0"/>
              <w:autoSpaceDN w:val="0"/>
              <w:adjustRightInd w:val="0"/>
              <w:snapToGrid w:val="0"/>
              <w:rPr>
                <w:b/>
                <w:i/>
                <w:iCs/>
                <w:color w:val="231916"/>
                <w:szCs w:val="24"/>
                <w:u w:val="single"/>
              </w:rPr>
            </w:pPr>
            <w:r>
              <w:rPr>
                <w:b/>
                <w:i/>
                <w:iCs/>
                <w:color w:val="231916"/>
                <w:szCs w:val="24"/>
                <w:u w:val="single"/>
              </w:rPr>
              <w:t>A</w:t>
            </w:r>
            <w:r>
              <w:rPr>
                <w:b/>
                <w:i/>
                <w:iCs/>
                <w:color w:val="231916"/>
                <w:szCs w:val="24"/>
                <w:u w:val="single"/>
              </w:rPr>
              <w:t>股</w:t>
            </w:r>
          </w:p>
          <w:p w:rsidR="00AE71E9" w:rsidRDefault="00AE71E9">
            <w:pPr>
              <w:kinsoku w:val="0"/>
              <w:overflowPunct w:val="0"/>
              <w:autoSpaceDE w:val="0"/>
              <w:autoSpaceDN w:val="0"/>
              <w:adjustRightInd w:val="0"/>
              <w:snapToGrid w:val="0"/>
              <w:rPr>
                <w:b/>
                <w:color w:val="000000"/>
                <w:szCs w:val="24"/>
              </w:rPr>
            </w:pPr>
          </w:p>
        </w:tc>
        <w:tc>
          <w:tcPr>
            <w:tcW w:w="1929" w:type="dxa"/>
          </w:tcPr>
          <w:p w:rsidR="00AE71E9" w:rsidRDefault="00AE71E9">
            <w:pPr>
              <w:kinsoku w:val="0"/>
              <w:overflowPunct w:val="0"/>
              <w:autoSpaceDE w:val="0"/>
              <w:autoSpaceDN w:val="0"/>
              <w:adjustRightInd w:val="0"/>
              <w:snapToGrid w:val="0"/>
              <w:rPr>
                <w:color w:val="000000"/>
                <w:szCs w:val="24"/>
              </w:rPr>
            </w:pPr>
          </w:p>
        </w:tc>
        <w:tc>
          <w:tcPr>
            <w:tcW w:w="1617" w:type="dxa"/>
          </w:tcPr>
          <w:p w:rsidR="00AE71E9" w:rsidRDefault="00AE71E9">
            <w:pPr>
              <w:kinsoku w:val="0"/>
              <w:overflowPunct w:val="0"/>
              <w:autoSpaceDE w:val="0"/>
              <w:autoSpaceDN w:val="0"/>
              <w:adjustRightInd w:val="0"/>
              <w:snapToGrid w:val="0"/>
              <w:rPr>
                <w:color w:val="000000"/>
                <w:szCs w:val="24"/>
              </w:rPr>
            </w:pPr>
          </w:p>
        </w:tc>
        <w:tc>
          <w:tcPr>
            <w:tcW w:w="1929" w:type="dxa"/>
          </w:tcPr>
          <w:p w:rsidR="00AE71E9" w:rsidRDefault="00AE71E9">
            <w:pPr>
              <w:kinsoku w:val="0"/>
              <w:overflowPunct w:val="0"/>
              <w:autoSpaceDE w:val="0"/>
              <w:autoSpaceDN w:val="0"/>
              <w:adjustRightInd w:val="0"/>
              <w:snapToGrid w:val="0"/>
              <w:rPr>
                <w:color w:val="000000"/>
                <w:szCs w:val="24"/>
              </w:rPr>
            </w:pPr>
          </w:p>
        </w:tc>
        <w:tc>
          <w:tcPr>
            <w:tcW w:w="1624" w:type="dxa"/>
          </w:tcPr>
          <w:p w:rsidR="00AE71E9" w:rsidRDefault="00AE71E9">
            <w:pPr>
              <w:kinsoku w:val="0"/>
              <w:overflowPunct w:val="0"/>
              <w:autoSpaceDE w:val="0"/>
              <w:autoSpaceDN w:val="0"/>
              <w:adjustRightInd w:val="0"/>
              <w:snapToGrid w:val="0"/>
              <w:rPr>
                <w:color w:val="000000"/>
                <w:szCs w:val="24"/>
              </w:rPr>
            </w:pPr>
          </w:p>
        </w:tc>
      </w:tr>
      <w:tr w:rsidR="00AE71E9">
        <w:trPr>
          <w:jc w:val="right"/>
        </w:trPr>
        <w:tc>
          <w:tcPr>
            <w:tcW w:w="1562" w:type="dxa"/>
          </w:tcPr>
          <w:p w:rsidR="00AE71E9" w:rsidRDefault="00FE1CE4">
            <w:pPr>
              <w:kinsoku w:val="0"/>
              <w:overflowPunct w:val="0"/>
              <w:autoSpaceDE w:val="0"/>
              <w:autoSpaceDN w:val="0"/>
              <w:adjustRightInd w:val="0"/>
              <w:snapToGrid w:val="0"/>
              <w:rPr>
                <w:color w:val="231916"/>
                <w:spacing w:val="3"/>
                <w:szCs w:val="24"/>
              </w:rPr>
            </w:pPr>
            <w:r>
              <w:rPr>
                <w:rFonts w:ascii="Times New Roman" w:eastAsia="SimSun" w:hAnsi="Times New Roman" w:cs="Times New Roman"/>
                <w:color w:val="000000" w:themeColor="text1"/>
                <w:szCs w:val="24"/>
              </w:rPr>
              <w:t>新華集團</w:t>
            </w:r>
          </w:p>
        </w:tc>
        <w:tc>
          <w:tcPr>
            <w:tcW w:w="1929" w:type="dxa"/>
            <w:vAlign w:val="bottom"/>
          </w:tcPr>
          <w:p w:rsidR="00AE71E9" w:rsidRDefault="00FE1CE4">
            <w:pPr>
              <w:kinsoku w:val="0"/>
              <w:overflowPunct w:val="0"/>
              <w:autoSpaceDE w:val="0"/>
              <w:autoSpaceDN w:val="0"/>
              <w:adjustRightInd w:val="0"/>
              <w:snapToGrid w:val="0"/>
              <w:jc w:val="right"/>
              <w:rPr>
                <w:rFonts w:ascii="Times New Roman" w:hAnsi="Times New Roman" w:cs="Times New Roman"/>
                <w:color w:val="231916"/>
                <w:spacing w:val="3"/>
                <w:szCs w:val="24"/>
              </w:rPr>
            </w:pPr>
            <w:r>
              <w:rPr>
                <w:rFonts w:ascii="Times New Roman" w:hAnsi="Times New Roman" w:cs="Times New Roman"/>
                <w:color w:val="231916"/>
                <w:spacing w:val="3"/>
                <w:szCs w:val="24"/>
              </w:rPr>
              <w:t>157,587,763</w:t>
            </w:r>
          </w:p>
        </w:tc>
        <w:tc>
          <w:tcPr>
            <w:tcW w:w="1617" w:type="dxa"/>
            <w:vAlign w:val="bottom"/>
          </w:tcPr>
          <w:p w:rsidR="00AE71E9" w:rsidRDefault="00FE1CE4">
            <w:pPr>
              <w:kinsoku w:val="0"/>
              <w:overflowPunct w:val="0"/>
              <w:autoSpaceDE w:val="0"/>
              <w:autoSpaceDN w:val="0"/>
              <w:adjustRightInd w:val="0"/>
              <w:snapToGrid w:val="0"/>
              <w:jc w:val="right"/>
              <w:rPr>
                <w:rFonts w:ascii="Times New Roman" w:hAnsi="Times New Roman" w:cs="Times New Roman"/>
                <w:color w:val="231916"/>
                <w:spacing w:val="3"/>
                <w:szCs w:val="24"/>
              </w:rPr>
            </w:pPr>
            <w:r>
              <w:rPr>
                <w:rFonts w:ascii="Times New Roman" w:hAnsi="Times New Roman" w:cs="Times New Roman"/>
                <w:color w:val="231916"/>
                <w:spacing w:val="3"/>
                <w:szCs w:val="24"/>
              </w:rPr>
              <w:t>34.46%</w:t>
            </w:r>
          </w:p>
        </w:tc>
        <w:tc>
          <w:tcPr>
            <w:tcW w:w="1929" w:type="dxa"/>
            <w:vAlign w:val="bottom"/>
          </w:tcPr>
          <w:p w:rsidR="00AE71E9" w:rsidRDefault="00FE1CE4">
            <w:pPr>
              <w:kinsoku w:val="0"/>
              <w:overflowPunct w:val="0"/>
              <w:autoSpaceDE w:val="0"/>
              <w:autoSpaceDN w:val="0"/>
              <w:adjustRightInd w:val="0"/>
              <w:snapToGrid w:val="0"/>
              <w:jc w:val="right"/>
              <w:rPr>
                <w:rFonts w:ascii="Times New Roman" w:hAnsi="Times New Roman" w:cs="Times New Roman"/>
                <w:color w:val="231916"/>
                <w:spacing w:val="3"/>
                <w:szCs w:val="24"/>
              </w:rPr>
            </w:pPr>
            <w:r>
              <w:rPr>
                <w:rFonts w:ascii="Times New Roman" w:hAnsi="Times New Roman" w:cs="Times New Roman"/>
                <w:color w:val="231916"/>
                <w:spacing w:val="3"/>
                <w:szCs w:val="24"/>
              </w:rPr>
              <w:t>157,587,763</w:t>
            </w:r>
          </w:p>
        </w:tc>
        <w:tc>
          <w:tcPr>
            <w:tcW w:w="1624" w:type="dxa"/>
            <w:vAlign w:val="bottom"/>
          </w:tcPr>
          <w:p w:rsidR="00AE71E9" w:rsidRDefault="00FE1CE4">
            <w:pPr>
              <w:kinsoku w:val="0"/>
              <w:overflowPunct w:val="0"/>
              <w:autoSpaceDE w:val="0"/>
              <w:autoSpaceDN w:val="0"/>
              <w:adjustRightInd w:val="0"/>
              <w:snapToGrid w:val="0"/>
              <w:jc w:val="right"/>
              <w:rPr>
                <w:rFonts w:ascii="Times New Roman" w:hAnsi="Times New Roman" w:cs="Times New Roman"/>
                <w:color w:val="231916"/>
                <w:spacing w:val="4"/>
                <w:szCs w:val="24"/>
              </w:rPr>
            </w:pPr>
            <w:r>
              <w:rPr>
                <w:rFonts w:ascii="Times New Roman" w:eastAsia="SimSun" w:hAnsi="Times New Roman" w:cs="Times New Roman"/>
                <w:color w:val="000000" w:themeColor="text1"/>
                <w:szCs w:val="24"/>
              </w:rPr>
              <w:t>32.94</w:t>
            </w:r>
            <w:r>
              <w:rPr>
                <w:rFonts w:ascii="Times New Roman" w:hAnsi="Times New Roman" w:cs="Times New Roman"/>
                <w:color w:val="231916"/>
                <w:spacing w:val="4"/>
                <w:szCs w:val="24"/>
              </w:rPr>
              <w:t>%</w:t>
            </w:r>
          </w:p>
        </w:tc>
      </w:tr>
      <w:tr w:rsidR="00AE71E9">
        <w:trPr>
          <w:jc w:val="right"/>
        </w:trPr>
        <w:tc>
          <w:tcPr>
            <w:tcW w:w="1562" w:type="dxa"/>
          </w:tcPr>
          <w:p w:rsidR="00AE71E9" w:rsidRDefault="00FE1CE4">
            <w:pPr>
              <w:kinsoku w:val="0"/>
              <w:overflowPunct w:val="0"/>
              <w:autoSpaceDE w:val="0"/>
              <w:autoSpaceDN w:val="0"/>
              <w:adjustRightInd w:val="0"/>
              <w:snapToGrid w:val="0"/>
              <w:rPr>
                <w:i/>
                <w:iCs/>
                <w:szCs w:val="24"/>
              </w:rPr>
            </w:pPr>
            <w:r>
              <w:rPr>
                <w:rFonts w:ascii="Times New Roman" w:eastAsia="SimSun" w:hAnsi="Times New Roman" w:cs="Times New Roman"/>
                <w:color w:val="000000" w:themeColor="text1"/>
                <w:szCs w:val="24"/>
              </w:rPr>
              <w:t>張代銘先生</w:t>
            </w:r>
            <w:r>
              <w:rPr>
                <w:rFonts w:hint="eastAsia"/>
                <w:i/>
                <w:iCs/>
                <w:szCs w:val="24"/>
                <w:vertAlign w:val="superscript"/>
              </w:rPr>
              <w:t>附註</w:t>
            </w:r>
            <w:r>
              <w:rPr>
                <w:rFonts w:ascii="PMingLiU" w:eastAsia="PMingLiU" w:hAnsi="PMingLiU"/>
                <w:i/>
                <w:iCs/>
                <w:szCs w:val="24"/>
                <w:vertAlign w:val="superscript"/>
              </w:rPr>
              <w:t>1</w:t>
            </w:r>
          </w:p>
        </w:tc>
        <w:tc>
          <w:tcPr>
            <w:tcW w:w="1929" w:type="dxa"/>
            <w:vAlign w:val="bottom"/>
          </w:tcPr>
          <w:p w:rsidR="00AE71E9" w:rsidRDefault="00FE1CE4">
            <w:pPr>
              <w:kinsoku w:val="0"/>
              <w:overflowPunct w:val="0"/>
              <w:autoSpaceDE w:val="0"/>
              <w:autoSpaceDN w:val="0"/>
              <w:adjustRightInd w:val="0"/>
              <w:snapToGrid w:val="0"/>
              <w:jc w:val="right"/>
              <w:rPr>
                <w:rFonts w:ascii="Times New Roman" w:hAnsi="Times New Roman" w:cs="Times New Roman"/>
                <w:szCs w:val="24"/>
              </w:rPr>
            </w:pPr>
            <w:r>
              <w:rPr>
                <w:rFonts w:ascii="Times New Roman" w:hAnsi="Times New Roman" w:cs="Times New Roman"/>
                <w:szCs w:val="24"/>
              </w:rPr>
              <w:t>11,900</w:t>
            </w:r>
          </w:p>
        </w:tc>
        <w:tc>
          <w:tcPr>
            <w:tcW w:w="1617" w:type="dxa"/>
            <w:vAlign w:val="bottom"/>
          </w:tcPr>
          <w:p w:rsidR="00AE71E9" w:rsidRDefault="00FE1CE4">
            <w:pPr>
              <w:kinsoku w:val="0"/>
              <w:overflowPunct w:val="0"/>
              <w:autoSpaceDE w:val="0"/>
              <w:autoSpaceDN w:val="0"/>
              <w:adjustRightInd w:val="0"/>
              <w:snapToGrid w:val="0"/>
              <w:jc w:val="right"/>
              <w:rPr>
                <w:rFonts w:ascii="Times New Roman" w:hAnsi="Times New Roman" w:cs="Times New Roman"/>
                <w:szCs w:val="24"/>
              </w:rPr>
            </w:pPr>
            <w:r>
              <w:rPr>
                <w:rFonts w:ascii="Times New Roman" w:hAnsi="Times New Roman" w:cs="Times New Roman"/>
                <w:szCs w:val="24"/>
              </w:rPr>
              <w:t>0.003%</w:t>
            </w:r>
          </w:p>
        </w:tc>
        <w:tc>
          <w:tcPr>
            <w:tcW w:w="1929" w:type="dxa"/>
            <w:vAlign w:val="bottom"/>
          </w:tcPr>
          <w:p w:rsidR="00AE71E9" w:rsidRDefault="00FE1CE4">
            <w:pPr>
              <w:kinsoku w:val="0"/>
              <w:overflowPunct w:val="0"/>
              <w:autoSpaceDE w:val="0"/>
              <w:autoSpaceDN w:val="0"/>
              <w:adjustRightInd w:val="0"/>
              <w:snapToGrid w:val="0"/>
              <w:jc w:val="right"/>
              <w:rPr>
                <w:rFonts w:ascii="Times New Roman" w:hAnsi="Times New Roman" w:cs="Times New Roman"/>
                <w:szCs w:val="24"/>
              </w:rPr>
            </w:pPr>
            <w:r>
              <w:rPr>
                <w:rFonts w:ascii="Times New Roman" w:hAnsi="Times New Roman" w:cs="Times New Roman"/>
                <w:szCs w:val="24"/>
              </w:rPr>
              <w:t>11,900</w:t>
            </w:r>
          </w:p>
        </w:tc>
        <w:tc>
          <w:tcPr>
            <w:tcW w:w="1624" w:type="dxa"/>
            <w:vAlign w:val="bottom"/>
          </w:tcPr>
          <w:p w:rsidR="00AE71E9" w:rsidRDefault="00FE1CE4">
            <w:pPr>
              <w:kinsoku w:val="0"/>
              <w:overflowPunct w:val="0"/>
              <w:autoSpaceDE w:val="0"/>
              <w:autoSpaceDN w:val="0"/>
              <w:adjustRightInd w:val="0"/>
              <w:snapToGrid w:val="0"/>
              <w:jc w:val="right"/>
              <w:rPr>
                <w:rFonts w:ascii="Times New Roman" w:hAnsi="Times New Roman" w:cs="Times New Roman"/>
                <w:color w:val="231916"/>
                <w:spacing w:val="4"/>
                <w:szCs w:val="24"/>
              </w:rPr>
            </w:pPr>
            <w:r>
              <w:rPr>
                <w:rFonts w:ascii="Times New Roman" w:hAnsi="Times New Roman" w:cs="Times New Roman"/>
                <w:szCs w:val="24"/>
              </w:rPr>
              <w:t>0.002%</w:t>
            </w:r>
          </w:p>
        </w:tc>
      </w:tr>
      <w:tr w:rsidR="00AE71E9">
        <w:trPr>
          <w:jc w:val="right"/>
        </w:trPr>
        <w:tc>
          <w:tcPr>
            <w:tcW w:w="1562" w:type="dxa"/>
          </w:tcPr>
          <w:p w:rsidR="00AE71E9" w:rsidRDefault="00FE1CE4">
            <w:pPr>
              <w:pStyle w:val="a5"/>
              <w:kinsoku w:val="0"/>
              <w:overflowPunct w:val="0"/>
              <w:snapToGrid w:val="0"/>
              <w:spacing w:before="0"/>
              <w:ind w:left="480"/>
              <w:rPr>
                <w:rFonts w:ascii="Times New Roman" w:hAnsi="Times New Roman" w:cs="Times New Roman"/>
                <w:color w:val="000000"/>
                <w:sz w:val="24"/>
                <w:szCs w:val="24"/>
              </w:rPr>
            </w:pPr>
            <w:r>
              <w:rPr>
                <w:rFonts w:ascii="Times New Roman" w:hAnsi="Times New Roman" w:cs="Times New Roman" w:hint="eastAsia"/>
                <w:color w:val="231916"/>
                <w:spacing w:val="4"/>
                <w:sz w:val="24"/>
                <w:szCs w:val="24"/>
              </w:rPr>
              <w:t>認購方</w:t>
            </w:r>
          </w:p>
        </w:tc>
        <w:tc>
          <w:tcPr>
            <w:tcW w:w="1929" w:type="dxa"/>
            <w:vAlign w:val="bottom"/>
          </w:tcPr>
          <w:p w:rsidR="00AE71E9" w:rsidRDefault="00AE71E9">
            <w:pPr>
              <w:pStyle w:val="a5"/>
              <w:kinsoku w:val="0"/>
              <w:overflowPunct w:val="0"/>
              <w:snapToGrid w:val="0"/>
              <w:spacing w:before="0"/>
              <w:ind w:left="480"/>
              <w:jc w:val="right"/>
              <w:rPr>
                <w:rFonts w:ascii="Times New Roman" w:hAnsi="Times New Roman" w:cs="Times New Roman"/>
                <w:color w:val="000000"/>
                <w:sz w:val="24"/>
                <w:szCs w:val="24"/>
              </w:rPr>
            </w:pPr>
          </w:p>
        </w:tc>
        <w:tc>
          <w:tcPr>
            <w:tcW w:w="1617" w:type="dxa"/>
            <w:vAlign w:val="bottom"/>
          </w:tcPr>
          <w:p w:rsidR="00AE71E9" w:rsidRDefault="00AE71E9">
            <w:pPr>
              <w:pStyle w:val="a5"/>
              <w:kinsoku w:val="0"/>
              <w:overflowPunct w:val="0"/>
              <w:snapToGrid w:val="0"/>
              <w:spacing w:before="0"/>
              <w:ind w:left="480"/>
              <w:jc w:val="right"/>
              <w:rPr>
                <w:rFonts w:ascii="Times New Roman" w:hAnsi="Times New Roman" w:cs="Times New Roman"/>
                <w:color w:val="000000"/>
                <w:sz w:val="24"/>
                <w:szCs w:val="24"/>
              </w:rPr>
            </w:pPr>
          </w:p>
        </w:tc>
        <w:tc>
          <w:tcPr>
            <w:tcW w:w="1929" w:type="dxa"/>
            <w:vAlign w:val="bottom"/>
          </w:tcPr>
          <w:p w:rsidR="00AE71E9" w:rsidRDefault="00AE71E9">
            <w:pPr>
              <w:pStyle w:val="a5"/>
              <w:kinsoku w:val="0"/>
              <w:overflowPunct w:val="0"/>
              <w:snapToGrid w:val="0"/>
              <w:spacing w:before="0"/>
              <w:ind w:left="480"/>
              <w:jc w:val="right"/>
              <w:rPr>
                <w:rFonts w:ascii="Times New Roman" w:hAnsi="Times New Roman" w:cs="Times New Roman"/>
                <w:color w:val="000000"/>
                <w:sz w:val="24"/>
                <w:szCs w:val="24"/>
              </w:rPr>
            </w:pPr>
          </w:p>
        </w:tc>
        <w:tc>
          <w:tcPr>
            <w:tcW w:w="1624" w:type="dxa"/>
            <w:vAlign w:val="bottom"/>
          </w:tcPr>
          <w:p w:rsidR="00AE71E9" w:rsidRDefault="00AE71E9">
            <w:pPr>
              <w:pStyle w:val="a5"/>
              <w:kinsoku w:val="0"/>
              <w:overflowPunct w:val="0"/>
              <w:snapToGrid w:val="0"/>
              <w:spacing w:before="0"/>
              <w:ind w:left="480"/>
              <w:jc w:val="right"/>
              <w:rPr>
                <w:rFonts w:ascii="Times New Roman" w:hAnsi="Times New Roman" w:cs="Times New Roman"/>
                <w:color w:val="000000"/>
                <w:sz w:val="24"/>
                <w:szCs w:val="24"/>
              </w:rPr>
            </w:pPr>
          </w:p>
        </w:tc>
      </w:tr>
      <w:tr w:rsidR="00AE71E9">
        <w:trPr>
          <w:jc w:val="right"/>
        </w:trPr>
        <w:tc>
          <w:tcPr>
            <w:tcW w:w="1562" w:type="dxa"/>
          </w:tcPr>
          <w:p w:rsidR="00AE71E9" w:rsidRDefault="00FE1CE4">
            <w:pPr>
              <w:pStyle w:val="TableParagraph"/>
              <w:kinsoku w:val="0"/>
              <w:overflowPunct w:val="0"/>
              <w:snapToGrid w:val="0"/>
              <w:ind w:left="345" w:hanging="360"/>
            </w:pPr>
            <w:r>
              <w:rPr>
                <w:color w:val="231916"/>
              </w:rPr>
              <w:t xml:space="preserve">–  </w:t>
            </w:r>
            <w:r>
              <w:rPr>
                <w:rFonts w:eastAsia="SimSun"/>
                <w:color w:val="000000" w:themeColor="text1"/>
              </w:rPr>
              <w:t>員工持股計劃</w:t>
            </w:r>
            <w:r>
              <w:rPr>
                <w:color w:val="231916"/>
                <w:spacing w:val="4"/>
              </w:rPr>
              <w:br/>
            </w:r>
          </w:p>
        </w:tc>
        <w:tc>
          <w:tcPr>
            <w:tcW w:w="1929" w:type="dxa"/>
            <w:vAlign w:val="bottom"/>
          </w:tcPr>
          <w:p w:rsidR="00AE71E9" w:rsidRDefault="00FE1CE4">
            <w:pPr>
              <w:pStyle w:val="TableParagraph"/>
              <w:kinsoku w:val="0"/>
              <w:overflowPunct w:val="0"/>
              <w:snapToGrid w:val="0"/>
              <w:jc w:val="right"/>
              <w:rPr>
                <w:color w:val="231916"/>
              </w:rPr>
            </w:pPr>
            <w:r>
              <w:rPr>
                <w:color w:val="231916"/>
              </w:rPr>
              <w:t>–</w:t>
            </w:r>
          </w:p>
        </w:tc>
        <w:tc>
          <w:tcPr>
            <w:tcW w:w="1617" w:type="dxa"/>
            <w:vAlign w:val="bottom"/>
          </w:tcPr>
          <w:p w:rsidR="00AE71E9" w:rsidRDefault="00FE1CE4">
            <w:pPr>
              <w:pStyle w:val="TableParagraph"/>
              <w:kinsoku w:val="0"/>
              <w:overflowPunct w:val="0"/>
              <w:snapToGrid w:val="0"/>
              <w:jc w:val="right"/>
              <w:rPr>
                <w:color w:val="231916"/>
              </w:rPr>
            </w:pPr>
            <w:r>
              <w:rPr>
                <w:color w:val="231916"/>
              </w:rPr>
              <w:t>–</w:t>
            </w:r>
          </w:p>
        </w:tc>
        <w:tc>
          <w:tcPr>
            <w:tcW w:w="1929" w:type="dxa"/>
            <w:vAlign w:val="bottom"/>
          </w:tcPr>
          <w:p w:rsidR="00AE71E9" w:rsidRDefault="00FE1CE4">
            <w:pPr>
              <w:pStyle w:val="TableParagraph"/>
              <w:kinsoku w:val="0"/>
              <w:overflowPunct w:val="0"/>
              <w:snapToGrid w:val="0"/>
              <w:jc w:val="right"/>
            </w:pPr>
            <w:r>
              <w:rPr>
                <w:rFonts w:eastAsia="SimSun"/>
                <w:color w:val="000000" w:themeColor="text1"/>
                <w:lang w:eastAsia="zh-TW"/>
              </w:rPr>
              <w:t>3,109,686</w:t>
            </w:r>
            <w:r>
              <w:rPr>
                <w:rFonts w:eastAsia="SimSun"/>
                <w:color w:val="000000" w:themeColor="text1"/>
              </w:rPr>
              <w:t xml:space="preserve">    </w:t>
            </w:r>
          </w:p>
        </w:tc>
        <w:tc>
          <w:tcPr>
            <w:tcW w:w="1624" w:type="dxa"/>
            <w:vAlign w:val="bottom"/>
          </w:tcPr>
          <w:p w:rsidR="00AE71E9" w:rsidRDefault="00FE1CE4">
            <w:pPr>
              <w:pStyle w:val="TableParagraph"/>
              <w:kinsoku w:val="0"/>
              <w:overflowPunct w:val="0"/>
              <w:snapToGrid w:val="0"/>
              <w:jc w:val="right"/>
            </w:pPr>
            <w:r>
              <w:rPr>
                <w:color w:val="231916"/>
                <w:spacing w:val="4"/>
                <w:w w:val="95"/>
              </w:rPr>
              <w:t>0.65%</w:t>
            </w:r>
          </w:p>
        </w:tc>
      </w:tr>
      <w:tr w:rsidR="00AE71E9">
        <w:trPr>
          <w:jc w:val="right"/>
        </w:trPr>
        <w:tc>
          <w:tcPr>
            <w:tcW w:w="1562" w:type="dxa"/>
          </w:tcPr>
          <w:p w:rsidR="00AE71E9" w:rsidRDefault="00FE1CE4">
            <w:pPr>
              <w:pStyle w:val="TableParagraph"/>
              <w:kinsoku w:val="0"/>
              <w:overflowPunct w:val="0"/>
              <w:snapToGrid w:val="0"/>
              <w:ind w:left="345" w:hanging="360"/>
              <w:rPr>
                <w:lang w:eastAsia="zh-TW"/>
              </w:rPr>
            </w:pPr>
            <w:r>
              <w:rPr>
                <w:color w:val="231916"/>
                <w:lang w:eastAsia="zh-TW"/>
              </w:rPr>
              <w:t xml:space="preserve">–  </w:t>
            </w:r>
            <w:r>
              <w:rPr>
                <w:rFonts w:eastAsia="SimSun"/>
                <w:color w:val="000000" w:themeColor="text1"/>
                <w:lang w:eastAsia="zh-TW"/>
              </w:rPr>
              <w:t>山東聚贏產業基金（有限合夥夥）</w:t>
            </w:r>
          </w:p>
        </w:tc>
        <w:tc>
          <w:tcPr>
            <w:tcW w:w="1929" w:type="dxa"/>
            <w:vAlign w:val="bottom"/>
          </w:tcPr>
          <w:p w:rsidR="00AE71E9" w:rsidRDefault="00FE1CE4">
            <w:pPr>
              <w:pStyle w:val="TableParagraph"/>
              <w:kinsoku w:val="0"/>
              <w:overflowPunct w:val="0"/>
              <w:snapToGrid w:val="0"/>
              <w:jc w:val="right"/>
              <w:rPr>
                <w:color w:val="231916"/>
              </w:rPr>
            </w:pPr>
            <w:r>
              <w:rPr>
                <w:color w:val="231916"/>
              </w:rPr>
              <w:t>–</w:t>
            </w:r>
          </w:p>
        </w:tc>
        <w:tc>
          <w:tcPr>
            <w:tcW w:w="1617" w:type="dxa"/>
            <w:vAlign w:val="bottom"/>
          </w:tcPr>
          <w:p w:rsidR="00AE71E9" w:rsidRDefault="00FE1CE4">
            <w:pPr>
              <w:pStyle w:val="TableParagraph"/>
              <w:kinsoku w:val="0"/>
              <w:overflowPunct w:val="0"/>
              <w:snapToGrid w:val="0"/>
              <w:jc w:val="right"/>
            </w:pPr>
            <w:r>
              <w:rPr>
                <w:color w:val="231916"/>
              </w:rPr>
              <w:t>–</w:t>
            </w:r>
          </w:p>
        </w:tc>
        <w:tc>
          <w:tcPr>
            <w:tcW w:w="1929" w:type="dxa"/>
            <w:vAlign w:val="bottom"/>
          </w:tcPr>
          <w:p w:rsidR="00AE71E9" w:rsidRDefault="00FE1CE4">
            <w:pPr>
              <w:pStyle w:val="TableParagraph"/>
              <w:kinsoku w:val="0"/>
              <w:overflowPunct w:val="0"/>
              <w:snapToGrid w:val="0"/>
              <w:jc w:val="right"/>
            </w:pPr>
            <w:r>
              <w:rPr>
                <w:rFonts w:eastAsia="SimSun"/>
                <w:color w:val="000000" w:themeColor="text1"/>
                <w:lang w:eastAsia="zh-TW"/>
              </w:rPr>
              <w:t>17,930,905</w:t>
            </w:r>
            <w:r>
              <w:rPr>
                <w:rFonts w:eastAsia="SimSun"/>
                <w:color w:val="000000" w:themeColor="text1"/>
              </w:rPr>
              <w:t xml:space="preserve">　</w:t>
            </w:r>
          </w:p>
        </w:tc>
        <w:tc>
          <w:tcPr>
            <w:tcW w:w="1624" w:type="dxa"/>
            <w:vAlign w:val="bottom"/>
          </w:tcPr>
          <w:p w:rsidR="00AE71E9" w:rsidRDefault="00FE1CE4">
            <w:pPr>
              <w:pStyle w:val="TableParagraph"/>
              <w:kinsoku w:val="0"/>
              <w:overflowPunct w:val="0"/>
              <w:snapToGrid w:val="0"/>
              <w:jc w:val="right"/>
            </w:pPr>
            <w:r>
              <w:rPr>
                <w:rFonts w:eastAsia="SimSun"/>
                <w:color w:val="000000" w:themeColor="text1"/>
                <w:lang w:eastAsia="zh-TW"/>
              </w:rPr>
              <w:t>3.75</w:t>
            </w:r>
            <w:r>
              <w:rPr>
                <w:color w:val="231916"/>
                <w:spacing w:val="4"/>
                <w:w w:val="95"/>
              </w:rPr>
              <w:t>%</w:t>
            </w:r>
          </w:p>
        </w:tc>
      </w:tr>
      <w:tr w:rsidR="00AE71E9">
        <w:trPr>
          <w:jc w:val="right"/>
        </w:trPr>
        <w:tc>
          <w:tcPr>
            <w:tcW w:w="1562" w:type="dxa"/>
          </w:tcPr>
          <w:p w:rsidR="00AE71E9" w:rsidRDefault="00AE71E9">
            <w:pPr>
              <w:pStyle w:val="TableParagraph"/>
              <w:kinsoku w:val="0"/>
              <w:overflowPunct w:val="0"/>
              <w:snapToGrid w:val="0"/>
              <w:ind w:firstLine="475"/>
            </w:pPr>
          </w:p>
        </w:tc>
        <w:tc>
          <w:tcPr>
            <w:tcW w:w="1929" w:type="dxa"/>
            <w:vAlign w:val="bottom"/>
          </w:tcPr>
          <w:p w:rsidR="00AE71E9" w:rsidRDefault="00AE71E9">
            <w:pPr>
              <w:pStyle w:val="TableParagraph"/>
              <w:kinsoku w:val="0"/>
              <w:overflowPunct w:val="0"/>
              <w:snapToGrid w:val="0"/>
              <w:jc w:val="right"/>
              <w:rPr>
                <w:color w:val="231916"/>
              </w:rPr>
            </w:pPr>
          </w:p>
        </w:tc>
        <w:tc>
          <w:tcPr>
            <w:tcW w:w="1617" w:type="dxa"/>
            <w:vAlign w:val="bottom"/>
          </w:tcPr>
          <w:p w:rsidR="00AE71E9" w:rsidRDefault="00AE71E9">
            <w:pPr>
              <w:pStyle w:val="TableParagraph"/>
              <w:kinsoku w:val="0"/>
              <w:overflowPunct w:val="0"/>
              <w:snapToGrid w:val="0"/>
              <w:jc w:val="right"/>
            </w:pPr>
          </w:p>
        </w:tc>
        <w:tc>
          <w:tcPr>
            <w:tcW w:w="1929" w:type="dxa"/>
            <w:vAlign w:val="bottom"/>
          </w:tcPr>
          <w:p w:rsidR="00AE71E9" w:rsidRDefault="00AE71E9">
            <w:pPr>
              <w:pStyle w:val="TableParagraph"/>
              <w:kinsoku w:val="0"/>
              <w:overflowPunct w:val="0"/>
              <w:snapToGrid w:val="0"/>
              <w:jc w:val="right"/>
            </w:pPr>
          </w:p>
        </w:tc>
        <w:tc>
          <w:tcPr>
            <w:tcW w:w="1624" w:type="dxa"/>
            <w:vAlign w:val="bottom"/>
          </w:tcPr>
          <w:p w:rsidR="00AE71E9" w:rsidRDefault="00AE71E9">
            <w:pPr>
              <w:pStyle w:val="TableParagraph"/>
              <w:kinsoku w:val="0"/>
              <w:overflowPunct w:val="0"/>
              <w:snapToGrid w:val="0"/>
              <w:jc w:val="right"/>
            </w:pPr>
          </w:p>
        </w:tc>
      </w:tr>
      <w:tr w:rsidR="00AE71E9">
        <w:trPr>
          <w:jc w:val="right"/>
        </w:trPr>
        <w:tc>
          <w:tcPr>
            <w:tcW w:w="1562" w:type="dxa"/>
          </w:tcPr>
          <w:p w:rsidR="00AE71E9" w:rsidRDefault="00AE71E9">
            <w:pPr>
              <w:pStyle w:val="TableParagraph"/>
              <w:kinsoku w:val="0"/>
              <w:overflowPunct w:val="0"/>
              <w:snapToGrid w:val="0"/>
              <w:ind w:firstLine="475"/>
            </w:pPr>
          </w:p>
        </w:tc>
        <w:tc>
          <w:tcPr>
            <w:tcW w:w="1929" w:type="dxa"/>
            <w:vAlign w:val="bottom"/>
          </w:tcPr>
          <w:p w:rsidR="00AE71E9" w:rsidRDefault="00AE71E9">
            <w:pPr>
              <w:pStyle w:val="TableParagraph"/>
              <w:kinsoku w:val="0"/>
              <w:overflowPunct w:val="0"/>
              <w:snapToGrid w:val="0"/>
              <w:jc w:val="right"/>
              <w:rPr>
                <w:color w:val="231916"/>
              </w:rPr>
            </w:pPr>
          </w:p>
        </w:tc>
        <w:tc>
          <w:tcPr>
            <w:tcW w:w="1617" w:type="dxa"/>
            <w:vAlign w:val="bottom"/>
          </w:tcPr>
          <w:p w:rsidR="00AE71E9" w:rsidRDefault="00AE71E9">
            <w:pPr>
              <w:pStyle w:val="TableParagraph"/>
              <w:kinsoku w:val="0"/>
              <w:overflowPunct w:val="0"/>
              <w:snapToGrid w:val="0"/>
              <w:jc w:val="right"/>
            </w:pPr>
          </w:p>
        </w:tc>
        <w:tc>
          <w:tcPr>
            <w:tcW w:w="1929" w:type="dxa"/>
            <w:vAlign w:val="bottom"/>
          </w:tcPr>
          <w:p w:rsidR="00AE71E9" w:rsidRDefault="00AE71E9">
            <w:pPr>
              <w:pStyle w:val="TableParagraph"/>
              <w:kinsoku w:val="0"/>
              <w:overflowPunct w:val="0"/>
              <w:snapToGrid w:val="0"/>
              <w:jc w:val="right"/>
            </w:pPr>
          </w:p>
        </w:tc>
        <w:tc>
          <w:tcPr>
            <w:tcW w:w="1624" w:type="dxa"/>
            <w:vAlign w:val="bottom"/>
          </w:tcPr>
          <w:p w:rsidR="00AE71E9" w:rsidRDefault="00AE71E9">
            <w:pPr>
              <w:pStyle w:val="TableParagraph"/>
              <w:kinsoku w:val="0"/>
              <w:overflowPunct w:val="0"/>
              <w:snapToGrid w:val="0"/>
              <w:jc w:val="right"/>
            </w:pPr>
          </w:p>
        </w:tc>
      </w:tr>
      <w:tr w:rsidR="00AE71E9">
        <w:trPr>
          <w:jc w:val="right"/>
        </w:trPr>
        <w:tc>
          <w:tcPr>
            <w:tcW w:w="1562" w:type="dxa"/>
          </w:tcPr>
          <w:p w:rsidR="00AE71E9" w:rsidRDefault="00FE1CE4">
            <w:pPr>
              <w:pStyle w:val="TableParagraph"/>
              <w:kinsoku w:val="0"/>
              <w:overflowPunct w:val="0"/>
              <w:snapToGrid w:val="0"/>
            </w:pPr>
            <w:r>
              <w:rPr>
                <w:rFonts w:eastAsia="SimSun"/>
                <w:color w:val="000000" w:themeColor="text1"/>
              </w:rPr>
              <w:t>其他公眾</w:t>
            </w:r>
            <w:r>
              <w:rPr>
                <w:rFonts w:eastAsia="SimSun"/>
                <w:color w:val="000000" w:themeColor="text1"/>
              </w:rPr>
              <w:t>A</w:t>
            </w:r>
            <w:r>
              <w:rPr>
                <w:rFonts w:eastAsia="SimSun"/>
                <w:color w:val="000000" w:themeColor="text1"/>
              </w:rPr>
              <w:t>股股東</w:t>
            </w:r>
            <w:r>
              <w:rPr>
                <w:rFonts w:eastAsia="SimSun"/>
                <w:color w:val="000000" w:themeColor="text1"/>
              </w:rPr>
              <w:t xml:space="preserve">  </w:t>
            </w:r>
            <w:r>
              <w:rPr>
                <w:rFonts w:eastAsia="SimSun" w:hint="eastAsia"/>
                <w:color w:val="000000" w:themeColor="text1"/>
              </w:rPr>
              <w:t xml:space="preserve"> </w:t>
            </w:r>
          </w:p>
        </w:tc>
        <w:tc>
          <w:tcPr>
            <w:tcW w:w="1929" w:type="dxa"/>
            <w:vAlign w:val="bottom"/>
          </w:tcPr>
          <w:p w:rsidR="00AE71E9" w:rsidRDefault="00FE1CE4">
            <w:pPr>
              <w:pStyle w:val="TableParagraph"/>
              <w:kinsoku w:val="0"/>
              <w:overflowPunct w:val="0"/>
              <w:snapToGrid w:val="0"/>
              <w:jc w:val="right"/>
              <w:rPr>
                <w:color w:val="231916"/>
                <w:spacing w:val="3"/>
                <w:u w:val="single"/>
              </w:rPr>
            </w:pPr>
            <w:r>
              <w:rPr>
                <w:color w:val="231916"/>
                <w:spacing w:val="3"/>
                <w:u w:val="single"/>
              </w:rPr>
              <w:t>149,713,167</w:t>
            </w:r>
          </w:p>
        </w:tc>
        <w:tc>
          <w:tcPr>
            <w:tcW w:w="1617" w:type="dxa"/>
            <w:vAlign w:val="bottom"/>
          </w:tcPr>
          <w:p w:rsidR="00AE71E9" w:rsidRDefault="00FE1CE4">
            <w:pPr>
              <w:pStyle w:val="TableParagraph"/>
              <w:kinsoku w:val="0"/>
              <w:overflowPunct w:val="0"/>
              <w:snapToGrid w:val="0"/>
              <w:jc w:val="right"/>
              <w:rPr>
                <w:color w:val="231916"/>
                <w:spacing w:val="3"/>
                <w:u w:val="single"/>
              </w:rPr>
            </w:pPr>
            <w:r>
              <w:rPr>
                <w:color w:val="231916"/>
                <w:spacing w:val="3"/>
                <w:u w:val="single"/>
              </w:rPr>
              <w:t>32.74%</w:t>
            </w:r>
          </w:p>
        </w:tc>
        <w:tc>
          <w:tcPr>
            <w:tcW w:w="1929" w:type="dxa"/>
            <w:vAlign w:val="bottom"/>
          </w:tcPr>
          <w:p w:rsidR="00AE71E9" w:rsidRDefault="00FE1CE4">
            <w:pPr>
              <w:pStyle w:val="TableParagraph"/>
              <w:kinsoku w:val="0"/>
              <w:overflowPunct w:val="0"/>
              <w:snapToGrid w:val="0"/>
              <w:jc w:val="right"/>
              <w:rPr>
                <w:u w:val="single"/>
              </w:rPr>
            </w:pPr>
            <w:r>
              <w:rPr>
                <w:color w:val="231916"/>
                <w:spacing w:val="4"/>
                <w:u w:val="single"/>
              </w:rPr>
              <w:t>149,713,167</w:t>
            </w:r>
          </w:p>
        </w:tc>
        <w:tc>
          <w:tcPr>
            <w:tcW w:w="1624" w:type="dxa"/>
            <w:vAlign w:val="bottom"/>
          </w:tcPr>
          <w:p w:rsidR="00AE71E9" w:rsidRDefault="00FE1CE4">
            <w:pPr>
              <w:pStyle w:val="TableParagraph"/>
              <w:kinsoku w:val="0"/>
              <w:overflowPunct w:val="0"/>
              <w:snapToGrid w:val="0"/>
              <w:jc w:val="right"/>
              <w:rPr>
                <w:u w:val="single"/>
              </w:rPr>
            </w:pPr>
            <w:r>
              <w:rPr>
                <w:rFonts w:eastAsia="SimSun"/>
                <w:color w:val="000000" w:themeColor="text1"/>
                <w:u w:val="single"/>
                <w:lang w:eastAsia="zh-TW"/>
              </w:rPr>
              <w:t>32.30</w:t>
            </w:r>
            <w:r>
              <w:rPr>
                <w:color w:val="231916"/>
                <w:spacing w:val="4"/>
                <w:w w:val="95"/>
                <w:u w:val="single"/>
              </w:rPr>
              <w:t>%</w:t>
            </w:r>
          </w:p>
        </w:tc>
      </w:tr>
      <w:tr w:rsidR="00AE71E9">
        <w:trPr>
          <w:jc w:val="right"/>
        </w:trPr>
        <w:tc>
          <w:tcPr>
            <w:tcW w:w="1562" w:type="dxa"/>
          </w:tcPr>
          <w:p w:rsidR="00AE71E9" w:rsidRDefault="00AE71E9">
            <w:pPr>
              <w:pStyle w:val="TableParagraph"/>
              <w:snapToGrid w:val="0"/>
            </w:pPr>
          </w:p>
        </w:tc>
        <w:tc>
          <w:tcPr>
            <w:tcW w:w="1929" w:type="dxa"/>
            <w:vAlign w:val="bottom"/>
          </w:tcPr>
          <w:p w:rsidR="00AE71E9" w:rsidRDefault="00AE71E9">
            <w:pPr>
              <w:pStyle w:val="TableParagraph"/>
              <w:snapToGrid w:val="0"/>
              <w:jc w:val="right"/>
            </w:pPr>
          </w:p>
        </w:tc>
        <w:tc>
          <w:tcPr>
            <w:tcW w:w="1617" w:type="dxa"/>
            <w:vAlign w:val="bottom"/>
          </w:tcPr>
          <w:p w:rsidR="00AE71E9" w:rsidRDefault="00AE71E9">
            <w:pPr>
              <w:pStyle w:val="TableParagraph"/>
              <w:snapToGrid w:val="0"/>
              <w:jc w:val="right"/>
            </w:pPr>
          </w:p>
        </w:tc>
        <w:tc>
          <w:tcPr>
            <w:tcW w:w="1929" w:type="dxa"/>
            <w:vAlign w:val="bottom"/>
          </w:tcPr>
          <w:p w:rsidR="00AE71E9" w:rsidRDefault="00AE71E9">
            <w:pPr>
              <w:pStyle w:val="TableParagraph"/>
              <w:snapToGrid w:val="0"/>
              <w:jc w:val="right"/>
            </w:pPr>
          </w:p>
        </w:tc>
        <w:tc>
          <w:tcPr>
            <w:tcW w:w="1624" w:type="dxa"/>
            <w:vAlign w:val="bottom"/>
          </w:tcPr>
          <w:p w:rsidR="00AE71E9" w:rsidRDefault="00AE71E9">
            <w:pPr>
              <w:pStyle w:val="TableParagraph"/>
              <w:snapToGrid w:val="0"/>
              <w:jc w:val="right"/>
            </w:pPr>
          </w:p>
        </w:tc>
      </w:tr>
      <w:tr w:rsidR="00AE71E9">
        <w:trPr>
          <w:jc w:val="right"/>
        </w:trPr>
        <w:tc>
          <w:tcPr>
            <w:tcW w:w="1562" w:type="dxa"/>
          </w:tcPr>
          <w:p w:rsidR="00AE71E9" w:rsidRDefault="00FE1CE4">
            <w:pPr>
              <w:pStyle w:val="a5"/>
              <w:kinsoku w:val="0"/>
              <w:overflowPunct w:val="0"/>
              <w:snapToGrid w:val="0"/>
              <w:spacing w:before="0"/>
              <w:ind w:left="480"/>
              <w:rPr>
                <w:rFonts w:ascii="Times New Roman" w:hAnsi="Times New Roman" w:cs="Times New Roman"/>
                <w:b/>
                <w:color w:val="231916"/>
                <w:spacing w:val="3"/>
                <w:sz w:val="24"/>
                <w:szCs w:val="24"/>
              </w:rPr>
            </w:pPr>
            <w:r>
              <w:rPr>
                <w:rFonts w:ascii="Times New Roman" w:hAnsi="Times New Roman" w:cs="Times New Roman"/>
                <w:b/>
                <w:color w:val="231916"/>
                <w:spacing w:val="3"/>
                <w:sz w:val="24"/>
                <w:szCs w:val="24"/>
              </w:rPr>
              <w:t>A</w:t>
            </w:r>
            <w:r>
              <w:rPr>
                <w:rFonts w:ascii="Times New Roman" w:hAnsi="Times New Roman" w:cs="Times New Roman"/>
                <w:b/>
                <w:color w:val="231916"/>
                <w:spacing w:val="3"/>
                <w:sz w:val="24"/>
                <w:szCs w:val="24"/>
              </w:rPr>
              <w:t>股總數</w:t>
            </w:r>
          </w:p>
        </w:tc>
        <w:tc>
          <w:tcPr>
            <w:tcW w:w="1929" w:type="dxa"/>
            <w:vAlign w:val="bottom"/>
          </w:tcPr>
          <w:p w:rsidR="00AE71E9" w:rsidRDefault="00FE1CE4">
            <w:pPr>
              <w:pStyle w:val="a5"/>
              <w:kinsoku w:val="0"/>
              <w:overflowPunct w:val="0"/>
              <w:snapToGrid w:val="0"/>
              <w:spacing w:before="0"/>
              <w:ind w:left="480"/>
              <w:jc w:val="right"/>
              <w:rPr>
                <w:rFonts w:ascii="Times New Roman" w:hAnsi="Times New Roman" w:cs="Times New Roman"/>
                <w:b/>
                <w:color w:val="231916"/>
                <w:spacing w:val="3"/>
                <w:sz w:val="24"/>
                <w:szCs w:val="24"/>
                <w:u w:val="double"/>
              </w:rPr>
            </w:pPr>
            <w:r>
              <w:rPr>
                <w:rFonts w:ascii="Times New Roman" w:hAnsi="Times New Roman" w:cs="Times New Roman"/>
                <w:b/>
                <w:color w:val="231916"/>
                <w:spacing w:val="3"/>
                <w:sz w:val="24"/>
                <w:szCs w:val="24"/>
                <w:u w:val="double"/>
              </w:rPr>
              <w:t xml:space="preserve">307,312,830 </w:t>
            </w:r>
          </w:p>
        </w:tc>
        <w:tc>
          <w:tcPr>
            <w:tcW w:w="1617" w:type="dxa"/>
            <w:vAlign w:val="bottom"/>
          </w:tcPr>
          <w:p w:rsidR="00AE71E9" w:rsidRDefault="00FE1CE4">
            <w:pPr>
              <w:pStyle w:val="a5"/>
              <w:kinsoku w:val="0"/>
              <w:overflowPunct w:val="0"/>
              <w:snapToGrid w:val="0"/>
              <w:spacing w:before="0"/>
              <w:ind w:left="480"/>
              <w:jc w:val="right"/>
              <w:rPr>
                <w:rFonts w:ascii="Times New Roman" w:hAnsi="Times New Roman" w:cs="Times New Roman"/>
                <w:b/>
                <w:color w:val="231916"/>
                <w:spacing w:val="3"/>
                <w:sz w:val="24"/>
                <w:szCs w:val="24"/>
                <w:u w:val="double"/>
              </w:rPr>
            </w:pPr>
            <w:r>
              <w:rPr>
                <w:rFonts w:ascii="Times New Roman" w:hAnsi="Times New Roman" w:cs="Times New Roman"/>
                <w:b/>
                <w:color w:val="231916"/>
                <w:spacing w:val="3"/>
                <w:sz w:val="24"/>
                <w:szCs w:val="24"/>
                <w:u w:val="double"/>
              </w:rPr>
              <w:t>67.20%</w:t>
            </w:r>
          </w:p>
        </w:tc>
        <w:tc>
          <w:tcPr>
            <w:tcW w:w="1929" w:type="dxa"/>
            <w:vAlign w:val="bottom"/>
          </w:tcPr>
          <w:p w:rsidR="00AE71E9" w:rsidRDefault="00FE1CE4">
            <w:pPr>
              <w:pStyle w:val="a5"/>
              <w:kinsoku w:val="0"/>
              <w:overflowPunct w:val="0"/>
              <w:snapToGrid w:val="0"/>
              <w:spacing w:before="0"/>
              <w:ind w:left="480"/>
              <w:jc w:val="right"/>
              <w:rPr>
                <w:rFonts w:ascii="Times New Roman" w:hAnsi="Times New Roman" w:cs="Times New Roman"/>
                <w:b/>
                <w:color w:val="231916"/>
                <w:spacing w:val="3"/>
                <w:sz w:val="24"/>
                <w:szCs w:val="24"/>
                <w:u w:val="double"/>
              </w:rPr>
            </w:pPr>
            <w:r>
              <w:rPr>
                <w:rFonts w:ascii="Times New Roman" w:eastAsia="SimSun" w:hAnsi="Times New Roman" w:cs="Times New Roman"/>
                <w:color w:val="000000" w:themeColor="text1"/>
                <w:sz w:val="24"/>
                <w:szCs w:val="24"/>
                <w:u w:val="thick"/>
              </w:rPr>
              <w:t>3</w:t>
            </w:r>
            <w:r>
              <w:rPr>
                <w:rFonts w:ascii="Times New Roman" w:eastAsia="SimSun" w:hAnsi="Times New Roman" w:cs="Times New Roman"/>
                <w:color w:val="000000" w:themeColor="text1"/>
                <w:sz w:val="24"/>
                <w:szCs w:val="24"/>
                <w:u w:val="thick"/>
                <w:lang w:eastAsia="zh-TW"/>
              </w:rPr>
              <w:t>28</w:t>
            </w:r>
            <w:r>
              <w:rPr>
                <w:rFonts w:ascii="Times New Roman" w:eastAsia="SimSun" w:hAnsi="Times New Roman" w:cs="Times New Roman"/>
                <w:color w:val="000000" w:themeColor="text1"/>
                <w:sz w:val="24"/>
                <w:szCs w:val="24"/>
                <w:u w:val="thick"/>
              </w:rPr>
              <w:t>,</w:t>
            </w:r>
            <w:r>
              <w:rPr>
                <w:rFonts w:ascii="Times New Roman" w:eastAsia="SimSun" w:hAnsi="Times New Roman" w:cs="Times New Roman"/>
                <w:color w:val="000000" w:themeColor="text1"/>
                <w:sz w:val="24"/>
                <w:szCs w:val="24"/>
                <w:u w:val="thick"/>
                <w:lang w:eastAsia="zh-TW"/>
              </w:rPr>
              <w:t>353,421</w:t>
            </w:r>
            <w:r>
              <w:rPr>
                <w:rFonts w:ascii="Times New Roman" w:eastAsia="SimSun" w:hAnsi="Times New Roman" w:cs="Times New Roman"/>
                <w:color w:val="000000" w:themeColor="text1"/>
                <w:sz w:val="24"/>
                <w:szCs w:val="24"/>
              </w:rPr>
              <w:t xml:space="preserve">  </w:t>
            </w:r>
          </w:p>
        </w:tc>
        <w:tc>
          <w:tcPr>
            <w:tcW w:w="1624" w:type="dxa"/>
            <w:vAlign w:val="bottom"/>
          </w:tcPr>
          <w:p w:rsidR="00AE71E9" w:rsidRDefault="00FE1CE4">
            <w:pPr>
              <w:pStyle w:val="a5"/>
              <w:kinsoku w:val="0"/>
              <w:overflowPunct w:val="0"/>
              <w:snapToGrid w:val="0"/>
              <w:spacing w:before="0"/>
              <w:ind w:left="480"/>
              <w:jc w:val="right"/>
              <w:rPr>
                <w:rFonts w:ascii="Times New Roman" w:hAnsi="Times New Roman" w:cs="Times New Roman"/>
                <w:b/>
                <w:color w:val="000000"/>
                <w:sz w:val="24"/>
                <w:szCs w:val="24"/>
                <w:u w:val="double"/>
              </w:rPr>
            </w:pPr>
            <w:r>
              <w:rPr>
                <w:rFonts w:ascii="Times New Roman" w:eastAsia="SimSun" w:hAnsi="Times New Roman" w:cs="Times New Roman"/>
                <w:color w:val="000000" w:themeColor="text1"/>
                <w:sz w:val="24"/>
                <w:szCs w:val="24"/>
                <w:u w:val="double"/>
                <w:lang w:eastAsia="zh-TW"/>
              </w:rPr>
              <w:t>68.64</w:t>
            </w:r>
            <w:r>
              <w:rPr>
                <w:rFonts w:ascii="Times New Roman" w:hAnsi="Times New Roman" w:cs="Times New Roman"/>
                <w:b/>
                <w:color w:val="231916"/>
                <w:spacing w:val="4"/>
                <w:sz w:val="24"/>
                <w:szCs w:val="24"/>
                <w:u w:val="double"/>
              </w:rPr>
              <w:t>%</w:t>
            </w:r>
          </w:p>
        </w:tc>
      </w:tr>
      <w:tr w:rsidR="00AE71E9">
        <w:trPr>
          <w:jc w:val="right"/>
        </w:trPr>
        <w:tc>
          <w:tcPr>
            <w:tcW w:w="1562" w:type="dxa"/>
          </w:tcPr>
          <w:p w:rsidR="00AE71E9" w:rsidRDefault="00AE71E9">
            <w:pPr>
              <w:pStyle w:val="a5"/>
              <w:snapToGrid w:val="0"/>
              <w:spacing w:before="0"/>
              <w:ind w:left="480"/>
              <w:rPr>
                <w:rFonts w:ascii="Times New Roman" w:hAnsi="Times New Roman" w:cs="Times New Roman"/>
                <w:sz w:val="24"/>
                <w:szCs w:val="24"/>
              </w:rPr>
            </w:pPr>
          </w:p>
        </w:tc>
        <w:tc>
          <w:tcPr>
            <w:tcW w:w="1929" w:type="dxa"/>
            <w:vAlign w:val="bottom"/>
          </w:tcPr>
          <w:p w:rsidR="00AE71E9" w:rsidRDefault="00AE71E9">
            <w:pPr>
              <w:pStyle w:val="a5"/>
              <w:snapToGrid w:val="0"/>
              <w:spacing w:before="0"/>
              <w:ind w:left="480"/>
              <w:jc w:val="right"/>
              <w:rPr>
                <w:rFonts w:ascii="Times New Roman" w:hAnsi="Times New Roman" w:cs="Times New Roman"/>
                <w:sz w:val="24"/>
                <w:szCs w:val="24"/>
              </w:rPr>
            </w:pPr>
          </w:p>
        </w:tc>
        <w:tc>
          <w:tcPr>
            <w:tcW w:w="1617" w:type="dxa"/>
            <w:vAlign w:val="bottom"/>
          </w:tcPr>
          <w:p w:rsidR="00AE71E9" w:rsidRDefault="00AE71E9">
            <w:pPr>
              <w:pStyle w:val="a5"/>
              <w:snapToGrid w:val="0"/>
              <w:spacing w:before="0"/>
              <w:ind w:left="480"/>
              <w:jc w:val="right"/>
              <w:rPr>
                <w:rFonts w:ascii="Times New Roman" w:hAnsi="Times New Roman" w:cs="Times New Roman"/>
                <w:sz w:val="24"/>
                <w:szCs w:val="24"/>
              </w:rPr>
            </w:pPr>
          </w:p>
        </w:tc>
        <w:tc>
          <w:tcPr>
            <w:tcW w:w="1929" w:type="dxa"/>
            <w:vAlign w:val="bottom"/>
          </w:tcPr>
          <w:p w:rsidR="00AE71E9" w:rsidRDefault="00AE71E9">
            <w:pPr>
              <w:pStyle w:val="a5"/>
              <w:snapToGrid w:val="0"/>
              <w:spacing w:before="0"/>
              <w:ind w:left="480"/>
              <w:jc w:val="right"/>
              <w:rPr>
                <w:rFonts w:ascii="Times New Roman" w:hAnsi="Times New Roman" w:cs="Times New Roman"/>
                <w:sz w:val="24"/>
                <w:szCs w:val="24"/>
              </w:rPr>
            </w:pPr>
          </w:p>
        </w:tc>
        <w:tc>
          <w:tcPr>
            <w:tcW w:w="1624" w:type="dxa"/>
            <w:vAlign w:val="bottom"/>
          </w:tcPr>
          <w:p w:rsidR="00AE71E9" w:rsidRDefault="00AE71E9">
            <w:pPr>
              <w:pStyle w:val="a5"/>
              <w:snapToGrid w:val="0"/>
              <w:spacing w:before="0"/>
              <w:ind w:left="480"/>
              <w:jc w:val="right"/>
              <w:rPr>
                <w:rFonts w:ascii="Times New Roman" w:hAnsi="Times New Roman" w:cs="Times New Roman"/>
                <w:sz w:val="24"/>
                <w:szCs w:val="24"/>
              </w:rPr>
            </w:pPr>
          </w:p>
        </w:tc>
      </w:tr>
      <w:tr w:rsidR="00AE71E9">
        <w:trPr>
          <w:jc w:val="right"/>
        </w:trPr>
        <w:tc>
          <w:tcPr>
            <w:tcW w:w="1562" w:type="dxa"/>
          </w:tcPr>
          <w:p w:rsidR="00AE71E9" w:rsidRDefault="00FE1CE4">
            <w:pPr>
              <w:snapToGrid w:val="0"/>
              <w:rPr>
                <w:b/>
                <w:i/>
                <w:iCs/>
                <w:color w:val="231916"/>
                <w:szCs w:val="24"/>
                <w:u w:val="single"/>
              </w:rPr>
            </w:pPr>
            <w:r>
              <w:rPr>
                <w:b/>
                <w:i/>
                <w:iCs/>
                <w:color w:val="231916"/>
                <w:szCs w:val="24"/>
                <w:u w:val="single"/>
              </w:rPr>
              <w:t>H</w:t>
            </w:r>
            <w:r>
              <w:rPr>
                <w:b/>
                <w:i/>
                <w:iCs/>
                <w:color w:val="231916"/>
                <w:szCs w:val="24"/>
                <w:u w:val="single"/>
              </w:rPr>
              <w:t>股</w:t>
            </w:r>
          </w:p>
          <w:p w:rsidR="00AE71E9" w:rsidRDefault="00AE71E9">
            <w:pPr>
              <w:snapToGrid w:val="0"/>
              <w:rPr>
                <w:szCs w:val="24"/>
              </w:rPr>
            </w:pPr>
          </w:p>
        </w:tc>
        <w:tc>
          <w:tcPr>
            <w:tcW w:w="1929" w:type="dxa"/>
            <w:vAlign w:val="bottom"/>
          </w:tcPr>
          <w:p w:rsidR="00AE71E9" w:rsidRDefault="00AE71E9">
            <w:pPr>
              <w:snapToGrid w:val="0"/>
              <w:jc w:val="right"/>
              <w:rPr>
                <w:rFonts w:ascii="Times New Roman" w:hAnsi="Times New Roman" w:cs="Times New Roman"/>
                <w:szCs w:val="24"/>
              </w:rPr>
            </w:pPr>
          </w:p>
        </w:tc>
        <w:tc>
          <w:tcPr>
            <w:tcW w:w="1617" w:type="dxa"/>
            <w:vAlign w:val="bottom"/>
          </w:tcPr>
          <w:p w:rsidR="00AE71E9" w:rsidRDefault="00AE71E9">
            <w:pPr>
              <w:snapToGrid w:val="0"/>
              <w:jc w:val="right"/>
              <w:rPr>
                <w:rFonts w:ascii="Times New Roman" w:hAnsi="Times New Roman" w:cs="Times New Roman"/>
                <w:szCs w:val="24"/>
              </w:rPr>
            </w:pPr>
          </w:p>
        </w:tc>
        <w:tc>
          <w:tcPr>
            <w:tcW w:w="1929" w:type="dxa"/>
            <w:vAlign w:val="bottom"/>
          </w:tcPr>
          <w:p w:rsidR="00AE71E9" w:rsidRDefault="00AE71E9">
            <w:pPr>
              <w:snapToGrid w:val="0"/>
              <w:jc w:val="right"/>
              <w:rPr>
                <w:rFonts w:ascii="Times New Roman" w:hAnsi="Times New Roman" w:cs="Times New Roman"/>
                <w:szCs w:val="24"/>
              </w:rPr>
            </w:pPr>
          </w:p>
        </w:tc>
        <w:tc>
          <w:tcPr>
            <w:tcW w:w="1624" w:type="dxa"/>
            <w:vAlign w:val="bottom"/>
          </w:tcPr>
          <w:p w:rsidR="00AE71E9" w:rsidRDefault="00AE71E9">
            <w:pPr>
              <w:snapToGrid w:val="0"/>
              <w:jc w:val="right"/>
              <w:rPr>
                <w:rFonts w:ascii="Times New Roman" w:hAnsi="Times New Roman" w:cs="Times New Roman"/>
                <w:szCs w:val="24"/>
              </w:rPr>
            </w:pPr>
          </w:p>
        </w:tc>
      </w:tr>
      <w:tr w:rsidR="00AE71E9">
        <w:trPr>
          <w:jc w:val="right"/>
        </w:trPr>
        <w:tc>
          <w:tcPr>
            <w:tcW w:w="1562" w:type="dxa"/>
          </w:tcPr>
          <w:p w:rsidR="00AE71E9" w:rsidRDefault="00FE1CE4">
            <w:pPr>
              <w:pStyle w:val="TableParagraph"/>
              <w:kinsoku w:val="0"/>
              <w:overflowPunct w:val="0"/>
              <w:snapToGrid w:val="0"/>
            </w:pPr>
            <w:r>
              <w:rPr>
                <w:rFonts w:eastAsia="SimSun"/>
                <w:color w:val="000000" w:themeColor="text1"/>
              </w:rPr>
              <w:t>維斌有限公司</w:t>
            </w:r>
            <w:r>
              <w:rPr>
                <w:rFonts w:eastAsia="SimSun"/>
                <w:i/>
                <w:color w:val="000000" w:themeColor="text1"/>
                <w:vertAlign w:val="superscript"/>
              </w:rPr>
              <w:t>附</w:t>
            </w:r>
            <w:r>
              <w:rPr>
                <w:rFonts w:ascii="PMingLiU" w:eastAsia="PMingLiU" w:hAnsi="PMingLiU"/>
                <w:i/>
                <w:color w:val="000000" w:themeColor="text1"/>
                <w:vertAlign w:val="superscript"/>
              </w:rPr>
              <w:t>註2</w:t>
            </w:r>
          </w:p>
        </w:tc>
        <w:tc>
          <w:tcPr>
            <w:tcW w:w="1929" w:type="dxa"/>
            <w:vAlign w:val="bottom"/>
          </w:tcPr>
          <w:p w:rsidR="00AE71E9" w:rsidRDefault="00FE1CE4">
            <w:pPr>
              <w:pStyle w:val="TableParagraph"/>
              <w:kinsoku w:val="0"/>
              <w:overflowPunct w:val="0"/>
              <w:snapToGrid w:val="0"/>
              <w:jc w:val="right"/>
              <w:rPr>
                <w:rFonts w:eastAsia="SimSun"/>
                <w:color w:val="000000" w:themeColor="text1"/>
                <w:lang w:eastAsia="zh-TW"/>
              </w:rPr>
            </w:pPr>
            <w:r>
              <w:rPr>
                <w:rFonts w:eastAsia="SimSun"/>
                <w:color w:val="000000" w:themeColor="text1"/>
                <w:lang w:eastAsia="zh-TW"/>
              </w:rPr>
              <w:t>13,686,000</w:t>
            </w:r>
          </w:p>
        </w:tc>
        <w:tc>
          <w:tcPr>
            <w:tcW w:w="1617" w:type="dxa"/>
            <w:vAlign w:val="bottom"/>
          </w:tcPr>
          <w:p w:rsidR="00AE71E9" w:rsidRDefault="00FE1CE4">
            <w:pPr>
              <w:pStyle w:val="TableParagraph"/>
              <w:kinsoku w:val="0"/>
              <w:overflowPunct w:val="0"/>
              <w:snapToGrid w:val="0"/>
              <w:jc w:val="right"/>
              <w:rPr>
                <w:rFonts w:eastAsia="SimSun"/>
                <w:color w:val="000000" w:themeColor="text1"/>
                <w:lang w:eastAsia="zh-TW"/>
              </w:rPr>
            </w:pPr>
            <w:r>
              <w:rPr>
                <w:rFonts w:eastAsia="SimSun"/>
                <w:color w:val="000000" w:themeColor="text1"/>
                <w:lang w:eastAsia="zh-TW"/>
              </w:rPr>
              <w:t>2.99%</w:t>
            </w:r>
          </w:p>
        </w:tc>
        <w:tc>
          <w:tcPr>
            <w:tcW w:w="1929" w:type="dxa"/>
            <w:vAlign w:val="bottom"/>
          </w:tcPr>
          <w:p w:rsidR="00AE71E9" w:rsidRDefault="00FE1CE4">
            <w:pPr>
              <w:pStyle w:val="TableParagraph"/>
              <w:kinsoku w:val="0"/>
              <w:overflowPunct w:val="0"/>
              <w:snapToGrid w:val="0"/>
              <w:jc w:val="right"/>
              <w:rPr>
                <w:rFonts w:eastAsia="SimSun"/>
                <w:color w:val="000000" w:themeColor="text1"/>
                <w:lang w:eastAsia="zh-TW"/>
              </w:rPr>
            </w:pPr>
            <w:r>
              <w:rPr>
                <w:rFonts w:eastAsia="SimSun"/>
                <w:color w:val="000000" w:themeColor="text1"/>
                <w:lang w:eastAsia="zh-TW"/>
              </w:rPr>
              <w:t>13,686,000</w:t>
            </w:r>
          </w:p>
        </w:tc>
        <w:tc>
          <w:tcPr>
            <w:tcW w:w="1624" w:type="dxa"/>
            <w:vAlign w:val="bottom"/>
          </w:tcPr>
          <w:p w:rsidR="00AE71E9" w:rsidRDefault="00FE1CE4">
            <w:pPr>
              <w:pStyle w:val="TableParagraph"/>
              <w:kinsoku w:val="0"/>
              <w:overflowPunct w:val="0"/>
              <w:snapToGrid w:val="0"/>
              <w:jc w:val="right"/>
              <w:rPr>
                <w:rFonts w:eastAsia="SimSun"/>
                <w:color w:val="000000" w:themeColor="text1"/>
                <w:lang w:eastAsia="zh-TW"/>
              </w:rPr>
            </w:pPr>
            <w:r>
              <w:rPr>
                <w:rFonts w:eastAsia="SimSun"/>
                <w:color w:val="000000" w:themeColor="text1"/>
                <w:lang w:eastAsia="zh-TW"/>
              </w:rPr>
              <w:t>2. 86%</w:t>
            </w:r>
          </w:p>
        </w:tc>
      </w:tr>
      <w:tr w:rsidR="00AE71E9">
        <w:trPr>
          <w:jc w:val="right"/>
        </w:trPr>
        <w:tc>
          <w:tcPr>
            <w:tcW w:w="1562" w:type="dxa"/>
          </w:tcPr>
          <w:p w:rsidR="00AE71E9" w:rsidRDefault="00FE1CE4">
            <w:pPr>
              <w:pStyle w:val="TableParagraph"/>
              <w:kinsoku w:val="0"/>
              <w:overflowPunct w:val="0"/>
              <w:snapToGrid w:val="0"/>
            </w:pPr>
            <w:r>
              <w:rPr>
                <w:color w:val="231916"/>
                <w:spacing w:val="3"/>
                <w:lang w:eastAsia="zh-TW"/>
              </w:rPr>
              <w:t>公眾</w:t>
            </w:r>
            <w:r>
              <w:rPr>
                <w:color w:val="231916"/>
                <w:spacing w:val="3"/>
                <w:lang w:eastAsia="zh-TW"/>
              </w:rPr>
              <w:t>H</w:t>
            </w:r>
            <w:r>
              <w:rPr>
                <w:color w:val="231916"/>
                <w:spacing w:val="3"/>
                <w:lang w:eastAsia="zh-TW"/>
              </w:rPr>
              <w:t>股股東</w:t>
            </w:r>
          </w:p>
        </w:tc>
        <w:tc>
          <w:tcPr>
            <w:tcW w:w="1929" w:type="dxa"/>
            <w:vAlign w:val="bottom"/>
          </w:tcPr>
          <w:p w:rsidR="00AE71E9" w:rsidRDefault="00FE1CE4">
            <w:pPr>
              <w:pStyle w:val="TableParagraph"/>
              <w:kinsoku w:val="0"/>
              <w:overflowPunct w:val="0"/>
              <w:snapToGrid w:val="0"/>
              <w:jc w:val="right"/>
              <w:rPr>
                <w:rFonts w:eastAsia="SimSun"/>
                <w:color w:val="000000" w:themeColor="text1"/>
                <w:lang w:eastAsia="zh-TW"/>
              </w:rPr>
            </w:pPr>
            <w:r>
              <w:rPr>
                <w:rFonts w:eastAsia="SimSun"/>
                <w:color w:val="000000" w:themeColor="text1"/>
                <w:lang w:eastAsia="zh-TW"/>
              </w:rPr>
              <w:t>136,314,000</w:t>
            </w:r>
          </w:p>
        </w:tc>
        <w:tc>
          <w:tcPr>
            <w:tcW w:w="1617" w:type="dxa"/>
            <w:vAlign w:val="bottom"/>
          </w:tcPr>
          <w:p w:rsidR="00AE71E9" w:rsidRDefault="00FE1CE4">
            <w:pPr>
              <w:pStyle w:val="TableParagraph"/>
              <w:kinsoku w:val="0"/>
              <w:overflowPunct w:val="0"/>
              <w:snapToGrid w:val="0"/>
              <w:jc w:val="right"/>
              <w:rPr>
                <w:rFonts w:eastAsia="SimSun"/>
                <w:color w:val="000000" w:themeColor="text1"/>
                <w:lang w:eastAsia="zh-TW"/>
              </w:rPr>
            </w:pPr>
            <w:r>
              <w:rPr>
                <w:rFonts w:eastAsia="SimSun"/>
                <w:color w:val="000000" w:themeColor="text1"/>
                <w:lang w:eastAsia="zh-TW"/>
              </w:rPr>
              <w:t>29.81%</w:t>
            </w:r>
          </w:p>
        </w:tc>
        <w:tc>
          <w:tcPr>
            <w:tcW w:w="1929" w:type="dxa"/>
            <w:vAlign w:val="bottom"/>
          </w:tcPr>
          <w:p w:rsidR="00AE71E9" w:rsidRDefault="00FE1CE4">
            <w:pPr>
              <w:pStyle w:val="TableParagraph"/>
              <w:kinsoku w:val="0"/>
              <w:overflowPunct w:val="0"/>
              <w:snapToGrid w:val="0"/>
              <w:jc w:val="right"/>
              <w:rPr>
                <w:rFonts w:eastAsia="SimSun"/>
                <w:color w:val="000000" w:themeColor="text1"/>
                <w:lang w:eastAsia="zh-TW"/>
              </w:rPr>
            </w:pPr>
            <w:r>
              <w:rPr>
                <w:rFonts w:eastAsia="SimSun"/>
                <w:color w:val="000000" w:themeColor="text1"/>
                <w:lang w:eastAsia="zh-TW"/>
              </w:rPr>
              <w:t>136,314,000</w:t>
            </w:r>
          </w:p>
        </w:tc>
        <w:tc>
          <w:tcPr>
            <w:tcW w:w="1624" w:type="dxa"/>
            <w:vAlign w:val="bottom"/>
          </w:tcPr>
          <w:p w:rsidR="00AE71E9" w:rsidRDefault="00FE1CE4">
            <w:pPr>
              <w:pStyle w:val="TableParagraph"/>
              <w:kinsoku w:val="0"/>
              <w:overflowPunct w:val="0"/>
              <w:snapToGrid w:val="0"/>
              <w:jc w:val="right"/>
              <w:rPr>
                <w:rFonts w:eastAsia="SimSun"/>
                <w:color w:val="000000" w:themeColor="text1"/>
                <w:lang w:eastAsia="zh-TW"/>
              </w:rPr>
            </w:pPr>
            <w:r>
              <w:rPr>
                <w:rFonts w:eastAsia="SimSun"/>
                <w:color w:val="000000" w:themeColor="text1"/>
                <w:lang w:eastAsia="zh-TW"/>
              </w:rPr>
              <w:t>28.50%</w:t>
            </w:r>
          </w:p>
        </w:tc>
      </w:tr>
      <w:tr w:rsidR="00AE71E9">
        <w:trPr>
          <w:jc w:val="right"/>
        </w:trPr>
        <w:tc>
          <w:tcPr>
            <w:tcW w:w="1562" w:type="dxa"/>
          </w:tcPr>
          <w:p w:rsidR="00AE71E9" w:rsidRDefault="00AE71E9">
            <w:pPr>
              <w:pStyle w:val="TableParagraph"/>
              <w:kinsoku w:val="0"/>
              <w:overflowPunct w:val="0"/>
              <w:snapToGrid w:val="0"/>
            </w:pPr>
          </w:p>
        </w:tc>
        <w:tc>
          <w:tcPr>
            <w:tcW w:w="1929" w:type="dxa"/>
            <w:vAlign w:val="bottom"/>
          </w:tcPr>
          <w:p w:rsidR="00AE71E9" w:rsidRDefault="00AE71E9">
            <w:pPr>
              <w:pStyle w:val="TableParagraph"/>
              <w:kinsoku w:val="0"/>
              <w:overflowPunct w:val="0"/>
              <w:snapToGrid w:val="0"/>
              <w:jc w:val="right"/>
              <w:rPr>
                <w:rFonts w:eastAsia="DFKai-SB"/>
              </w:rPr>
            </w:pPr>
          </w:p>
        </w:tc>
        <w:tc>
          <w:tcPr>
            <w:tcW w:w="1617" w:type="dxa"/>
            <w:vAlign w:val="bottom"/>
          </w:tcPr>
          <w:p w:rsidR="00AE71E9" w:rsidRDefault="00AE71E9">
            <w:pPr>
              <w:pStyle w:val="TableParagraph"/>
              <w:kinsoku w:val="0"/>
              <w:overflowPunct w:val="0"/>
              <w:snapToGrid w:val="0"/>
              <w:jc w:val="right"/>
              <w:rPr>
                <w:rFonts w:eastAsia="DFKai-SB"/>
              </w:rPr>
            </w:pPr>
          </w:p>
        </w:tc>
        <w:tc>
          <w:tcPr>
            <w:tcW w:w="1929" w:type="dxa"/>
            <w:vAlign w:val="bottom"/>
          </w:tcPr>
          <w:p w:rsidR="00AE71E9" w:rsidRDefault="00AE71E9">
            <w:pPr>
              <w:pStyle w:val="TableParagraph"/>
              <w:kinsoku w:val="0"/>
              <w:overflowPunct w:val="0"/>
              <w:snapToGrid w:val="0"/>
              <w:jc w:val="right"/>
              <w:rPr>
                <w:rFonts w:eastAsia="DFKai-SB"/>
              </w:rPr>
            </w:pPr>
          </w:p>
        </w:tc>
        <w:tc>
          <w:tcPr>
            <w:tcW w:w="1624" w:type="dxa"/>
            <w:vAlign w:val="bottom"/>
          </w:tcPr>
          <w:p w:rsidR="00AE71E9" w:rsidRDefault="00AE71E9">
            <w:pPr>
              <w:pStyle w:val="TableParagraph"/>
              <w:kinsoku w:val="0"/>
              <w:overflowPunct w:val="0"/>
              <w:snapToGrid w:val="0"/>
              <w:jc w:val="right"/>
              <w:rPr>
                <w:rFonts w:eastAsia="DFKai-SB"/>
              </w:rPr>
            </w:pPr>
          </w:p>
        </w:tc>
      </w:tr>
      <w:tr w:rsidR="00AE71E9">
        <w:trPr>
          <w:jc w:val="right"/>
        </w:trPr>
        <w:tc>
          <w:tcPr>
            <w:tcW w:w="1562" w:type="dxa"/>
          </w:tcPr>
          <w:p w:rsidR="00AE71E9" w:rsidRDefault="00FE1CE4">
            <w:pPr>
              <w:pStyle w:val="TableParagraph"/>
              <w:kinsoku w:val="0"/>
              <w:overflowPunct w:val="0"/>
              <w:snapToGrid w:val="0"/>
              <w:rPr>
                <w:b/>
                <w:lang w:eastAsia="zh-TW"/>
              </w:rPr>
            </w:pPr>
            <w:r>
              <w:rPr>
                <w:b/>
                <w:color w:val="231916"/>
                <w:spacing w:val="3"/>
                <w:lang w:eastAsia="zh-TW"/>
              </w:rPr>
              <w:t>H</w:t>
            </w:r>
            <w:r>
              <w:rPr>
                <w:b/>
                <w:color w:val="231916"/>
                <w:spacing w:val="3"/>
                <w:lang w:eastAsia="zh-TW"/>
              </w:rPr>
              <w:t>股總數</w:t>
            </w:r>
          </w:p>
        </w:tc>
        <w:tc>
          <w:tcPr>
            <w:tcW w:w="1929" w:type="dxa"/>
            <w:vAlign w:val="bottom"/>
          </w:tcPr>
          <w:p w:rsidR="00AE71E9" w:rsidRDefault="00FE1CE4">
            <w:pPr>
              <w:pStyle w:val="TableParagraph"/>
              <w:kinsoku w:val="0"/>
              <w:overflowPunct w:val="0"/>
              <w:snapToGrid w:val="0"/>
              <w:jc w:val="right"/>
              <w:rPr>
                <w:b/>
                <w:u w:val="double"/>
              </w:rPr>
            </w:pPr>
            <w:r>
              <w:rPr>
                <w:b/>
                <w:color w:val="231916"/>
                <w:spacing w:val="4"/>
                <w:w w:val="90"/>
                <w:u w:val="double"/>
              </w:rPr>
              <w:t>150,000,000</w:t>
            </w:r>
          </w:p>
        </w:tc>
        <w:tc>
          <w:tcPr>
            <w:tcW w:w="1617" w:type="dxa"/>
            <w:vAlign w:val="bottom"/>
          </w:tcPr>
          <w:p w:rsidR="00AE71E9" w:rsidRDefault="00FE1CE4">
            <w:pPr>
              <w:pStyle w:val="TableParagraph"/>
              <w:kinsoku w:val="0"/>
              <w:overflowPunct w:val="0"/>
              <w:snapToGrid w:val="0"/>
              <w:jc w:val="right"/>
              <w:rPr>
                <w:b/>
                <w:u w:val="double"/>
              </w:rPr>
            </w:pPr>
            <w:r>
              <w:rPr>
                <w:b/>
                <w:color w:val="231916"/>
                <w:spacing w:val="4"/>
                <w:w w:val="90"/>
                <w:u w:val="double"/>
              </w:rPr>
              <w:t>32.80%</w:t>
            </w:r>
          </w:p>
        </w:tc>
        <w:tc>
          <w:tcPr>
            <w:tcW w:w="1929" w:type="dxa"/>
            <w:vAlign w:val="bottom"/>
          </w:tcPr>
          <w:p w:rsidR="00AE71E9" w:rsidRDefault="00FE1CE4">
            <w:pPr>
              <w:pStyle w:val="TableParagraph"/>
              <w:kinsoku w:val="0"/>
              <w:overflowPunct w:val="0"/>
              <w:snapToGrid w:val="0"/>
              <w:jc w:val="right"/>
              <w:rPr>
                <w:b/>
                <w:u w:val="double"/>
              </w:rPr>
            </w:pPr>
            <w:r>
              <w:rPr>
                <w:b/>
                <w:color w:val="231916"/>
                <w:spacing w:val="4"/>
                <w:w w:val="90"/>
                <w:u w:val="double"/>
              </w:rPr>
              <w:t>150,000,000</w:t>
            </w:r>
          </w:p>
        </w:tc>
        <w:tc>
          <w:tcPr>
            <w:tcW w:w="1624" w:type="dxa"/>
            <w:vAlign w:val="bottom"/>
          </w:tcPr>
          <w:p w:rsidR="00AE71E9" w:rsidRDefault="00FE1CE4">
            <w:pPr>
              <w:pStyle w:val="TableParagraph"/>
              <w:kinsoku w:val="0"/>
              <w:overflowPunct w:val="0"/>
              <w:snapToGrid w:val="0"/>
              <w:jc w:val="right"/>
              <w:rPr>
                <w:b/>
                <w:u w:val="double"/>
              </w:rPr>
            </w:pPr>
            <w:r>
              <w:rPr>
                <w:rFonts w:eastAsia="SimSun"/>
                <w:color w:val="000000" w:themeColor="text1"/>
                <w:u w:val="double"/>
                <w:lang w:eastAsia="zh-TW"/>
              </w:rPr>
              <w:t>31.36</w:t>
            </w:r>
            <w:r>
              <w:rPr>
                <w:b/>
                <w:color w:val="231916"/>
                <w:spacing w:val="4"/>
                <w:w w:val="95"/>
                <w:u w:val="double"/>
              </w:rPr>
              <w:t>%</w:t>
            </w:r>
          </w:p>
        </w:tc>
      </w:tr>
      <w:tr w:rsidR="00AE71E9">
        <w:trPr>
          <w:jc w:val="right"/>
        </w:trPr>
        <w:tc>
          <w:tcPr>
            <w:tcW w:w="1562" w:type="dxa"/>
          </w:tcPr>
          <w:p w:rsidR="00AE71E9" w:rsidRDefault="00AE71E9">
            <w:pPr>
              <w:pStyle w:val="a5"/>
              <w:kinsoku w:val="0"/>
              <w:overflowPunct w:val="0"/>
              <w:snapToGrid w:val="0"/>
              <w:spacing w:before="0"/>
              <w:ind w:left="480"/>
              <w:rPr>
                <w:rFonts w:ascii="Times New Roman" w:hAnsi="Times New Roman" w:cs="Times New Roman"/>
                <w:b/>
                <w:sz w:val="24"/>
                <w:szCs w:val="24"/>
              </w:rPr>
            </w:pPr>
          </w:p>
        </w:tc>
        <w:tc>
          <w:tcPr>
            <w:tcW w:w="1929" w:type="dxa"/>
            <w:vAlign w:val="bottom"/>
          </w:tcPr>
          <w:p w:rsidR="00AE71E9" w:rsidRDefault="00AE71E9">
            <w:pPr>
              <w:pStyle w:val="a5"/>
              <w:kinsoku w:val="0"/>
              <w:overflowPunct w:val="0"/>
              <w:snapToGrid w:val="0"/>
              <w:spacing w:before="0"/>
              <w:ind w:left="480"/>
              <w:jc w:val="right"/>
              <w:rPr>
                <w:rFonts w:ascii="Times New Roman" w:hAnsi="Times New Roman" w:cs="Times New Roman"/>
                <w:b/>
                <w:sz w:val="24"/>
                <w:szCs w:val="24"/>
              </w:rPr>
            </w:pPr>
          </w:p>
        </w:tc>
        <w:tc>
          <w:tcPr>
            <w:tcW w:w="1617" w:type="dxa"/>
            <w:vAlign w:val="bottom"/>
          </w:tcPr>
          <w:p w:rsidR="00AE71E9" w:rsidRDefault="00AE71E9">
            <w:pPr>
              <w:pStyle w:val="a5"/>
              <w:kinsoku w:val="0"/>
              <w:overflowPunct w:val="0"/>
              <w:snapToGrid w:val="0"/>
              <w:spacing w:before="0"/>
              <w:ind w:left="480"/>
              <w:jc w:val="right"/>
              <w:rPr>
                <w:rFonts w:ascii="Times New Roman" w:hAnsi="Times New Roman" w:cs="Times New Roman"/>
                <w:b/>
                <w:sz w:val="24"/>
                <w:szCs w:val="24"/>
              </w:rPr>
            </w:pPr>
          </w:p>
        </w:tc>
        <w:tc>
          <w:tcPr>
            <w:tcW w:w="1929" w:type="dxa"/>
            <w:vAlign w:val="bottom"/>
          </w:tcPr>
          <w:p w:rsidR="00AE71E9" w:rsidRDefault="00AE71E9">
            <w:pPr>
              <w:pStyle w:val="a5"/>
              <w:kinsoku w:val="0"/>
              <w:overflowPunct w:val="0"/>
              <w:snapToGrid w:val="0"/>
              <w:spacing w:before="0"/>
              <w:ind w:left="480"/>
              <w:jc w:val="right"/>
              <w:rPr>
                <w:rFonts w:ascii="Times New Roman" w:hAnsi="Times New Roman" w:cs="Times New Roman"/>
                <w:b/>
                <w:sz w:val="24"/>
                <w:szCs w:val="24"/>
              </w:rPr>
            </w:pPr>
          </w:p>
        </w:tc>
        <w:tc>
          <w:tcPr>
            <w:tcW w:w="1624" w:type="dxa"/>
            <w:vAlign w:val="bottom"/>
          </w:tcPr>
          <w:p w:rsidR="00AE71E9" w:rsidRDefault="00AE71E9">
            <w:pPr>
              <w:pStyle w:val="a5"/>
              <w:kinsoku w:val="0"/>
              <w:overflowPunct w:val="0"/>
              <w:snapToGrid w:val="0"/>
              <w:spacing w:before="0"/>
              <w:ind w:left="480"/>
              <w:jc w:val="right"/>
              <w:rPr>
                <w:rFonts w:ascii="Times New Roman" w:hAnsi="Times New Roman" w:cs="Times New Roman"/>
                <w:b/>
                <w:sz w:val="24"/>
                <w:szCs w:val="24"/>
              </w:rPr>
            </w:pPr>
          </w:p>
        </w:tc>
      </w:tr>
      <w:tr w:rsidR="00AE71E9">
        <w:trPr>
          <w:jc w:val="right"/>
        </w:trPr>
        <w:tc>
          <w:tcPr>
            <w:tcW w:w="1562" w:type="dxa"/>
          </w:tcPr>
          <w:p w:rsidR="00AE71E9" w:rsidRDefault="00FE1CE4">
            <w:pPr>
              <w:pStyle w:val="a5"/>
              <w:kinsoku w:val="0"/>
              <w:overflowPunct w:val="0"/>
              <w:snapToGrid w:val="0"/>
              <w:spacing w:before="0"/>
              <w:ind w:left="480"/>
              <w:rPr>
                <w:rFonts w:ascii="Times New Roman" w:hAnsi="Times New Roman" w:cs="Times New Roman"/>
                <w:b/>
                <w:color w:val="231916"/>
                <w:spacing w:val="3"/>
                <w:sz w:val="24"/>
                <w:szCs w:val="24"/>
              </w:rPr>
            </w:pPr>
            <w:r>
              <w:rPr>
                <w:rFonts w:ascii="Times New Roman" w:hAnsi="Times New Roman" w:cs="Times New Roman"/>
                <w:b/>
                <w:color w:val="231916"/>
                <w:spacing w:val="3"/>
                <w:sz w:val="24"/>
                <w:szCs w:val="24"/>
              </w:rPr>
              <w:t>股份總數</w:t>
            </w:r>
          </w:p>
        </w:tc>
        <w:tc>
          <w:tcPr>
            <w:tcW w:w="1929" w:type="dxa"/>
            <w:vAlign w:val="bottom"/>
          </w:tcPr>
          <w:p w:rsidR="00AE71E9" w:rsidRDefault="00FE1CE4">
            <w:pPr>
              <w:pStyle w:val="a5"/>
              <w:kinsoku w:val="0"/>
              <w:overflowPunct w:val="0"/>
              <w:snapToGrid w:val="0"/>
              <w:spacing w:before="0"/>
              <w:ind w:left="480"/>
              <w:jc w:val="right"/>
              <w:rPr>
                <w:rFonts w:ascii="Times New Roman" w:hAnsi="Times New Roman" w:cs="Times New Roman"/>
                <w:b/>
                <w:color w:val="231916"/>
                <w:spacing w:val="3"/>
                <w:sz w:val="24"/>
                <w:szCs w:val="24"/>
                <w:u w:val="double"/>
              </w:rPr>
            </w:pPr>
            <w:r>
              <w:rPr>
                <w:rFonts w:ascii="Times New Roman" w:hAnsi="Times New Roman" w:cs="Times New Roman"/>
                <w:b/>
                <w:color w:val="231916"/>
                <w:spacing w:val="3"/>
                <w:sz w:val="24"/>
                <w:szCs w:val="24"/>
                <w:u w:val="double"/>
              </w:rPr>
              <w:t>457,312,830</w:t>
            </w:r>
          </w:p>
        </w:tc>
        <w:tc>
          <w:tcPr>
            <w:tcW w:w="1617" w:type="dxa"/>
            <w:vAlign w:val="bottom"/>
          </w:tcPr>
          <w:p w:rsidR="00AE71E9" w:rsidRDefault="00FE1CE4">
            <w:pPr>
              <w:pStyle w:val="a5"/>
              <w:kinsoku w:val="0"/>
              <w:overflowPunct w:val="0"/>
              <w:snapToGrid w:val="0"/>
              <w:spacing w:before="0"/>
              <w:ind w:left="480"/>
              <w:jc w:val="right"/>
              <w:rPr>
                <w:rFonts w:ascii="Times New Roman" w:hAnsi="Times New Roman" w:cs="Times New Roman"/>
                <w:b/>
                <w:color w:val="231916"/>
                <w:spacing w:val="3"/>
                <w:sz w:val="24"/>
                <w:szCs w:val="24"/>
                <w:u w:val="double"/>
              </w:rPr>
            </w:pPr>
            <w:r>
              <w:rPr>
                <w:rFonts w:ascii="Times New Roman" w:hAnsi="Times New Roman" w:cs="Times New Roman"/>
                <w:b/>
                <w:color w:val="231916"/>
                <w:spacing w:val="3"/>
                <w:sz w:val="24"/>
                <w:szCs w:val="24"/>
                <w:u w:val="double"/>
              </w:rPr>
              <w:t>100.00%</w:t>
            </w:r>
          </w:p>
        </w:tc>
        <w:tc>
          <w:tcPr>
            <w:tcW w:w="1929" w:type="dxa"/>
          </w:tcPr>
          <w:p w:rsidR="00AE71E9" w:rsidRDefault="00AE71E9">
            <w:pPr>
              <w:pStyle w:val="a5"/>
              <w:kinsoku w:val="0"/>
              <w:overflowPunct w:val="0"/>
              <w:snapToGrid w:val="0"/>
              <w:spacing w:before="0"/>
              <w:ind w:left="480"/>
              <w:jc w:val="right"/>
              <w:rPr>
                <w:rFonts w:ascii="Times New Roman" w:hAnsi="Times New Roman" w:cs="Times New Roman"/>
                <w:b/>
                <w:color w:val="231916"/>
                <w:spacing w:val="3"/>
                <w:sz w:val="24"/>
                <w:szCs w:val="24"/>
                <w:u w:val="double"/>
              </w:rPr>
            </w:pPr>
          </w:p>
          <w:p w:rsidR="00876ECF" w:rsidRDefault="00876ECF">
            <w:pPr>
              <w:pStyle w:val="a5"/>
              <w:kinsoku w:val="0"/>
              <w:overflowPunct w:val="0"/>
              <w:snapToGrid w:val="0"/>
              <w:spacing w:before="0"/>
              <w:ind w:left="480"/>
              <w:jc w:val="right"/>
              <w:rPr>
                <w:rFonts w:ascii="Times New Roman" w:eastAsia="宋体" w:hAnsi="Times New Roman" w:cs="Times New Roman" w:hint="eastAsia"/>
                <w:b/>
                <w:color w:val="231916"/>
                <w:spacing w:val="3"/>
                <w:sz w:val="24"/>
                <w:szCs w:val="24"/>
                <w:u w:val="double"/>
              </w:rPr>
            </w:pPr>
          </w:p>
          <w:p w:rsidR="00AE71E9" w:rsidRDefault="00FE1CE4">
            <w:pPr>
              <w:pStyle w:val="a5"/>
              <w:kinsoku w:val="0"/>
              <w:overflowPunct w:val="0"/>
              <w:snapToGrid w:val="0"/>
              <w:spacing w:before="0"/>
              <w:ind w:left="480"/>
              <w:jc w:val="right"/>
              <w:rPr>
                <w:rFonts w:ascii="Times New Roman" w:hAnsi="Times New Roman" w:cs="Times New Roman"/>
                <w:b/>
                <w:color w:val="231916"/>
                <w:spacing w:val="3"/>
                <w:sz w:val="24"/>
                <w:szCs w:val="24"/>
                <w:u w:val="double"/>
              </w:rPr>
            </w:pPr>
            <w:r>
              <w:rPr>
                <w:rFonts w:ascii="Times New Roman" w:hAnsi="Times New Roman" w:cs="Times New Roman"/>
                <w:b/>
                <w:color w:val="231916"/>
                <w:spacing w:val="3"/>
                <w:sz w:val="24"/>
                <w:szCs w:val="24"/>
                <w:u w:val="double"/>
              </w:rPr>
              <w:t xml:space="preserve">478,353,421  </w:t>
            </w:r>
          </w:p>
        </w:tc>
        <w:tc>
          <w:tcPr>
            <w:tcW w:w="1624" w:type="dxa"/>
            <w:vAlign w:val="bottom"/>
          </w:tcPr>
          <w:p w:rsidR="00AE71E9" w:rsidRDefault="00FE1CE4">
            <w:pPr>
              <w:pStyle w:val="a5"/>
              <w:kinsoku w:val="0"/>
              <w:overflowPunct w:val="0"/>
              <w:snapToGrid w:val="0"/>
              <w:spacing w:before="0"/>
              <w:ind w:left="480"/>
              <w:jc w:val="right"/>
              <w:rPr>
                <w:rFonts w:ascii="Times New Roman" w:hAnsi="Times New Roman" w:cs="Times New Roman"/>
                <w:b/>
                <w:color w:val="000000"/>
                <w:sz w:val="24"/>
                <w:szCs w:val="24"/>
                <w:u w:val="double"/>
              </w:rPr>
            </w:pPr>
            <w:r>
              <w:rPr>
                <w:rFonts w:ascii="Times New Roman" w:hAnsi="Times New Roman" w:cs="Times New Roman"/>
                <w:b/>
                <w:color w:val="231916"/>
                <w:spacing w:val="4"/>
                <w:sz w:val="24"/>
                <w:szCs w:val="24"/>
                <w:u w:val="double"/>
              </w:rPr>
              <w:t>100.00%</w:t>
            </w:r>
          </w:p>
        </w:tc>
      </w:tr>
      <w:tr w:rsidR="00AE71E9">
        <w:trPr>
          <w:jc w:val="right"/>
        </w:trPr>
        <w:tc>
          <w:tcPr>
            <w:tcW w:w="1562" w:type="dxa"/>
          </w:tcPr>
          <w:p w:rsidR="00AE71E9" w:rsidRDefault="00AE71E9">
            <w:pPr>
              <w:pStyle w:val="a5"/>
              <w:kinsoku w:val="0"/>
              <w:overflowPunct w:val="0"/>
              <w:snapToGrid w:val="0"/>
              <w:spacing w:before="0"/>
              <w:ind w:left="480"/>
              <w:rPr>
                <w:rFonts w:ascii="Times New Roman" w:hAnsi="Times New Roman" w:cs="Times New Roman"/>
                <w:b/>
                <w:color w:val="231916"/>
                <w:spacing w:val="3"/>
                <w:sz w:val="21"/>
                <w:szCs w:val="21"/>
              </w:rPr>
            </w:pPr>
          </w:p>
        </w:tc>
        <w:tc>
          <w:tcPr>
            <w:tcW w:w="1929" w:type="dxa"/>
            <w:vAlign w:val="bottom"/>
          </w:tcPr>
          <w:p w:rsidR="00AE71E9" w:rsidRDefault="00AE71E9">
            <w:pPr>
              <w:pStyle w:val="a5"/>
              <w:kinsoku w:val="0"/>
              <w:overflowPunct w:val="0"/>
              <w:snapToGrid w:val="0"/>
              <w:spacing w:before="0"/>
              <w:ind w:left="480"/>
              <w:jc w:val="right"/>
              <w:rPr>
                <w:rFonts w:ascii="Times New Roman" w:hAnsi="Times New Roman" w:cs="Times New Roman"/>
                <w:b/>
                <w:color w:val="231916"/>
                <w:spacing w:val="3"/>
                <w:sz w:val="21"/>
                <w:szCs w:val="21"/>
                <w:u w:val="double"/>
              </w:rPr>
            </w:pPr>
          </w:p>
        </w:tc>
        <w:tc>
          <w:tcPr>
            <w:tcW w:w="1617" w:type="dxa"/>
            <w:vAlign w:val="bottom"/>
          </w:tcPr>
          <w:p w:rsidR="00AE71E9" w:rsidRDefault="00AE71E9">
            <w:pPr>
              <w:pStyle w:val="a5"/>
              <w:kinsoku w:val="0"/>
              <w:overflowPunct w:val="0"/>
              <w:snapToGrid w:val="0"/>
              <w:spacing w:before="0"/>
              <w:ind w:left="480"/>
              <w:jc w:val="right"/>
              <w:rPr>
                <w:rFonts w:ascii="Times New Roman" w:hAnsi="Times New Roman" w:cs="Times New Roman"/>
                <w:b/>
                <w:color w:val="231916"/>
                <w:spacing w:val="3"/>
                <w:sz w:val="21"/>
                <w:szCs w:val="21"/>
                <w:u w:val="double"/>
              </w:rPr>
            </w:pPr>
          </w:p>
        </w:tc>
        <w:tc>
          <w:tcPr>
            <w:tcW w:w="1929" w:type="dxa"/>
          </w:tcPr>
          <w:p w:rsidR="00AE71E9" w:rsidRDefault="00AE71E9">
            <w:pPr>
              <w:pStyle w:val="a5"/>
              <w:kinsoku w:val="0"/>
              <w:overflowPunct w:val="0"/>
              <w:snapToGrid w:val="0"/>
              <w:spacing w:before="0"/>
              <w:ind w:left="480"/>
              <w:jc w:val="right"/>
              <w:rPr>
                <w:rFonts w:ascii="Times New Roman" w:hAnsi="Times New Roman" w:cs="Times New Roman"/>
                <w:b/>
                <w:color w:val="231916"/>
                <w:spacing w:val="3"/>
                <w:sz w:val="21"/>
                <w:szCs w:val="21"/>
                <w:u w:val="double"/>
              </w:rPr>
            </w:pPr>
          </w:p>
        </w:tc>
        <w:tc>
          <w:tcPr>
            <w:tcW w:w="1624" w:type="dxa"/>
            <w:vAlign w:val="bottom"/>
          </w:tcPr>
          <w:p w:rsidR="00AE71E9" w:rsidRDefault="00AE71E9">
            <w:pPr>
              <w:pStyle w:val="a5"/>
              <w:kinsoku w:val="0"/>
              <w:overflowPunct w:val="0"/>
              <w:snapToGrid w:val="0"/>
              <w:spacing w:before="0"/>
              <w:ind w:left="480"/>
              <w:jc w:val="right"/>
              <w:rPr>
                <w:rFonts w:ascii="Times New Roman" w:hAnsi="Times New Roman" w:cs="Times New Roman"/>
                <w:b/>
                <w:color w:val="231916"/>
                <w:spacing w:val="4"/>
                <w:sz w:val="21"/>
                <w:szCs w:val="21"/>
                <w:u w:val="double"/>
              </w:rPr>
            </w:pPr>
          </w:p>
        </w:tc>
      </w:tr>
    </w:tbl>
    <w:p w:rsidR="00AE71E9" w:rsidRDefault="00FE1CE4">
      <w:pPr>
        <w:rPr>
          <w:rFonts w:ascii="Times New Roman" w:eastAsiaTheme="majorEastAsia" w:hAnsi="Times New Roman" w:cs="Times New Roman"/>
          <w:i/>
          <w:color w:val="000000" w:themeColor="text1"/>
          <w:szCs w:val="24"/>
        </w:rPr>
      </w:pPr>
      <w:r>
        <w:rPr>
          <w:rFonts w:ascii="Times New Roman" w:eastAsia="SimSun" w:hAnsi="Times New Roman" w:cs="Times New Roman"/>
          <w:i/>
          <w:color w:val="000000" w:themeColor="text1"/>
          <w:szCs w:val="24"/>
        </w:rPr>
        <w:t>附註：</w:t>
      </w:r>
    </w:p>
    <w:p w:rsidR="00AE71E9" w:rsidRDefault="00FE1CE4">
      <w:pPr>
        <w:pStyle w:val="ListParagraph1"/>
        <w:numPr>
          <w:ilvl w:val="0"/>
          <w:numId w:val="1"/>
        </w:numPr>
        <w:ind w:leftChars="0" w:left="270" w:hanging="270"/>
        <w:jc w:val="both"/>
        <w:rPr>
          <w:rFonts w:ascii="Times New Roman" w:eastAsiaTheme="majorEastAsia" w:hAnsi="Times New Roman" w:cs="Times New Roman"/>
          <w:color w:val="000000" w:themeColor="text1"/>
          <w:sz w:val="18"/>
          <w:szCs w:val="24"/>
        </w:rPr>
      </w:pPr>
      <w:r>
        <w:rPr>
          <w:rFonts w:ascii="Times New Roman" w:eastAsia="SimSun" w:hAnsi="Times New Roman" w:cs="Times New Roman"/>
          <w:color w:val="000000" w:themeColor="text1"/>
          <w:sz w:val="18"/>
          <w:szCs w:val="24"/>
        </w:rPr>
        <w:t>除張代銘先生的相關百分比湊整至最接近的</w:t>
      </w:r>
      <w:r>
        <w:rPr>
          <w:rFonts w:ascii="Times New Roman" w:eastAsia="SimSun" w:hAnsi="Times New Roman" w:cs="Times New Roman"/>
          <w:color w:val="000000" w:themeColor="text1"/>
          <w:sz w:val="18"/>
          <w:szCs w:val="24"/>
        </w:rPr>
        <w:t>3</w:t>
      </w:r>
      <w:r>
        <w:rPr>
          <w:rFonts w:ascii="Times New Roman" w:eastAsia="SimSun" w:hAnsi="Times New Roman" w:cs="Times New Roman"/>
          <w:color w:val="000000" w:themeColor="text1"/>
          <w:sz w:val="18"/>
          <w:szCs w:val="24"/>
        </w:rPr>
        <w:t>個小數位外，以上所示百分比均湊整至最接近的</w:t>
      </w:r>
      <w:r>
        <w:rPr>
          <w:rFonts w:ascii="Times New Roman" w:eastAsia="SimSun" w:hAnsi="Times New Roman" w:cs="Times New Roman"/>
          <w:color w:val="000000" w:themeColor="text1"/>
          <w:sz w:val="18"/>
          <w:szCs w:val="24"/>
        </w:rPr>
        <w:t>2</w:t>
      </w:r>
      <w:r>
        <w:rPr>
          <w:rFonts w:ascii="Times New Roman" w:eastAsia="SimSun" w:hAnsi="Times New Roman" w:cs="Times New Roman"/>
          <w:color w:val="000000" w:themeColor="text1"/>
          <w:sz w:val="18"/>
          <w:szCs w:val="24"/>
        </w:rPr>
        <w:t>個小數位。因湊整而數字毋須加總至</w:t>
      </w:r>
      <w:r>
        <w:rPr>
          <w:rFonts w:ascii="Times New Roman" w:eastAsia="SimSun" w:hAnsi="Times New Roman" w:cs="Times New Roman"/>
          <w:color w:val="000000" w:themeColor="text1"/>
          <w:sz w:val="18"/>
          <w:szCs w:val="24"/>
        </w:rPr>
        <w:t>100%</w:t>
      </w:r>
      <w:r>
        <w:rPr>
          <w:rFonts w:ascii="Times New Roman" w:eastAsia="SimSun" w:hAnsi="Times New Roman" w:cs="Times New Roman"/>
          <w:color w:val="000000" w:themeColor="text1"/>
          <w:sz w:val="18"/>
          <w:szCs w:val="24"/>
        </w:rPr>
        <w:t>。</w:t>
      </w:r>
    </w:p>
    <w:p w:rsidR="00AE71E9" w:rsidRDefault="00FE1CE4">
      <w:pPr>
        <w:ind w:left="270" w:hangingChars="150" w:hanging="270"/>
        <w:jc w:val="both"/>
        <w:rPr>
          <w:rFonts w:ascii="Times New Roman" w:eastAsiaTheme="majorEastAsia" w:hAnsi="Times New Roman" w:cs="Times New Roman"/>
          <w:color w:val="000000" w:themeColor="text1"/>
          <w:sz w:val="18"/>
          <w:szCs w:val="24"/>
        </w:rPr>
      </w:pPr>
      <w:r>
        <w:rPr>
          <w:rFonts w:ascii="Times New Roman" w:eastAsia="SimSun" w:hAnsi="Times New Roman" w:cs="Times New Roman"/>
          <w:color w:val="000000" w:themeColor="text1"/>
          <w:sz w:val="18"/>
          <w:szCs w:val="24"/>
        </w:rPr>
        <w:t xml:space="preserve">2. </w:t>
      </w:r>
      <w:r>
        <w:rPr>
          <w:rFonts w:ascii="Times New Roman" w:eastAsia="SimSun" w:hAnsi="Times New Roman" w:cs="Times New Roman"/>
          <w:color w:val="000000" w:themeColor="text1"/>
          <w:sz w:val="18"/>
          <w:szCs w:val="24"/>
        </w:rPr>
        <w:t>維斌有限公司，一家在香港註冊成立的公司，是華魯控股集團有限公司的間接全資附屬公司。華魯控股集團有限公司亦是本公司的實際控股公司及新華集團的唯一股東（本公司的直接控股股東）。</w:t>
      </w:r>
    </w:p>
    <w:p w:rsidR="00AE71E9" w:rsidRDefault="00AE71E9">
      <w:pPr>
        <w:jc w:val="both"/>
        <w:rPr>
          <w:rFonts w:ascii="Times New Roman" w:eastAsiaTheme="majorEastAsia" w:hAnsi="Times New Roman" w:cs="Times New Roman"/>
          <w:b/>
          <w:color w:val="000000" w:themeColor="text1"/>
          <w:szCs w:val="24"/>
        </w:rPr>
      </w:pPr>
    </w:p>
    <w:p w:rsidR="00AE71E9" w:rsidRDefault="00FE1CE4">
      <w:pPr>
        <w:jc w:val="both"/>
        <w:rPr>
          <w:rFonts w:ascii="Times New Roman" w:eastAsiaTheme="majorEastAsia" w:hAnsi="Times New Roman" w:cs="Times New Roman"/>
          <w:b/>
          <w:color w:val="000000" w:themeColor="text1"/>
          <w:szCs w:val="24"/>
        </w:rPr>
      </w:pPr>
      <w:r>
        <w:rPr>
          <w:rFonts w:ascii="Times New Roman" w:eastAsia="SimSun" w:hAnsi="Times New Roman" w:cs="Times New Roman"/>
          <w:color w:val="000000" w:themeColor="text1"/>
          <w:szCs w:val="24"/>
        </w:rPr>
        <w:t>本公司根據建議配售事項募集的最終所得款項總額約人民幣</w:t>
      </w:r>
      <w:r>
        <w:rPr>
          <w:rFonts w:ascii="Times New Roman" w:eastAsia="SimSun" w:hAnsi="Times New Roman" w:cs="Times New Roman" w:hint="eastAsia"/>
          <w:color w:val="000000" w:themeColor="text1"/>
          <w:szCs w:val="24"/>
        </w:rPr>
        <w:t>234.6</w:t>
      </w:r>
      <w:r>
        <w:rPr>
          <w:rFonts w:ascii="Times New Roman" w:eastAsia="SimSun" w:hAnsi="Times New Roman" w:cs="Times New Roman"/>
          <w:color w:val="000000" w:themeColor="text1"/>
          <w:szCs w:val="24"/>
        </w:rPr>
        <w:t>百萬元。扣除相關費用後</w:t>
      </w:r>
      <w:r>
        <w:rPr>
          <w:rFonts w:ascii="Times New Roman" w:eastAsia="SimSun" w:hAnsi="Times New Roman" w:cs="Times New Roman" w:hint="eastAsia"/>
          <w:color w:val="000000" w:themeColor="text1"/>
          <w:szCs w:val="24"/>
        </w:rPr>
        <w:t>，</w:t>
      </w:r>
      <w:r>
        <w:rPr>
          <w:rFonts w:ascii="Times New Roman" w:eastAsia="SimSun" w:hAnsi="Times New Roman" w:cs="Times New Roman"/>
          <w:color w:val="000000" w:themeColor="text1"/>
          <w:szCs w:val="24"/>
        </w:rPr>
        <w:t>本公司募集的最終所得款項總</w:t>
      </w:r>
      <w:r>
        <w:rPr>
          <w:rFonts w:ascii="Times New Roman" w:eastAsia="SimSun" w:hAnsi="Times New Roman" w:cs="Times New Roman" w:hint="eastAsia"/>
          <w:color w:val="000000" w:themeColor="text1"/>
          <w:szCs w:val="24"/>
        </w:rPr>
        <w:t>淨</w:t>
      </w:r>
      <w:r>
        <w:rPr>
          <w:rFonts w:ascii="Times New Roman" w:eastAsia="SimSun" w:hAnsi="Times New Roman" w:cs="Times New Roman"/>
          <w:color w:val="000000" w:themeColor="text1"/>
          <w:szCs w:val="24"/>
        </w:rPr>
        <w:t>額約為人民幣</w:t>
      </w:r>
      <w:r>
        <w:rPr>
          <w:rFonts w:ascii="Times New Roman" w:eastAsia="SimSun" w:hAnsi="Times New Roman" w:cs="Times New Roman" w:hint="eastAsia"/>
          <w:color w:val="000000" w:themeColor="text1"/>
          <w:szCs w:val="24"/>
        </w:rPr>
        <w:t>223.4</w:t>
      </w:r>
      <w:r>
        <w:rPr>
          <w:rFonts w:ascii="Times New Roman" w:eastAsia="SimSun" w:hAnsi="Times New Roman" w:cs="Times New Roman"/>
          <w:color w:val="000000" w:themeColor="text1"/>
          <w:szCs w:val="24"/>
        </w:rPr>
        <w:t>百萬元。</w:t>
      </w:r>
    </w:p>
    <w:p w:rsidR="00AE71E9" w:rsidRDefault="00AE71E9">
      <w:pPr>
        <w:rPr>
          <w:rFonts w:ascii="Times New Roman" w:eastAsiaTheme="majorEastAsia" w:hAnsi="Times New Roman" w:cs="Times New Roman"/>
          <w:b/>
          <w:color w:val="000000" w:themeColor="text1"/>
          <w:szCs w:val="24"/>
        </w:rPr>
      </w:pPr>
    </w:p>
    <w:p w:rsidR="00AE71E9" w:rsidRDefault="00FE1CE4">
      <w:pPr>
        <w:jc w:val="right"/>
        <w:rPr>
          <w:rFonts w:ascii="Times New Roman" w:eastAsiaTheme="majorEastAsia" w:hAnsi="Times New Roman" w:cs="Times New Roman"/>
          <w:color w:val="000000" w:themeColor="text1"/>
          <w:szCs w:val="24"/>
        </w:rPr>
      </w:pPr>
      <w:r>
        <w:rPr>
          <w:rFonts w:ascii="Times New Roman" w:eastAsia="SimSun" w:hAnsi="Times New Roman" w:cs="Times New Roman"/>
          <w:color w:val="000000" w:themeColor="text1"/>
          <w:szCs w:val="24"/>
        </w:rPr>
        <w:t>承董事會命</w:t>
      </w:r>
    </w:p>
    <w:p w:rsidR="00AE71E9" w:rsidRDefault="00FE1CE4">
      <w:pPr>
        <w:jc w:val="right"/>
        <w:rPr>
          <w:rFonts w:ascii="Times New Roman" w:eastAsiaTheme="majorEastAsia" w:hAnsi="Times New Roman" w:cs="Times New Roman"/>
          <w:b/>
          <w:color w:val="000000" w:themeColor="text1"/>
          <w:szCs w:val="24"/>
        </w:rPr>
      </w:pPr>
      <w:r>
        <w:rPr>
          <w:rFonts w:ascii="Times New Roman" w:eastAsia="SimSun" w:hAnsi="Times New Roman" w:cs="Times New Roman"/>
          <w:b/>
          <w:color w:val="000000" w:themeColor="text1"/>
          <w:szCs w:val="24"/>
        </w:rPr>
        <w:t>山東新華製藥股份有限公司</w:t>
      </w:r>
    </w:p>
    <w:p w:rsidR="00AE71E9" w:rsidRDefault="00FE1CE4">
      <w:pPr>
        <w:jc w:val="right"/>
        <w:rPr>
          <w:rFonts w:ascii="Times New Roman" w:eastAsiaTheme="majorEastAsia" w:hAnsi="Times New Roman" w:cs="Times New Roman"/>
          <w:i/>
          <w:color w:val="000000" w:themeColor="text1"/>
          <w:szCs w:val="24"/>
        </w:rPr>
      </w:pPr>
      <w:r>
        <w:rPr>
          <w:rFonts w:ascii="Times New Roman" w:eastAsia="SimSun" w:hAnsi="Times New Roman" w:cs="Times New Roman"/>
          <w:i/>
          <w:color w:val="000000" w:themeColor="text1"/>
          <w:szCs w:val="24"/>
        </w:rPr>
        <w:t>董事長</w:t>
      </w:r>
    </w:p>
    <w:p w:rsidR="00AE71E9" w:rsidRDefault="00FE1CE4">
      <w:pPr>
        <w:jc w:val="right"/>
        <w:rPr>
          <w:rFonts w:ascii="Times New Roman" w:eastAsiaTheme="majorEastAsia" w:hAnsi="Times New Roman" w:cs="Times New Roman"/>
          <w:b/>
          <w:color w:val="000000" w:themeColor="text1"/>
          <w:szCs w:val="24"/>
        </w:rPr>
      </w:pPr>
      <w:r>
        <w:rPr>
          <w:rFonts w:ascii="Times New Roman" w:eastAsia="SimSun" w:hAnsi="Times New Roman" w:cs="Times New Roman"/>
          <w:b/>
          <w:color w:val="000000" w:themeColor="text1"/>
          <w:szCs w:val="24"/>
        </w:rPr>
        <w:t>張代銘</w:t>
      </w:r>
    </w:p>
    <w:p w:rsidR="00AE71E9" w:rsidRDefault="00AE71E9">
      <w:pPr>
        <w:jc w:val="right"/>
        <w:rPr>
          <w:rFonts w:ascii="Times New Roman" w:eastAsiaTheme="majorEastAsia" w:hAnsi="Times New Roman" w:cs="Times New Roman"/>
          <w:b/>
          <w:color w:val="000000" w:themeColor="text1"/>
          <w:szCs w:val="24"/>
        </w:rPr>
      </w:pPr>
    </w:p>
    <w:p w:rsidR="00AE71E9" w:rsidRPr="00876ECF" w:rsidRDefault="00FE1CE4">
      <w:pPr>
        <w:rPr>
          <w:rFonts w:ascii="Times New Roman" w:eastAsia="宋体" w:hAnsi="Times New Roman" w:cs="Times New Roman" w:hint="eastAsia"/>
          <w:b/>
          <w:color w:val="000000" w:themeColor="text1"/>
          <w:szCs w:val="24"/>
        </w:rPr>
      </w:pPr>
      <w:r>
        <w:rPr>
          <w:rFonts w:ascii="Times New Roman" w:eastAsia="SimSun" w:hAnsi="Times New Roman" w:cs="Times New Roman" w:hint="eastAsia"/>
          <w:color w:val="000000" w:themeColor="text1"/>
          <w:szCs w:val="24"/>
        </w:rPr>
        <w:t>中華人民共和國</w:t>
      </w:r>
      <w:r>
        <w:rPr>
          <w:rFonts w:ascii="Times New Roman" w:eastAsia="SimSun" w:hAnsi="Times New Roman" w:cs="Times New Roman"/>
          <w:color w:val="000000" w:themeColor="text1"/>
          <w:szCs w:val="24"/>
        </w:rPr>
        <w:t>淄博</w:t>
      </w:r>
      <w:r w:rsidR="00876ECF" w:rsidRPr="00876ECF">
        <w:rPr>
          <w:rFonts w:ascii="Times New Roman" w:eastAsia="PMingLiU" w:hAnsi="Times New Roman" w:cs="Times New Roman" w:hint="eastAsia"/>
          <w:color w:val="000000" w:themeColor="text1"/>
          <w:szCs w:val="24"/>
        </w:rPr>
        <w:t>，二零一七年</w:t>
      </w:r>
      <w:r w:rsidR="00876ECF" w:rsidRPr="00876ECF">
        <w:rPr>
          <w:rFonts w:eastAsia="PMingLiU" w:hint="eastAsia"/>
          <w:szCs w:val="24"/>
        </w:rPr>
        <w:t>十月十一日</w:t>
      </w:r>
    </w:p>
    <w:p w:rsidR="00AE71E9" w:rsidRDefault="00AE71E9">
      <w:pPr>
        <w:jc w:val="right"/>
        <w:rPr>
          <w:rFonts w:ascii="Times New Roman" w:eastAsiaTheme="majorEastAsia" w:hAnsi="Times New Roman" w:cs="Times New Roman"/>
          <w:b/>
          <w:color w:val="000000" w:themeColor="text1"/>
          <w:szCs w:val="24"/>
        </w:rPr>
      </w:pPr>
    </w:p>
    <w:p w:rsidR="00AE71E9" w:rsidRDefault="00FE1CE4">
      <w:pPr>
        <w:rPr>
          <w:rFonts w:ascii="Times New Roman" w:eastAsiaTheme="majorEastAsia" w:hAnsi="Times New Roman" w:cs="Times New Roman"/>
          <w:color w:val="000000" w:themeColor="text1"/>
          <w:szCs w:val="24"/>
        </w:rPr>
      </w:pPr>
      <w:r>
        <w:rPr>
          <w:rFonts w:ascii="Times New Roman" w:eastAsia="SimSun" w:hAnsi="Times New Roman" w:cs="Times New Roman"/>
          <w:color w:val="000000" w:themeColor="text1"/>
          <w:szCs w:val="24"/>
        </w:rPr>
        <w:t>於本公告日期，董事會之成員如下：</w:t>
      </w:r>
    </w:p>
    <w:p w:rsidR="00AE71E9" w:rsidRDefault="00AE71E9">
      <w:pPr>
        <w:jc w:val="right"/>
        <w:rPr>
          <w:rFonts w:ascii="Times New Roman" w:eastAsiaTheme="majorEastAsia" w:hAnsi="Times New Roman" w:cs="Times New Roman"/>
          <w:b/>
          <w:color w:val="000000" w:themeColor="text1"/>
          <w:szCs w:val="24"/>
        </w:rPr>
      </w:pPr>
    </w:p>
    <w:tbl>
      <w:tblPr>
        <w:tblW w:w="8362" w:type="dxa"/>
        <w:tblLayout w:type="fixed"/>
        <w:tblCellMar>
          <w:left w:w="28" w:type="dxa"/>
          <w:right w:w="28" w:type="dxa"/>
        </w:tblCellMar>
        <w:tblLook w:val="04A0"/>
      </w:tblPr>
      <w:tblGrid>
        <w:gridCol w:w="4181"/>
        <w:gridCol w:w="4181"/>
      </w:tblGrid>
      <w:tr w:rsidR="00AE71E9">
        <w:tc>
          <w:tcPr>
            <w:tcW w:w="4181" w:type="dxa"/>
          </w:tcPr>
          <w:p w:rsidR="00AE71E9" w:rsidRDefault="00FE1CE4">
            <w:pPr>
              <w:snapToGrid w:val="0"/>
              <w:jc w:val="both"/>
              <w:rPr>
                <w:rFonts w:ascii="Times New Roman" w:eastAsiaTheme="majorEastAsia" w:hAnsi="Times New Roman" w:cs="Times New Roman"/>
                <w:color w:val="000000" w:themeColor="text1"/>
                <w:szCs w:val="24"/>
                <w:u w:val="single"/>
              </w:rPr>
            </w:pPr>
            <w:r>
              <w:rPr>
                <w:rFonts w:ascii="Times New Roman" w:eastAsia="SimSun" w:hAnsi="Times New Roman" w:cs="Times New Roman"/>
                <w:color w:val="000000" w:themeColor="text1"/>
                <w:szCs w:val="24"/>
                <w:u w:val="single"/>
              </w:rPr>
              <w:t>執行董事：</w:t>
            </w:r>
          </w:p>
          <w:p w:rsidR="00AE71E9" w:rsidRDefault="00FE1CE4">
            <w:pPr>
              <w:snapToGrid w:val="0"/>
              <w:jc w:val="both"/>
              <w:rPr>
                <w:rFonts w:ascii="Times New Roman" w:eastAsiaTheme="majorEastAsia" w:hAnsi="Times New Roman" w:cs="Times New Roman"/>
                <w:color w:val="000000" w:themeColor="text1"/>
                <w:szCs w:val="24"/>
              </w:rPr>
            </w:pPr>
            <w:r>
              <w:rPr>
                <w:rFonts w:ascii="Times New Roman" w:eastAsia="SimSun" w:hAnsi="Times New Roman" w:cs="Times New Roman"/>
                <w:color w:val="000000" w:themeColor="text1"/>
                <w:szCs w:val="24"/>
              </w:rPr>
              <w:t>張代銘先生（董事長）</w:t>
            </w:r>
          </w:p>
          <w:p w:rsidR="00AE71E9" w:rsidRDefault="00FE1CE4">
            <w:pPr>
              <w:snapToGrid w:val="0"/>
              <w:jc w:val="both"/>
              <w:rPr>
                <w:rFonts w:ascii="Times New Roman" w:eastAsiaTheme="majorEastAsia" w:hAnsi="Times New Roman" w:cs="Times New Roman"/>
                <w:color w:val="000000" w:themeColor="text1"/>
                <w:szCs w:val="24"/>
              </w:rPr>
            </w:pPr>
            <w:r>
              <w:rPr>
                <w:rFonts w:ascii="Times New Roman" w:eastAsia="SimSun" w:hAnsi="Times New Roman" w:cs="Times New Roman"/>
                <w:color w:val="000000" w:themeColor="text1"/>
                <w:szCs w:val="24"/>
              </w:rPr>
              <w:t>杜德平先生</w:t>
            </w:r>
          </w:p>
        </w:tc>
        <w:tc>
          <w:tcPr>
            <w:tcW w:w="4181" w:type="dxa"/>
          </w:tcPr>
          <w:p w:rsidR="00AE71E9" w:rsidRDefault="00FE1CE4">
            <w:pPr>
              <w:snapToGrid w:val="0"/>
              <w:jc w:val="both"/>
              <w:rPr>
                <w:rFonts w:ascii="Times New Roman" w:eastAsiaTheme="majorEastAsia" w:hAnsi="Times New Roman" w:cs="Times New Roman"/>
                <w:color w:val="000000" w:themeColor="text1"/>
                <w:szCs w:val="24"/>
                <w:u w:val="single"/>
              </w:rPr>
            </w:pPr>
            <w:r>
              <w:rPr>
                <w:rFonts w:ascii="Times New Roman" w:eastAsia="SimSun" w:hAnsi="Times New Roman" w:cs="Times New Roman"/>
                <w:color w:val="000000" w:themeColor="text1"/>
                <w:szCs w:val="24"/>
                <w:u w:val="single"/>
              </w:rPr>
              <w:t>獨立非執行董事：</w:t>
            </w:r>
          </w:p>
          <w:p w:rsidR="00AE71E9" w:rsidRDefault="00FE1CE4">
            <w:pPr>
              <w:snapToGrid w:val="0"/>
              <w:jc w:val="both"/>
              <w:rPr>
                <w:rFonts w:ascii="Times New Roman" w:eastAsiaTheme="majorEastAsia" w:hAnsi="Times New Roman" w:cs="Times New Roman"/>
                <w:color w:val="000000" w:themeColor="text1"/>
                <w:szCs w:val="24"/>
              </w:rPr>
            </w:pPr>
            <w:r>
              <w:rPr>
                <w:rFonts w:ascii="Times New Roman" w:eastAsia="SimSun" w:hAnsi="Times New Roman" w:cs="Times New Roman"/>
                <w:color w:val="000000" w:themeColor="text1"/>
                <w:szCs w:val="24"/>
              </w:rPr>
              <w:t>李文明先生</w:t>
            </w:r>
          </w:p>
          <w:p w:rsidR="00AE71E9" w:rsidRDefault="00FE1CE4">
            <w:pPr>
              <w:snapToGrid w:val="0"/>
              <w:jc w:val="both"/>
              <w:rPr>
                <w:rFonts w:ascii="Times New Roman" w:eastAsiaTheme="majorEastAsia" w:hAnsi="Times New Roman" w:cs="Times New Roman"/>
                <w:color w:val="000000" w:themeColor="text1"/>
                <w:szCs w:val="24"/>
              </w:rPr>
            </w:pPr>
            <w:r>
              <w:rPr>
                <w:rFonts w:ascii="Times New Roman" w:eastAsia="SimSun" w:hAnsi="Times New Roman" w:cs="Times New Roman"/>
                <w:color w:val="000000" w:themeColor="text1"/>
                <w:szCs w:val="24"/>
              </w:rPr>
              <w:t>杜冠華先生</w:t>
            </w:r>
          </w:p>
          <w:p w:rsidR="00AE71E9" w:rsidRDefault="00FE1CE4">
            <w:pPr>
              <w:snapToGrid w:val="0"/>
              <w:jc w:val="both"/>
              <w:rPr>
                <w:rFonts w:ascii="Times New Roman" w:eastAsiaTheme="majorEastAsia" w:hAnsi="Times New Roman" w:cs="Times New Roman"/>
                <w:color w:val="000000" w:themeColor="text1"/>
                <w:szCs w:val="24"/>
              </w:rPr>
            </w:pPr>
            <w:r>
              <w:rPr>
                <w:rFonts w:ascii="Times New Roman" w:eastAsia="SimSun" w:hAnsi="Times New Roman" w:cs="Times New Roman"/>
                <w:color w:val="000000" w:themeColor="text1"/>
                <w:szCs w:val="24"/>
              </w:rPr>
              <w:t>陳仲戟先生</w:t>
            </w:r>
          </w:p>
          <w:p w:rsidR="00AE71E9" w:rsidRDefault="00AE71E9">
            <w:pPr>
              <w:snapToGrid w:val="0"/>
              <w:jc w:val="both"/>
              <w:rPr>
                <w:rFonts w:ascii="Times New Roman" w:eastAsiaTheme="majorEastAsia" w:hAnsi="Times New Roman" w:cs="Times New Roman"/>
                <w:color w:val="000000" w:themeColor="text1"/>
                <w:szCs w:val="24"/>
              </w:rPr>
            </w:pPr>
          </w:p>
        </w:tc>
      </w:tr>
      <w:tr w:rsidR="00AE71E9">
        <w:tc>
          <w:tcPr>
            <w:tcW w:w="4181" w:type="dxa"/>
          </w:tcPr>
          <w:p w:rsidR="00AE71E9" w:rsidRDefault="00FE1CE4">
            <w:pPr>
              <w:snapToGrid w:val="0"/>
              <w:jc w:val="both"/>
              <w:rPr>
                <w:rFonts w:ascii="Times New Roman" w:eastAsiaTheme="majorEastAsia" w:hAnsi="Times New Roman" w:cs="Times New Roman"/>
                <w:color w:val="000000" w:themeColor="text1"/>
                <w:szCs w:val="24"/>
                <w:u w:val="single"/>
              </w:rPr>
            </w:pPr>
            <w:r>
              <w:rPr>
                <w:rFonts w:ascii="Times New Roman" w:eastAsia="SimSun" w:hAnsi="Times New Roman" w:cs="Times New Roman"/>
                <w:color w:val="000000" w:themeColor="text1"/>
                <w:szCs w:val="24"/>
                <w:u w:val="single"/>
              </w:rPr>
              <w:t>非執行董事：</w:t>
            </w:r>
          </w:p>
          <w:p w:rsidR="00AE71E9" w:rsidRDefault="00FE1CE4">
            <w:pPr>
              <w:snapToGrid w:val="0"/>
              <w:jc w:val="both"/>
              <w:rPr>
                <w:rFonts w:ascii="Times New Roman" w:eastAsiaTheme="majorEastAsia" w:hAnsi="Times New Roman" w:cs="Times New Roman"/>
                <w:color w:val="000000" w:themeColor="text1"/>
                <w:szCs w:val="24"/>
              </w:rPr>
            </w:pPr>
            <w:r>
              <w:rPr>
                <w:rFonts w:ascii="Times New Roman" w:eastAsia="SimSun" w:hAnsi="Times New Roman" w:cs="Times New Roman"/>
                <w:color w:val="000000" w:themeColor="text1"/>
                <w:szCs w:val="24"/>
              </w:rPr>
              <w:t>任福龍先生</w:t>
            </w:r>
          </w:p>
          <w:p w:rsidR="00AE71E9" w:rsidRDefault="00FE1CE4">
            <w:pPr>
              <w:snapToGrid w:val="0"/>
              <w:jc w:val="both"/>
              <w:rPr>
                <w:rFonts w:ascii="Times New Roman" w:eastAsiaTheme="majorEastAsia" w:hAnsi="Times New Roman" w:cs="Times New Roman"/>
                <w:color w:val="000000" w:themeColor="text1"/>
                <w:szCs w:val="24"/>
                <w:lang w:eastAsia="zh-CN"/>
              </w:rPr>
            </w:pPr>
            <w:r>
              <w:rPr>
                <w:rFonts w:ascii="Times New Roman" w:eastAsia="SimSun" w:hAnsi="Times New Roman" w:cs="Times New Roman"/>
                <w:color w:val="000000" w:themeColor="text1"/>
                <w:szCs w:val="24"/>
                <w:lang w:eastAsia="zh-CN"/>
              </w:rPr>
              <w:t>徐列先生</w:t>
            </w:r>
          </w:p>
          <w:p w:rsidR="00AE71E9" w:rsidRDefault="00FE1CE4">
            <w:pPr>
              <w:snapToGrid w:val="0"/>
              <w:jc w:val="both"/>
              <w:rPr>
                <w:rFonts w:ascii="Times New Roman" w:eastAsiaTheme="majorEastAsia" w:hAnsi="Times New Roman" w:cs="Times New Roman"/>
                <w:color w:val="000000" w:themeColor="text1"/>
                <w:szCs w:val="24"/>
                <w:lang w:eastAsia="zh-CN"/>
              </w:rPr>
            </w:pPr>
            <w:r>
              <w:rPr>
                <w:rFonts w:ascii="Times New Roman" w:eastAsia="SimSun" w:hAnsi="Times New Roman" w:cs="Times New Roman"/>
                <w:color w:val="000000" w:themeColor="text1"/>
                <w:szCs w:val="24"/>
                <w:lang w:eastAsia="zh-CN"/>
              </w:rPr>
              <w:t>趙斌先生</w:t>
            </w:r>
          </w:p>
        </w:tc>
        <w:tc>
          <w:tcPr>
            <w:tcW w:w="4181" w:type="dxa"/>
          </w:tcPr>
          <w:p w:rsidR="00AE71E9" w:rsidRDefault="00AE71E9">
            <w:pPr>
              <w:snapToGrid w:val="0"/>
              <w:jc w:val="both"/>
              <w:rPr>
                <w:rFonts w:ascii="Times New Roman" w:eastAsiaTheme="majorEastAsia" w:hAnsi="Times New Roman" w:cs="Times New Roman"/>
                <w:color w:val="000000" w:themeColor="text1"/>
                <w:szCs w:val="24"/>
                <w:lang w:eastAsia="zh-CN"/>
              </w:rPr>
            </w:pPr>
          </w:p>
        </w:tc>
      </w:tr>
    </w:tbl>
    <w:p w:rsidR="00AE71E9" w:rsidRDefault="00AE71E9">
      <w:pPr>
        <w:jc w:val="right"/>
        <w:rPr>
          <w:rFonts w:ascii="Times New Roman" w:eastAsiaTheme="majorEastAsia" w:hAnsi="Times New Roman" w:cs="Times New Roman"/>
          <w:b/>
          <w:color w:val="000000" w:themeColor="text1"/>
          <w:szCs w:val="24"/>
          <w:lang w:eastAsia="zh-CN"/>
        </w:rPr>
      </w:pPr>
    </w:p>
    <w:p w:rsidR="00AE71E9" w:rsidRDefault="00FE1CE4">
      <w:pPr>
        <w:rPr>
          <w:rFonts w:ascii="Times New Roman" w:eastAsiaTheme="majorEastAsia" w:hAnsi="Times New Roman" w:cs="Times New Roman"/>
          <w:i/>
          <w:color w:val="000000" w:themeColor="text1"/>
          <w:szCs w:val="24"/>
        </w:rPr>
      </w:pPr>
      <w:r>
        <w:rPr>
          <w:rFonts w:ascii="Times New Roman" w:eastAsia="SimSun" w:hAnsi="Times New Roman" w:cs="Times New Roman"/>
          <w:i/>
          <w:color w:val="000000" w:themeColor="text1"/>
          <w:szCs w:val="24"/>
        </w:rPr>
        <w:t>董事共同及個別對本公</w:t>
      </w:r>
      <w:r>
        <w:rPr>
          <w:rFonts w:ascii="Times New Roman" w:eastAsia="SimSun" w:hAnsi="Times New Roman" w:cs="Times New Roman" w:hint="eastAsia"/>
          <w:i/>
          <w:color w:val="000000" w:themeColor="text1"/>
          <w:szCs w:val="24"/>
        </w:rPr>
        <w:t>告</w:t>
      </w:r>
      <w:r>
        <w:rPr>
          <w:rFonts w:ascii="Times New Roman" w:eastAsia="SimSun" w:hAnsi="Times New Roman" w:cs="Times New Roman"/>
          <w:i/>
          <w:color w:val="000000" w:themeColor="text1"/>
          <w:szCs w:val="24"/>
        </w:rPr>
        <w:t>所載資料之準確性承擔全部責任，並經作出一切合理查詢後確認，就彼等所深知，本公</w:t>
      </w:r>
      <w:r>
        <w:rPr>
          <w:rFonts w:ascii="Times New Roman" w:eastAsia="SimSun" w:hAnsi="Times New Roman" w:cs="Times New Roman" w:hint="eastAsia"/>
          <w:i/>
          <w:color w:val="000000" w:themeColor="text1"/>
          <w:szCs w:val="24"/>
        </w:rPr>
        <w:t>告</w:t>
      </w:r>
      <w:r>
        <w:rPr>
          <w:rFonts w:ascii="Times New Roman" w:eastAsia="SimSun" w:hAnsi="Times New Roman" w:cs="Times New Roman"/>
          <w:i/>
          <w:color w:val="000000" w:themeColor="text1"/>
          <w:szCs w:val="24"/>
        </w:rPr>
        <w:t>所表達之意見乃經審慎周詳考慮後始行作出，且本公</w:t>
      </w:r>
      <w:r>
        <w:rPr>
          <w:rFonts w:ascii="Times New Roman" w:eastAsia="SimSun" w:hAnsi="Times New Roman" w:cs="Times New Roman" w:hint="eastAsia"/>
          <w:i/>
          <w:color w:val="000000" w:themeColor="text1"/>
          <w:szCs w:val="24"/>
        </w:rPr>
        <w:t>告</w:t>
      </w:r>
      <w:r>
        <w:rPr>
          <w:rFonts w:ascii="Times New Roman" w:eastAsia="SimSun" w:hAnsi="Times New Roman" w:cs="Times New Roman"/>
          <w:i/>
          <w:color w:val="000000" w:themeColor="text1"/>
          <w:szCs w:val="24"/>
        </w:rPr>
        <w:t>並無遺漏任何其他事實，令本公</w:t>
      </w:r>
      <w:r>
        <w:rPr>
          <w:rFonts w:ascii="Times New Roman" w:eastAsia="SimSun" w:hAnsi="Times New Roman" w:cs="Times New Roman" w:hint="eastAsia"/>
          <w:i/>
          <w:color w:val="000000" w:themeColor="text1"/>
          <w:szCs w:val="24"/>
        </w:rPr>
        <w:t>告</w:t>
      </w:r>
      <w:r>
        <w:rPr>
          <w:rFonts w:ascii="Times New Roman" w:eastAsia="SimSun" w:hAnsi="Times New Roman" w:cs="Times New Roman"/>
          <w:i/>
          <w:color w:val="000000" w:themeColor="text1"/>
          <w:szCs w:val="24"/>
        </w:rPr>
        <w:t>內之任何陳述產生誤導。</w:t>
      </w:r>
    </w:p>
    <w:sectPr w:rsidR="00AE71E9" w:rsidSect="00B75DD1">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7DC" w:rsidRDefault="009577DC">
      <w:pPr>
        <w:spacing w:after="0" w:line="240" w:lineRule="auto"/>
      </w:pPr>
      <w:r>
        <w:separator/>
      </w:r>
    </w:p>
  </w:endnote>
  <w:endnote w:type="continuationSeparator" w:id="0">
    <w:p w:rsidR="009577DC" w:rsidRDefault="00957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LT Std">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1E9" w:rsidRDefault="00AE71E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977508"/>
    </w:sdtPr>
    <w:sdtContent>
      <w:p w:rsidR="00AE71E9" w:rsidRDefault="00B75DD1">
        <w:pPr>
          <w:pStyle w:val="a7"/>
          <w:jc w:val="center"/>
        </w:pPr>
        <w:r>
          <w:fldChar w:fldCharType="begin"/>
        </w:r>
        <w:r w:rsidR="00FE1CE4">
          <w:instrText xml:space="preserve"> PAGE   \* MERGEFORMAT </w:instrText>
        </w:r>
        <w:r>
          <w:fldChar w:fldCharType="separate"/>
        </w:r>
        <w:r w:rsidR="009577DC">
          <w:rPr>
            <w:noProof/>
          </w:rPr>
          <w:t>1</w:t>
        </w:r>
        <w:r>
          <w:fldChar w:fldCharType="end"/>
        </w:r>
      </w:p>
    </w:sdtContent>
  </w:sdt>
  <w:p w:rsidR="00AE71E9" w:rsidRDefault="00AE71E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1E9" w:rsidRDefault="00AE71E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7DC" w:rsidRDefault="009577DC">
      <w:pPr>
        <w:spacing w:after="0" w:line="240" w:lineRule="auto"/>
      </w:pPr>
      <w:r>
        <w:separator/>
      </w:r>
    </w:p>
  </w:footnote>
  <w:footnote w:type="continuationSeparator" w:id="0">
    <w:p w:rsidR="009577DC" w:rsidRDefault="009577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1E9" w:rsidRDefault="00AE71E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1E9" w:rsidRDefault="00AE71E9">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1E9" w:rsidRDefault="00AE71E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D0B88"/>
    <w:multiLevelType w:val="multilevel"/>
    <w:tmpl w:val="2B2D0B88"/>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Formatting/>
  <w:defaultTabStop w:val="48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0344"/>
    <w:rsid w:val="00021069"/>
    <w:rsid w:val="00043C2F"/>
    <w:rsid w:val="00045A3D"/>
    <w:rsid w:val="00047516"/>
    <w:rsid w:val="00051EE6"/>
    <w:rsid w:val="00132CBF"/>
    <w:rsid w:val="00135C55"/>
    <w:rsid w:val="00146636"/>
    <w:rsid w:val="001A74A0"/>
    <w:rsid w:val="00217BB5"/>
    <w:rsid w:val="00234ED5"/>
    <w:rsid w:val="00264CB7"/>
    <w:rsid w:val="002839A8"/>
    <w:rsid w:val="002B7668"/>
    <w:rsid w:val="002C799C"/>
    <w:rsid w:val="002D5C31"/>
    <w:rsid w:val="003051F2"/>
    <w:rsid w:val="0033468A"/>
    <w:rsid w:val="00345FC6"/>
    <w:rsid w:val="003B77B3"/>
    <w:rsid w:val="004262EC"/>
    <w:rsid w:val="00477F41"/>
    <w:rsid w:val="00510FB8"/>
    <w:rsid w:val="00560730"/>
    <w:rsid w:val="00571732"/>
    <w:rsid w:val="005D0261"/>
    <w:rsid w:val="0068244E"/>
    <w:rsid w:val="0069016A"/>
    <w:rsid w:val="006B2F7C"/>
    <w:rsid w:val="006E18DC"/>
    <w:rsid w:val="006E339C"/>
    <w:rsid w:val="00727C7B"/>
    <w:rsid w:val="00750344"/>
    <w:rsid w:val="00777425"/>
    <w:rsid w:val="007E5CAF"/>
    <w:rsid w:val="00837543"/>
    <w:rsid w:val="00846D7B"/>
    <w:rsid w:val="008613A6"/>
    <w:rsid w:val="00863105"/>
    <w:rsid w:val="00876ECF"/>
    <w:rsid w:val="008B4D09"/>
    <w:rsid w:val="0091064D"/>
    <w:rsid w:val="00942395"/>
    <w:rsid w:val="009577DC"/>
    <w:rsid w:val="009C1193"/>
    <w:rsid w:val="009E12B8"/>
    <w:rsid w:val="009F0AB9"/>
    <w:rsid w:val="00A0351B"/>
    <w:rsid w:val="00A16D76"/>
    <w:rsid w:val="00A475F2"/>
    <w:rsid w:val="00AB2C8A"/>
    <w:rsid w:val="00AE71E9"/>
    <w:rsid w:val="00B00A5F"/>
    <w:rsid w:val="00B018F7"/>
    <w:rsid w:val="00B17E3A"/>
    <w:rsid w:val="00B2669E"/>
    <w:rsid w:val="00B73BCB"/>
    <w:rsid w:val="00B75DD1"/>
    <w:rsid w:val="00BB4232"/>
    <w:rsid w:val="00BB5F6F"/>
    <w:rsid w:val="00BC6E86"/>
    <w:rsid w:val="00BC764A"/>
    <w:rsid w:val="00BE4864"/>
    <w:rsid w:val="00C11C23"/>
    <w:rsid w:val="00C33534"/>
    <w:rsid w:val="00C632AE"/>
    <w:rsid w:val="00C66B6E"/>
    <w:rsid w:val="00C81055"/>
    <w:rsid w:val="00C867BF"/>
    <w:rsid w:val="00CB587D"/>
    <w:rsid w:val="00D23303"/>
    <w:rsid w:val="00D248C2"/>
    <w:rsid w:val="00D46FF2"/>
    <w:rsid w:val="00D560C7"/>
    <w:rsid w:val="00DB07EA"/>
    <w:rsid w:val="00DB750E"/>
    <w:rsid w:val="00DC00E3"/>
    <w:rsid w:val="00DD2DEE"/>
    <w:rsid w:val="00E3044A"/>
    <w:rsid w:val="00E41912"/>
    <w:rsid w:val="00E43327"/>
    <w:rsid w:val="00E72DE9"/>
    <w:rsid w:val="00F35C88"/>
    <w:rsid w:val="00F621B2"/>
    <w:rsid w:val="00F74EEF"/>
    <w:rsid w:val="00FB1BE3"/>
    <w:rsid w:val="00FE1CE4"/>
    <w:rsid w:val="30763E7B"/>
    <w:rsid w:val="3B710EA3"/>
    <w:rsid w:val="46B07B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semiHidden="0"/>
    <w:lsdException w:name="Balloon Text" w:semiHidden="0"/>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DD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B75DD1"/>
    <w:rPr>
      <w:b/>
      <w:bCs/>
    </w:rPr>
  </w:style>
  <w:style w:type="paragraph" w:styleId="a4">
    <w:name w:val="annotation text"/>
    <w:basedOn w:val="a"/>
    <w:link w:val="Char0"/>
    <w:uiPriority w:val="99"/>
    <w:unhideWhenUsed/>
    <w:rsid w:val="00B75DD1"/>
  </w:style>
  <w:style w:type="paragraph" w:styleId="a5">
    <w:name w:val="Body Text"/>
    <w:basedOn w:val="a"/>
    <w:link w:val="Char1"/>
    <w:uiPriority w:val="1"/>
    <w:qFormat/>
    <w:rsid w:val="00B75DD1"/>
    <w:pPr>
      <w:widowControl/>
      <w:autoSpaceDE w:val="0"/>
      <w:autoSpaceDN w:val="0"/>
      <w:adjustRightInd w:val="0"/>
      <w:spacing w:before="40" w:after="0" w:line="240" w:lineRule="auto"/>
      <w:ind w:left="39"/>
    </w:pPr>
    <w:rPr>
      <w:rFonts w:ascii="Times LT Std" w:hAnsi="Times LT Std" w:cs="Times LT Std"/>
      <w:kern w:val="0"/>
      <w:sz w:val="20"/>
      <w:szCs w:val="20"/>
      <w:lang w:eastAsia="zh-CN"/>
    </w:rPr>
  </w:style>
  <w:style w:type="paragraph" w:styleId="a6">
    <w:name w:val="Balloon Text"/>
    <w:basedOn w:val="a"/>
    <w:link w:val="Char2"/>
    <w:uiPriority w:val="99"/>
    <w:unhideWhenUsed/>
    <w:rsid w:val="00B75DD1"/>
    <w:rPr>
      <w:rFonts w:asciiTheme="majorHAnsi" w:eastAsiaTheme="majorEastAsia" w:hAnsiTheme="majorHAnsi" w:cstheme="majorBidi"/>
      <w:sz w:val="18"/>
      <w:szCs w:val="18"/>
    </w:rPr>
  </w:style>
  <w:style w:type="paragraph" w:styleId="a7">
    <w:name w:val="footer"/>
    <w:basedOn w:val="a"/>
    <w:link w:val="Char3"/>
    <w:uiPriority w:val="99"/>
    <w:unhideWhenUsed/>
    <w:rsid w:val="00B75DD1"/>
    <w:pPr>
      <w:tabs>
        <w:tab w:val="center" w:pos="4153"/>
        <w:tab w:val="right" w:pos="8306"/>
      </w:tabs>
      <w:snapToGrid w:val="0"/>
    </w:pPr>
    <w:rPr>
      <w:sz w:val="20"/>
      <w:szCs w:val="20"/>
    </w:rPr>
  </w:style>
  <w:style w:type="paragraph" w:styleId="a8">
    <w:name w:val="header"/>
    <w:basedOn w:val="a"/>
    <w:link w:val="Char4"/>
    <w:uiPriority w:val="99"/>
    <w:unhideWhenUsed/>
    <w:rsid w:val="00B75DD1"/>
    <w:pPr>
      <w:tabs>
        <w:tab w:val="center" w:pos="4153"/>
        <w:tab w:val="right" w:pos="8306"/>
      </w:tabs>
      <w:snapToGrid w:val="0"/>
    </w:pPr>
    <w:rPr>
      <w:sz w:val="20"/>
      <w:szCs w:val="20"/>
    </w:rPr>
  </w:style>
  <w:style w:type="character" w:styleId="a9">
    <w:name w:val="annotation reference"/>
    <w:basedOn w:val="a0"/>
    <w:uiPriority w:val="99"/>
    <w:unhideWhenUsed/>
    <w:qFormat/>
    <w:rsid w:val="00B75DD1"/>
    <w:rPr>
      <w:sz w:val="18"/>
      <w:szCs w:val="18"/>
    </w:rPr>
  </w:style>
  <w:style w:type="table" w:styleId="aa">
    <w:name w:val="Table Grid"/>
    <w:basedOn w:val="a1"/>
    <w:uiPriority w:val="39"/>
    <w:qFormat/>
    <w:rsid w:val="00B75DD1"/>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批注框文本 Char"/>
    <w:basedOn w:val="a0"/>
    <w:link w:val="a6"/>
    <w:uiPriority w:val="99"/>
    <w:semiHidden/>
    <w:qFormat/>
    <w:rsid w:val="00B75DD1"/>
    <w:rPr>
      <w:rFonts w:asciiTheme="majorHAnsi" w:eastAsiaTheme="majorEastAsia" w:hAnsiTheme="majorHAnsi" w:cstheme="majorBidi"/>
      <w:sz w:val="18"/>
      <w:szCs w:val="18"/>
    </w:rPr>
  </w:style>
  <w:style w:type="character" w:customStyle="1" w:styleId="Char4">
    <w:name w:val="页眉 Char"/>
    <w:basedOn w:val="a0"/>
    <w:link w:val="a8"/>
    <w:uiPriority w:val="99"/>
    <w:rsid w:val="00B75DD1"/>
    <w:rPr>
      <w:sz w:val="20"/>
      <w:szCs w:val="20"/>
    </w:rPr>
  </w:style>
  <w:style w:type="character" w:customStyle="1" w:styleId="Char3">
    <w:name w:val="页脚 Char"/>
    <w:basedOn w:val="a0"/>
    <w:link w:val="a7"/>
    <w:uiPriority w:val="99"/>
    <w:rsid w:val="00B75DD1"/>
    <w:rPr>
      <w:sz w:val="20"/>
      <w:szCs w:val="20"/>
    </w:rPr>
  </w:style>
  <w:style w:type="paragraph" w:customStyle="1" w:styleId="ListParagraph1">
    <w:name w:val="List Paragraph1"/>
    <w:basedOn w:val="a"/>
    <w:uiPriority w:val="34"/>
    <w:qFormat/>
    <w:rsid w:val="00B75DD1"/>
    <w:pPr>
      <w:ind w:leftChars="200" w:left="480"/>
    </w:pPr>
  </w:style>
  <w:style w:type="character" w:customStyle="1" w:styleId="Char0">
    <w:name w:val="批注文字 Char"/>
    <w:basedOn w:val="a0"/>
    <w:link w:val="a4"/>
    <w:uiPriority w:val="99"/>
    <w:semiHidden/>
    <w:rsid w:val="00B75DD1"/>
  </w:style>
  <w:style w:type="character" w:customStyle="1" w:styleId="Char">
    <w:name w:val="批注主题 Char"/>
    <w:basedOn w:val="Char0"/>
    <w:link w:val="a3"/>
    <w:uiPriority w:val="99"/>
    <w:semiHidden/>
    <w:qFormat/>
    <w:rsid w:val="00B75DD1"/>
    <w:rPr>
      <w:b/>
      <w:bCs/>
    </w:rPr>
  </w:style>
  <w:style w:type="character" w:customStyle="1" w:styleId="Char1">
    <w:name w:val="正文文本 Char"/>
    <w:basedOn w:val="a0"/>
    <w:link w:val="a5"/>
    <w:uiPriority w:val="1"/>
    <w:rsid w:val="00B75DD1"/>
    <w:rPr>
      <w:rFonts w:ascii="Times LT Std" w:hAnsi="Times LT Std" w:cs="Times LT Std"/>
    </w:rPr>
  </w:style>
  <w:style w:type="paragraph" w:customStyle="1" w:styleId="TableParagraph">
    <w:name w:val="Table Paragraph"/>
    <w:basedOn w:val="a"/>
    <w:uiPriority w:val="1"/>
    <w:qFormat/>
    <w:rsid w:val="00B75DD1"/>
    <w:pPr>
      <w:widowControl/>
      <w:autoSpaceDE w:val="0"/>
      <w:autoSpaceDN w:val="0"/>
      <w:adjustRightInd w:val="0"/>
      <w:spacing w:after="0" w:line="240" w:lineRule="auto"/>
    </w:pPr>
    <w:rPr>
      <w:rFonts w:ascii="Times New Roman" w:hAnsi="Times New Roman" w:cs="Times New Roman"/>
      <w:kern w:val="0"/>
      <w:szCs w:val="24"/>
      <w:lang w:eastAsia="zh-CN"/>
    </w:rPr>
  </w:style>
  <w:style w:type="paragraph" w:customStyle="1" w:styleId="Subhead1">
    <w:name w:val="Subhead 1"/>
    <w:basedOn w:val="a"/>
    <w:rsid w:val="00B75DD1"/>
    <w:pPr>
      <w:tabs>
        <w:tab w:val="left" w:pos="340"/>
        <w:tab w:val="left" w:pos="680"/>
        <w:tab w:val="left" w:pos="1020"/>
        <w:tab w:val="left" w:pos="1361"/>
      </w:tabs>
      <w:autoSpaceDE w:val="0"/>
      <w:autoSpaceDN w:val="0"/>
      <w:adjustRightInd w:val="0"/>
      <w:spacing w:after="0" w:line="240" w:lineRule="atLeast"/>
      <w:ind w:left="340" w:hanging="340"/>
    </w:pPr>
    <w:rPr>
      <w:rFonts w:ascii="Times" w:eastAsia="Times New Roman" w:hAnsi="Times" w:cs="Times New Roman"/>
      <w:b/>
      <w:bCs/>
      <w:caps/>
      <w:kern w:val="0"/>
      <w:sz w:val="18"/>
      <w:szCs w:val="18"/>
    </w:rPr>
  </w:style>
  <w:style w:type="paragraph" w:styleId="ab">
    <w:name w:val="Revision"/>
    <w:hidden/>
    <w:uiPriority w:val="99"/>
    <w:unhideWhenUsed/>
    <w:rsid w:val="00234ED5"/>
    <w:pPr>
      <w:spacing w:after="0" w:line="240" w:lineRule="auto"/>
    </w:pPr>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semiHidden="0"/>
    <w:lsdException w:name="Balloon Text" w:semiHidden="0"/>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rPr>
      <w:b/>
      <w:bCs/>
    </w:rPr>
  </w:style>
  <w:style w:type="paragraph" w:styleId="CommentText">
    <w:name w:val="annotation text"/>
    <w:basedOn w:val="Normal"/>
    <w:link w:val="CommentTextChar"/>
    <w:uiPriority w:val="99"/>
    <w:unhideWhenUsed/>
  </w:style>
  <w:style w:type="paragraph" w:styleId="BodyText">
    <w:name w:val="Body Text"/>
    <w:basedOn w:val="Normal"/>
    <w:link w:val="BodyTextChar"/>
    <w:uiPriority w:val="1"/>
    <w:qFormat/>
    <w:pPr>
      <w:widowControl/>
      <w:autoSpaceDE w:val="0"/>
      <w:autoSpaceDN w:val="0"/>
      <w:adjustRightInd w:val="0"/>
      <w:spacing w:before="40" w:after="0" w:line="240" w:lineRule="auto"/>
      <w:ind w:left="39"/>
    </w:pPr>
    <w:rPr>
      <w:rFonts w:ascii="Times LT Std" w:hAnsi="Times LT Std" w:cs="Times LT Std"/>
      <w:kern w:val="0"/>
      <w:sz w:val="20"/>
      <w:szCs w:val="20"/>
      <w:lang w:eastAsia="zh-CN"/>
    </w:rPr>
  </w:style>
  <w:style w:type="paragraph" w:styleId="BalloonText">
    <w:name w:val="Balloon Text"/>
    <w:basedOn w:val="Normal"/>
    <w:link w:val="BalloonTextChar"/>
    <w:uiPriority w:val="99"/>
    <w:unhideWhenUsed/>
    <w:rPr>
      <w:rFonts w:asciiTheme="majorHAnsi" w:eastAsiaTheme="majorEastAsia" w:hAnsiTheme="majorHAnsi" w:cstheme="majorBidi"/>
      <w:sz w:val="18"/>
      <w:szCs w:val="18"/>
    </w:rPr>
  </w:style>
  <w:style w:type="paragraph" w:styleId="Footer">
    <w:name w:val="footer"/>
    <w:basedOn w:val="Normal"/>
    <w:link w:val="FooterChar"/>
    <w:uiPriority w:val="99"/>
    <w:unhideWhenUsed/>
    <w:pPr>
      <w:tabs>
        <w:tab w:val="center" w:pos="4153"/>
        <w:tab w:val="right" w:pos="8306"/>
      </w:tabs>
      <w:snapToGrid w:val="0"/>
    </w:pPr>
    <w:rPr>
      <w:sz w:val="20"/>
      <w:szCs w:val="20"/>
    </w:rPr>
  </w:style>
  <w:style w:type="paragraph" w:styleId="Header">
    <w:name w:val="header"/>
    <w:basedOn w:val="Normal"/>
    <w:link w:val="HeaderChar"/>
    <w:uiPriority w:val="99"/>
    <w:unhideWhenUsed/>
    <w:pPr>
      <w:tabs>
        <w:tab w:val="center" w:pos="4153"/>
        <w:tab w:val="right" w:pos="8306"/>
      </w:tabs>
      <w:snapToGrid w:val="0"/>
    </w:pPr>
    <w:rPr>
      <w:sz w:val="20"/>
      <w:szCs w:val="20"/>
    </w:rPr>
  </w:style>
  <w:style w:type="character" w:styleId="CommentReference">
    <w:name w:val="annotation reference"/>
    <w:basedOn w:val="DefaultParagraphFont"/>
    <w:uiPriority w:val="99"/>
    <w:unhideWhenUsed/>
    <w:qFormat/>
    <w:rPr>
      <w:sz w:val="18"/>
      <w:szCs w:val="18"/>
    </w:rPr>
  </w:style>
  <w:style w:type="table" w:styleId="TableGrid">
    <w:name w:val="Table Grid"/>
    <w:basedOn w:val="TableNormal"/>
    <w:uiPriority w:val="39"/>
    <w:qFormat/>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sz w:val="18"/>
      <w:szCs w:val="18"/>
    </w:rPr>
  </w:style>
  <w:style w:type="character" w:customStyle="1" w:styleId="HeaderChar">
    <w:name w:val="Header Char"/>
    <w:basedOn w:val="DefaultParagraphFont"/>
    <w:link w:val="Header"/>
    <w:uiPriority w:val="99"/>
    <w:rPr>
      <w:sz w:val="20"/>
      <w:szCs w:val="20"/>
    </w:rPr>
  </w:style>
  <w:style w:type="character" w:customStyle="1" w:styleId="FooterChar">
    <w:name w:val="Footer Char"/>
    <w:basedOn w:val="DefaultParagraphFont"/>
    <w:link w:val="Footer"/>
    <w:uiPriority w:val="99"/>
    <w:rPr>
      <w:sz w:val="20"/>
      <w:szCs w:val="20"/>
    </w:rPr>
  </w:style>
  <w:style w:type="paragraph" w:customStyle="1" w:styleId="ListParagraph1">
    <w:name w:val="List Paragraph1"/>
    <w:basedOn w:val="Normal"/>
    <w:uiPriority w:val="34"/>
    <w:qFormat/>
    <w:pPr>
      <w:ind w:leftChars="200" w:left="480"/>
    </w:pPr>
  </w:style>
  <w:style w:type="character" w:customStyle="1" w:styleId="CommentTextChar">
    <w:name w:val="Comment Text Char"/>
    <w:basedOn w:val="DefaultParagraphFont"/>
    <w:link w:val="CommentText"/>
    <w:uiPriority w:val="99"/>
    <w:semiHidden/>
  </w:style>
  <w:style w:type="character" w:customStyle="1" w:styleId="CommentSubjectChar">
    <w:name w:val="Comment Subject Char"/>
    <w:basedOn w:val="CommentTextChar"/>
    <w:link w:val="CommentSubject"/>
    <w:uiPriority w:val="99"/>
    <w:semiHidden/>
    <w:qFormat/>
    <w:rPr>
      <w:b/>
      <w:bCs/>
    </w:rPr>
  </w:style>
  <w:style w:type="character" w:customStyle="1" w:styleId="BodyTextChar">
    <w:name w:val="Body Text Char"/>
    <w:basedOn w:val="DefaultParagraphFont"/>
    <w:link w:val="BodyText"/>
    <w:uiPriority w:val="1"/>
    <w:rPr>
      <w:rFonts w:ascii="Times LT Std" w:hAnsi="Times LT Std" w:cs="Times LT Std"/>
    </w:rPr>
  </w:style>
  <w:style w:type="paragraph" w:customStyle="1" w:styleId="TableParagraph">
    <w:name w:val="Table Paragraph"/>
    <w:basedOn w:val="Normal"/>
    <w:uiPriority w:val="1"/>
    <w:qFormat/>
    <w:pPr>
      <w:widowControl/>
      <w:autoSpaceDE w:val="0"/>
      <w:autoSpaceDN w:val="0"/>
      <w:adjustRightInd w:val="0"/>
      <w:spacing w:after="0" w:line="240" w:lineRule="auto"/>
    </w:pPr>
    <w:rPr>
      <w:rFonts w:ascii="Times New Roman" w:hAnsi="Times New Roman" w:cs="Times New Roman"/>
      <w:kern w:val="0"/>
      <w:szCs w:val="24"/>
      <w:lang w:eastAsia="zh-CN"/>
    </w:rPr>
  </w:style>
  <w:style w:type="paragraph" w:customStyle="1" w:styleId="Subhead1">
    <w:name w:val="Subhead 1"/>
    <w:basedOn w:val="Normal"/>
    <w:pPr>
      <w:tabs>
        <w:tab w:val="left" w:pos="340"/>
        <w:tab w:val="left" w:pos="680"/>
        <w:tab w:val="left" w:pos="1020"/>
        <w:tab w:val="left" w:pos="1361"/>
      </w:tabs>
      <w:autoSpaceDE w:val="0"/>
      <w:autoSpaceDN w:val="0"/>
      <w:adjustRightInd w:val="0"/>
      <w:spacing w:after="0" w:line="240" w:lineRule="atLeast"/>
      <w:ind w:left="340" w:hanging="340"/>
    </w:pPr>
    <w:rPr>
      <w:rFonts w:ascii="Times" w:eastAsia="Times New Roman" w:hAnsi="Times" w:cs="Times New Roman"/>
      <w:b/>
      <w:bCs/>
      <w:caps/>
      <w:kern w:val="0"/>
      <w:sz w:val="18"/>
      <w:szCs w:val="18"/>
    </w:rPr>
  </w:style>
  <w:style w:type="paragraph" w:styleId="Revision">
    <w:name w:val="Revision"/>
    <w:hidden/>
    <w:uiPriority w:val="99"/>
    <w:unhideWhenUsed/>
    <w:rsid w:val="00234ED5"/>
    <w:pPr>
      <w:spacing w:after="0" w:line="240" w:lineRule="auto"/>
    </w:pPr>
    <w:rPr>
      <w:kern w:val="2"/>
      <w:sz w:val="2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0A8612-94C2-49C1-847F-ABB3347D5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王修国</cp:lastModifiedBy>
  <cp:revision>8</cp:revision>
  <dcterms:created xsi:type="dcterms:W3CDTF">2017-09-28T08:11:00Z</dcterms:created>
  <dcterms:modified xsi:type="dcterms:W3CDTF">2017-10-11T06:59:00Z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