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8D0" w:rsidRDefault="00462B1A">
      <w:pPr>
        <w:pStyle w:val="a6"/>
        <w:snapToGrid w:val="0"/>
        <w:jc w:val="left"/>
        <w:rPr>
          <w:rFonts w:ascii="Times New Roman" w:hAnsi="Times New Roman"/>
          <w:i/>
          <w:color w:val="000000" w:themeColor="text1"/>
          <w:sz w:val="24"/>
          <w:szCs w:val="24"/>
          <w:lang w:eastAsia="zh-TW"/>
        </w:rPr>
      </w:pPr>
      <w:r>
        <w:rPr>
          <w:rFonts w:asciiTheme="majorHAnsi" w:eastAsiaTheme="majorEastAsia" w:hAnsiTheme="majorHAnsi" w:cstheme="majorBidi" w:hint="eastAsia"/>
          <w:bCs/>
          <w:i/>
          <w:color w:val="000000" w:themeColor="text1"/>
          <w:sz w:val="24"/>
          <w:szCs w:val="24"/>
          <w:lang w:eastAsia="zh-TW"/>
        </w:rPr>
        <w:t>香港交易及結算所有限公司及香港聯合交易所有限公司對本公告的內容概不負責，對其準確性或完整性亦不發表任何聲明，並明確表示，概不對因本公告全部或任何部分內容而產生或因倚賴該等內容而引致的任何損失承擔任何責任。</w:t>
      </w:r>
    </w:p>
    <w:p w:rsidR="009E68D0" w:rsidRDefault="00462B1A">
      <w:pPr>
        <w:pStyle w:val="a6"/>
        <w:snapToGrid w:val="0"/>
        <w:jc w:val="center"/>
        <w:rPr>
          <w:rFonts w:ascii="Times New Roman" w:hAnsi="Times New Roman"/>
          <w:b/>
          <w:sz w:val="24"/>
          <w:lang w:eastAsia="zh-TW"/>
        </w:rPr>
      </w:pPr>
      <w:r>
        <w:rPr>
          <w:rFonts w:ascii="Times New Roman" w:hAnsi="Times New Roman"/>
          <w:noProof/>
          <w:sz w:val="22"/>
          <w:szCs w:val="22"/>
          <w:lang w:val="en-US"/>
        </w:rPr>
        <w:drawing>
          <wp:anchor distT="0" distB="0" distL="114300" distR="114300" simplePos="0" relativeHeight="251659264" behindDoc="0" locked="0" layoutInCell="1" allowOverlap="1">
            <wp:simplePos x="0" y="0"/>
            <wp:positionH relativeFrom="column">
              <wp:posOffset>2957195</wp:posOffset>
            </wp:positionH>
            <wp:positionV relativeFrom="paragraph">
              <wp:posOffset>60325</wp:posOffset>
            </wp:positionV>
            <wp:extent cx="811530" cy="878205"/>
            <wp:effectExtent l="0" t="0" r="0" b="0"/>
            <wp:wrapNone/>
            <wp:docPr id="1" name="Picture 1" descr="!SHA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NDON"/>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811530" cy="878205"/>
                    </a:xfrm>
                    <a:prstGeom prst="rect">
                      <a:avLst/>
                    </a:prstGeom>
                    <a:noFill/>
                    <a:ln>
                      <a:noFill/>
                    </a:ln>
                  </pic:spPr>
                </pic:pic>
              </a:graphicData>
            </a:graphic>
          </wp:anchor>
        </w:drawing>
      </w:r>
    </w:p>
    <w:p w:rsidR="009E68D0" w:rsidRDefault="009E68D0">
      <w:pPr>
        <w:pStyle w:val="a6"/>
        <w:snapToGrid w:val="0"/>
        <w:jc w:val="center"/>
        <w:rPr>
          <w:rFonts w:ascii="Times New Roman" w:hAnsi="Times New Roman"/>
          <w:b/>
          <w:sz w:val="24"/>
          <w:lang w:eastAsia="zh-TW"/>
        </w:rPr>
      </w:pPr>
    </w:p>
    <w:p w:rsidR="009E68D0" w:rsidRDefault="009E68D0">
      <w:pPr>
        <w:pStyle w:val="a6"/>
        <w:snapToGrid w:val="0"/>
        <w:jc w:val="center"/>
        <w:rPr>
          <w:rFonts w:ascii="Times New Roman" w:hAnsi="Times New Roman"/>
          <w:b/>
          <w:sz w:val="24"/>
          <w:lang w:eastAsia="zh-TW"/>
        </w:rPr>
      </w:pPr>
    </w:p>
    <w:p w:rsidR="009E68D0" w:rsidRDefault="00462B1A">
      <w:pPr>
        <w:pStyle w:val="a6"/>
        <w:snapToGrid w:val="0"/>
        <w:spacing w:after="0" w:line="240" w:lineRule="auto"/>
        <w:jc w:val="center"/>
        <w:rPr>
          <w:rFonts w:ascii="Times New Roman" w:eastAsia="DFKai-SB" w:hAnsi="Times New Roman"/>
          <w:b/>
          <w:sz w:val="32"/>
          <w:szCs w:val="32"/>
          <w:lang w:eastAsia="zh-TW"/>
        </w:rPr>
      </w:pPr>
      <w:r>
        <w:rPr>
          <w:rFonts w:ascii="Times New Roman" w:eastAsia="DFKai-SB" w:hAnsi="Times New Roman"/>
          <w:b/>
          <w:sz w:val="32"/>
          <w:szCs w:val="32"/>
          <w:lang w:eastAsia="zh-TW"/>
        </w:rPr>
        <w:t>山東新華製藥股份有限公司</w:t>
      </w:r>
    </w:p>
    <w:p w:rsidR="009E68D0" w:rsidRDefault="00462B1A">
      <w:pPr>
        <w:pStyle w:val="a6"/>
        <w:snapToGrid w:val="0"/>
        <w:spacing w:after="0" w:line="240" w:lineRule="auto"/>
        <w:jc w:val="center"/>
        <w:rPr>
          <w:rFonts w:ascii="Times New Roman" w:eastAsia="DFKai-SB" w:hAnsi="Times New Roman"/>
          <w:b/>
          <w:sz w:val="32"/>
          <w:szCs w:val="32"/>
        </w:rPr>
      </w:pPr>
      <w:r>
        <w:rPr>
          <w:rFonts w:ascii="Times New Roman" w:eastAsia="DFKai-SB" w:hAnsi="Times New Roman"/>
          <w:b/>
          <w:sz w:val="32"/>
          <w:szCs w:val="32"/>
        </w:rPr>
        <w:t>Shandong Xinhua Pharmaceutical Company Limited</w:t>
      </w:r>
    </w:p>
    <w:p w:rsidR="009E68D0" w:rsidRDefault="00462B1A">
      <w:pPr>
        <w:pStyle w:val="BodyText1"/>
        <w:snapToGrid w:val="0"/>
        <w:spacing w:after="0" w:line="240" w:lineRule="auto"/>
        <w:jc w:val="center"/>
        <w:outlineLvl w:val="0"/>
        <w:rPr>
          <w:rFonts w:eastAsia="DFKai-SB"/>
          <w:sz w:val="24"/>
          <w:szCs w:val="24"/>
          <w:lang w:eastAsia="zh-CN"/>
        </w:rPr>
      </w:pPr>
      <w:r>
        <w:rPr>
          <w:rFonts w:eastAsia="DFKai-SB" w:hint="eastAsia"/>
          <w:sz w:val="24"/>
          <w:szCs w:val="24"/>
          <w:lang w:eastAsia="zh-CN"/>
        </w:rPr>
        <w:t>（於中華人民共和國註冊成立的股份有限公司）</w:t>
      </w:r>
    </w:p>
    <w:p w:rsidR="009E68D0" w:rsidRDefault="009E68D0">
      <w:pPr>
        <w:pStyle w:val="BodyText1"/>
        <w:snapToGrid w:val="0"/>
        <w:spacing w:after="0" w:line="240" w:lineRule="auto"/>
        <w:jc w:val="center"/>
        <w:outlineLvl w:val="0"/>
        <w:rPr>
          <w:rFonts w:eastAsia="DFKai-SB"/>
          <w:sz w:val="24"/>
          <w:szCs w:val="24"/>
          <w:lang w:eastAsia="zh-CN"/>
        </w:rPr>
      </w:pPr>
    </w:p>
    <w:p w:rsidR="009E68D0" w:rsidRDefault="00462B1A">
      <w:pPr>
        <w:pStyle w:val="BodyText1"/>
        <w:snapToGrid w:val="0"/>
        <w:spacing w:after="0" w:line="240" w:lineRule="auto"/>
        <w:jc w:val="center"/>
        <w:outlineLvl w:val="0"/>
        <w:rPr>
          <w:rFonts w:eastAsia="DFKai-SB"/>
          <w:sz w:val="24"/>
          <w:szCs w:val="24"/>
          <w:lang w:eastAsia="zh-CN"/>
        </w:rPr>
      </w:pPr>
      <w:r>
        <w:rPr>
          <w:rFonts w:eastAsia="DFKai-SB" w:hint="eastAsia"/>
          <w:sz w:val="24"/>
          <w:szCs w:val="24"/>
          <w:lang w:eastAsia="zh-CN"/>
        </w:rPr>
        <w:t>（股份代碼：</w:t>
      </w:r>
      <w:r>
        <w:rPr>
          <w:rFonts w:eastAsia="DFKai-SB" w:hint="eastAsia"/>
          <w:sz w:val="24"/>
          <w:szCs w:val="24"/>
          <w:lang w:eastAsia="zh-CN"/>
        </w:rPr>
        <w:t>0719</w:t>
      </w:r>
      <w:r>
        <w:rPr>
          <w:rFonts w:eastAsia="DFKai-SB" w:hint="eastAsia"/>
          <w:sz w:val="24"/>
          <w:szCs w:val="24"/>
          <w:lang w:eastAsia="zh-CN"/>
        </w:rPr>
        <w:t>）</w:t>
      </w:r>
    </w:p>
    <w:p w:rsidR="009E68D0" w:rsidRDefault="00462B1A">
      <w:pPr>
        <w:pStyle w:val="BodyText1"/>
        <w:snapToGrid w:val="0"/>
        <w:spacing w:after="0" w:line="240" w:lineRule="auto"/>
        <w:ind w:left="0"/>
        <w:jc w:val="center"/>
        <w:outlineLvl w:val="0"/>
        <w:rPr>
          <w:rFonts w:ascii="Times New Roman" w:hAnsi="Times New Roman"/>
          <w:b/>
          <w:bCs/>
          <w:color w:val="auto"/>
          <w:sz w:val="24"/>
          <w:szCs w:val="24"/>
        </w:rPr>
      </w:pPr>
      <w:r>
        <w:rPr>
          <w:rFonts w:ascii="PMingLiU" w:eastAsia="PMingLiU" w:hAnsi="PMingLiU"/>
          <w:b/>
          <w:bCs/>
          <w:color w:val="auto"/>
          <w:kern w:val="2"/>
          <w:sz w:val="24"/>
          <w:szCs w:val="24"/>
          <w:lang w:val="en-GB"/>
        </w:rPr>
        <w:br/>
        <w:t>有關建議配售事項的A股發行</w:t>
      </w:r>
    </w:p>
    <w:p w:rsidR="009E68D0" w:rsidRDefault="009E68D0">
      <w:pPr>
        <w:pStyle w:val="BodyText1"/>
        <w:snapToGrid w:val="0"/>
        <w:spacing w:line="240" w:lineRule="auto"/>
        <w:ind w:left="0"/>
        <w:rPr>
          <w:rFonts w:ascii="Times New Roman" w:hAnsi="Times New Roman"/>
          <w:color w:val="auto"/>
          <w:sz w:val="24"/>
          <w:szCs w:val="24"/>
        </w:rPr>
      </w:pPr>
    </w:p>
    <w:p w:rsidR="009E68D0" w:rsidRDefault="00462B1A" w:rsidP="00AE4C52">
      <w:pPr>
        <w:pStyle w:val="Subhead1"/>
        <w:tabs>
          <w:tab w:val="clear" w:pos="340"/>
          <w:tab w:val="left" w:pos="720"/>
        </w:tabs>
        <w:snapToGrid w:val="0"/>
        <w:spacing w:line="360" w:lineRule="auto"/>
        <w:ind w:left="0" w:firstLine="0"/>
        <w:outlineLvl w:val="0"/>
        <w:rPr>
          <w:rFonts w:ascii="PMingLiU" w:eastAsia="PMingLiU" w:hAnsi="PMingLiU"/>
          <w:b w:val="0"/>
          <w:bCs w:val="0"/>
          <w:caps w:val="0"/>
          <w:color w:val="000000" w:themeColor="text1"/>
          <w:kern w:val="2"/>
          <w:sz w:val="24"/>
          <w:szCs w:val="24"/>
          <w:lang w:val="en-GB"/>
        </w:rPr>
      </w:pPr>
      <w:r>
        <w:rPr>
          <w:rFonts w:ascii="PMingLiU" w:eastAsia="PMingLiU" w:hAnsi="PMingLiU" w:cs="PMingLiU" w:hint="eastAsia"/>
          <w:b w:val="0"/>
          <w:bCs w:val="0"/>
          <w:caps w:val="0"/>
          <w:color w:val="000000" w:themeColor="text1"/>
          <w:kern w:val="2"/>
          <w:sz w:val="24"/>
          <w:szCs w:val="24"/>
          <w:lang w:val="en-GB"/>
        </w:rPr>
        <w:t>茲提述山東新華製藥股份有限公司（「本公司」）日期為二零一五年十二月十四日的通函以及本公司自二零一五年十月八日起所作內容有關本公司建議非公開發行及配售</w:t>
      </w:r>
      <w:r>
        <w:rPr>
          <w:rFonts w:ascii="PMingLiU" w:eastAsia="PMingLiU" w:hAnsi="PMingLiU"/>
          <w:b w:val="0"/>
          <w:bCs w:val="0"/>
          <w:caps w:val="0"/>
          <w:color w:val="000000" w:themeColor="text1"/>
          <w:kern w:val="2"/>
          <w:sz w:val="24"/>
          <w:szCs w:val="24"/>
          <w:lang w:val="en-GB"/>
        </w:rPr>
        <w:t>A</w:t>
      </w:r>
      <w:r>
        <w:rPr>
          <w:rFonts w:ascii="PMingLiU" w:eastAsia="PMingLiU" w:hAnsi="PMingLiU" w:cs="PMingLiU" w:hint="eastAsia"/>
          <w:b w:val="0"/>
          <w:bCs w:val="0"/>
          <w:caps w:val="0"/>
          <w:color w:val="000000" w:themeColor="text1"/>
          <w:kern w:val="2"/>
          <w:sz w:val="24"/>
          <w:szCs w:val="24"/>
          <w:lang w:val="en-GB"/>
        </w:rPr>
        <w:t>股（「建議配售」）的公告、通函及披露。</w:t>
      </w:r>
    </w:p>
    <w:p w:rsidR="009E68D0" w:rsidRPr="00001796" w:rsidRDefault="00462B1A" w:rsidP="00001796">
      <w:pPr>
        <w:pStyle w:val="Subhead1"/>
        <w:tabs>
          <w:tab w:val="clear" w:pos="340"/>
          <w:tab w:val="left" w:pos="720"/>
        </w:tabs>
        <w:snapToGrid w:val="0"/>
        <w:spacing w:line="360" w:lineRule="auto"/>
        <w:ind w:left="0" w:firstLine="0"/>
        <w:outlineLvl w:val="0"/>
        <w:rPr>
          <w:rFonts w:ascii="PMingLiU" w:eastAsia="PMingLiU" w:hAnsi="PMingLiU" w:cs="PMingLiU"/>
          <w:b w:val="0"/>
          <w:bCs w:val="0"/>
          <w:caps w:val="0"/>
          <w:color w:val="000000" w:themeColor="text1"/>
          <w:kern w:val="2"/>
          <w:sz w:val="24"/>
          <w:szCs w:val="24"/>
          <w:lang w:val="en-GB"/>
        </w:rPr>
      </w:pPr>
      <w:r>
        <w:rPr>
          <w:rFonts w:ascii="PMingLiU" w:eastAsia="PMingLiU" w:hAnsi="PMingLiU" w:cs="PMingLiU" w:hint="eastAsia"/>
          <w:b w:val="0"/>
          <w:bCs w:val="0"/>
          <w:caps w:val="0"/>
          <w:color w:val="000000" w:themeColor="text1"/>
          <w:kern w:val="2"/>
          <w:sz w:val="24"/>
          <w:szCs w:val="24"/>
          <w:lang w:val="en-GB"/>
        </w:rPr>
        <w:t>除非另有指明，否則本公告內所用詞彙與本公司日期為二零一六年十二月十二日的通函（「該通函」）內所定義者俱有相同涵義。</w:t>
      </w:r>
    </w:p>
    <w:p w:rsidR="009E68D0" w:rsidRDefault="00462B1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b/>
          <w:color w:val="212121"/>
          <w:kern w:val="0"/>
          <w:lang w:val="en-US"/>
        </w:rPr>
      </w:pPr>
      <w:r>
        <w:rPr>
          <w:rFonts w:ascii="PMingLiU" w:eastAsia="PMingLiU" w:hAnsi="PMingLiU" w:cs="PMingLiU" w:hint="eastAsia"/>
          <w:b/>
          <w:color w:val="212121"/>
          <w:kern w:val="0"/>
          <w:lang w:val="en-US"/>
        </w:rPr>
        <w:t>根據</w:t>
      </w:r>
      <w:r>
        <w:rPr>
          <w:rFonts w:ascii="PMingLiU" w:eastAsia="PMingLiU" w:hAnsi="PMingLiU"/>
          <w:b/>
          <w:bCs/>
        </w:rPr>
        <w:t>建議</w:t>
      </w:r>
      <w:r>
        <w:rPr>
          <w:rFonts w:ascii="PMingLiU" w:eastAsia="PMingLiU" w:hAnsi="PMingLiU" w:cs="PMingLiU" w:hint="eastAsia"/>
          <w:b/>
          <w:color w:val="212121"/>
          <w:kern w:val="0"/>
          <w:lang w:val="en-US"/>
        </w:rPr>
        <w:t>的配售發行</w:t>
      </w:r>
      <w:r>
        <w:rPr>
          <w:rFonts w:ascii="inherit" w:hAnsi="inherit" w:cs="Courier New" w:hint="eastAsia"/>
          <w:b/>
          <w:color w:val="212121"/>
          <w:kern w:val="0"/>
          <w:lang w:val="en-US"/>
        </w:rPr>
        <w:t>A</w:t>
      </w:r>
      <w:r>
        <w:rPr>
          <w:rFonts w:ascii="PMingLiU" w:eastAsia="PMingLiU" w:hAnsi="PMingLiU" w:cs="PMingLiU" w:hint="eastAsia"/>
          <w:b/>
          <w:color w:val="212121"/>
          <w:kern w:val="0"/>
          <w:lang w:val="en-US"/>
        </w:rPr>
        <w:t>股股份</w:t>
      </w:r>
    </w:p>
    <w:p w:rsidR="009E68D0" w:rsidRPr="00001796" w:rsidRDefault="00462B1A" w:rsidP="00001796">
      <w:pPr>
        <w:pStyle w:val="Subhead1"/>
        <w:tabs>
          <w:tab w:val="clear" w:pos="340"/>
          <w:tab w:val="left" w:pos="720"/>
        </w:tabs>
        <w:snapToGrid w:val="0"/>
        <w:spacing w:line="360" w:lineRule="auto"/>
        <w:ind w:left="0" w:firstLine="0"/>
        <w:outlineLvl w:val="0"/>
        <w:rPr>
          <w:rFonts w:ascii="PMingLiU" w:eastAsia="PMingLiU" w:hAnsi="PMingLiU" w:cs="PMingLiU"/>
          <w:b w:val="0"/>
          <w:bCs w:val="0"/>
          <w:caps w:val="0"/>
          <w:color w:val="000000" w:themeColor="text1"/>
          <w:kern w:val="2"/>
          <w:sz w:val="24"/>
          <w:szCs w:val="24"/>
          <w:lang w:val="en-GB"/>
        </w:rPr>
      </w:pPr>
      <w:r w:rsidRPr="00001796">
        <w:rPr>
          <w:rFonts w:ascii="PMingLiU" w:eastAsia="PMingLiU" w:hAnsi="PMingLiU" w:cs="PMingLiU" w:hint="eastAsia"/>
          <w:b w:val="0"/>
          <w:bCs w:val="0"/>
          <w:caps w:val="0"/>
          <w:color w:val="000000" w:themeColor="text1"/>
          <w:kern w:val="2"/>
          <w:sz w:val="24"/>
          <w:szCs w:val="24"/>
          <w:lang w:val="en-GB"/>
        </w:rPr>
        <w:t>於二零一七年四月二十六日，本公司已收到中國證券監督管理委員會</w:t>
      </w:r>
      <w:r w:rsidRPr="00001796">
        <w:rPr>
          <w:rFonts w:ascii="PMingLiU" w:eastAsia="PMingLiU" w:hAnsi="PMingLiU" w:cs="PMingLiU"/>
          <w:b w:val="0"/>
          <w:bCs w:val="0"/>
          <w:caps w:val="0"/>
          <w:color w:val="000000" w:themeColor="text1"/>
          <w:kern w:val="2"/>
          <w:sz w:val="24"/>
          <w:szCs w:val="24"/>
          <w:lang w:val="en-GB"/>
        </w:rPr>
        <w:t>“</w:t>
      </w:r>
      <w:r w:rsidRPr="00001796">
        <w:rPr>
          <w:rFonts w:ascii="PMingLiU" w:eastAsia="PMingLiU" w:hAnsi="PMingLiU" w:cs="PMingLiU" w:hint="eastAsia"/>
          <w:b w:val="0"/>
          <w:bCs w:val="0"/>
          <w:caps w:val="0"/>
          <w:color w:val="000000" w:themeColor="text1"/>
          <w:kern w:val="2"/>
          <w:sz w:val="24"/>
          <w:szCs w:val="24"/>
          <w:lang w:val="en-GB"/>
        </w:rPr>
        <w:t>證監許可[2017] 459號批准（“該批准”）。根據該批准，本公司本次向員工持股計劃及山東聚贏產業基金（有限合夥)發行及配發合共21,040,591股A股（</w:t>
      </w:r>
      <w:r w:rsidRPr="00001796">
        <w:rPr>
          <w:rFonts w:ascii="PMingLiU" w:eastAsia="PMingLiU" w:hAnsi="PMingLiU" w:cs="PMingLiU"/>
          <w:b w:val="0"/>
          <w:bCs w:val="0"/>
          <w:caps w:val="0"/>
          <w:color w:val="000000" w:themeColor="text1"/>
          <w:kern w:val="2"/>
          <w:sz w:val="24"/>
          <w:szCs w:val="24"/>
          <w:lang w:val="en-GB"/>
        </w:rPr>
        <w:t>”</w:t>
      </w:r>
      <w:r w:rsidRPr="00001796">
        <w:rPr>
          <w:rFonts w:ascii="PMingLiU" w:eastAsia="PMingLiU" w:hAnsi="PMingLiU" w:cs="PMingLiU" w:hint="eastAsia"/>
          <w:b w:val="0"/>
          <w:bCs w:val="0"/>
          <w:caps w:val="0"/>
          <w:color w:val="000000" w:themeColor="text1"/>
          <w:kern w:val="2"/>
          <w:sz w:val="24"/>
          <w:szCs w:val="24"/>
          <w:lang w:val="en-GB"/>
        </w:rPr>
        <w:t>認購股份</w:t>
      </w:r>
      <w:r w:rsidRPr="00001796">
        <w:rPr>
          <w:rFonts w:ascii="PMingLiU" w:eastAsia="PMingLiU" w:hAnsi="PMingLiU" w:cs="PMingLiU"/>
          <w:b w:val="0"/>
          <w:bCs w:val="0"/>
          <w:caps w:val="0"/>
          <w:color w:val="000000" w:themeColor="text1"/>
          <w:kern w:val="2"/>
          <w:sz w:val="24"/>
          <w:szCs w:val="24"/>
          <w:lang w:val="en-GB"/>
        </w:rPr>
        <w:t>”</w:t>
      </w:r>
      <w:r w:rsidRPr="00001796">
        <w:rPr>
          <w:rFonts w:ascii="PMingLiU" w:eastAsia="PMingLiU" w:hAnsi="PMingLiU" w:cs="PMingLiU" w:hint="eastAsia"/>
          <w:b w:val="0"/>
          <w:bCs w:val="0"/>
          <w:caps w:val="0"/>
          <w:color w:val="000000" w:themeColor="text1"/>
          <w:kern w:val="2"/>
          <w:sz w:val="24"/>
          <w:szCs w:val="24"/>
          <w:lang w:val="en-GB"/>
        </w:rPr>
        <w:t>）,當中向員工持股計劃佔3,109,686股A股, 及山東聚贏產業基金（有限合夥)佔17,930,905股A股。</w:t>
      </w:r>
    </w:p>
    <w:p w:rsidR="009E68D0" w:rsidRPr="00001796" w:rsidRDefault="00462B1A" w:rsidP="00001796">
      <w:pPr>
        <w:pStyle w:val="Subhead1"/>
        <w:tabs>
          <w:tab w:val="clear" w:pos="340"/>
          <w:tab w:val="left" w:pos="720"/>
        </w:tabs>
        <w:snapToGrid w:val="0"/>
        <w:spacing w:line="360" w:lineRule="auto"/>
        <w:ind w:left="0" w:firstLine="0"/>
        <w:outlineLvl w:val="0"/>
        <w:rPr>
          <w:rFonts w:ascii="PMingLiU" w:eastAsia="PMingLiU" w:hAnsi="PMingLiU" w:cs="PMingLiU"/>
          <w:b w:val="0"/>
          <w:bCs w:val="0"/>
          <w:caps w:val="0"/>
          <w:color w:val="000000" w:themeColor="text1"/>
          <w:kern w:val="2"/>
          <w:sz w:val="24"/>
          <w:szCs w:val="24"/>
          <w:lang w:val="en-GB"/>
        </w:rPr>
      </w:pPr>
      <w:r w:rsidRPr="00001796">
        <w:rPr>
          <w:rFonts w:ascii="PMingLiU" w:eastAsia="PMingLiU" w:hAnsi="PMingLiU" w:cs="PMingLiU" w:hint="eastAsia"/>
          <w:b w:val="0"/>
          <w:bCs w:val="0"/>
          <w:caps w:val="0"/>
          <w:color w:val="000000" w:themeColor="text1"/>
          <w:kern w:val="2"/>
          <w:sz w:val="24"/>
          <w:szCs w:val="24"/>
          <w:lang w:val="en-GB"/>
        </w:rPr>
        <w:t>於二零一七年九月二十六日，本公司已向中國證券登記結算有限責任公司深圳分公司提交認購股份登記申请資料。於二零一七年九月二十八日，中國證券登記結算有限責任公司深圳分公司出具了《股份登記申請受理確認書》。認購股份將待深圳證券交易所審核通過本公司遞交的認購股份上市申請後正式登記並上市。</w:t>
      </w:r>
    </w:p>
    <w:p w:rsidR="009E68D0" w:rsidRPr="00001796" w:rsidRDefault="00462B1A" w:rsidP="00001796">
      <w:pPr>
        <w:pStyle w:val="Subhead1"/>
        <w:tabs>
          <w:tab w:val="clear" w:pos="340"/>
          <w:tab w:val="left" w:pos="720"/>
        </w:tabs>
        <w:snapToGrid w:val="0"/>
        <w:spacing w:line="360" w:lineRule="auto"/>
        <w:ind w:left="0" w:firstLine="0"/>
        <w:outlineLvl w:val="0"/>
        <w:rPr>
          <w:rFonts w:ascii="PMingLiU" w:eastAsia="PMingLiU" w:hAnsi="PMingLiU" w:cs="PMingLiU"/>
          <w:b w:val="0"/>
          <w:bCs w:val="0"/>
          <w:caps w:val="0"/>
          <w:color w:val="000000" w:themeColor="text1"/>
          <w:kern w:val="2"/>
          <w:sz w:val="24"/>
          <w:szCs w:val="24"/>
          <w:lang w:val="en-GB"/>
        </w:rPr>
      </w:pPr>
      <w:r w:rsidRPr="00001796">
        <w:rPr>
          <w:rFonts w:ascii="PMingLiU" w:eastAsia="PMingLiU" w:hAnsi="PMingLiU" w:cs="PMingLiU" w:hint="eastAsia"/>
          <w:b w:val="0"/>
          <w:bCs w:val="0"/>
          <w:caps w:val="0"/>
          <w:color w:val="000000" w:themeColor="text1"/>
          <w:kern w:val="2"/>
          <w:sz w:val="24"/>
          <w:szCs w:val="24"/>
          <w:lang w:val="en-GB"/>
        </w:rPr>
        <w:lastRenderedPageBreak/>
        <w:t>當認購股份已於員工持股計劃及山東聚贏產業基金（有限合夥)的名義下正式登記，並獲批准在深圳證券交易所進行交易，本公司將刊登進一步公告。</w:t>
      </w:r>
    </w:p>
    <w:p w:rsidR="009E68D0" w:rsidRDefault="009E68D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MingLiU" w:eastAsia="PMingLiU" w:hAnsi="PMingLiU" w:cs="PMingLiU"/>
          <w:color w:val="212121"/>
          <w:kern w:val="0"/>
          <w:lang w:val="en-US"/>
        </w:rPr>
      </w:pPr>
    </w:p>
    <w:p w:rsidR="009E68D0" w:rsidRDefault="009E68D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kern w:val="0"/>
          <w:lang w:val="en-US"/>
        </w:rPr>
      </w:pPr>
    </w:p>
    <w:p w:rsidR="009E68D0" w:rsidRDefault="00462B1A">
      <w:pPr>
        <w:snapToGrid w:val="0"/>
        <w:spacing w:after="0" w:line="240" w:lineRule="auto"/>
        <w:jc w:val="right"/>
        <w:rPr>
          <w:rFonts w:eastAsiaTheme="majorEastAsia"/>
          <w:color w:val="000000" w:themeColor="text1"/>
        </w:rPr>
      </w:pPr>
      <w:bookmarkStart w:id="0" w:name="RANGE!A31"/>
      <w:bookmarkStart w:id="1" w:name="RANGE!A42"/>
      <w:bookmarkStart w:id="2" w:name="RANGE!A40"/>
      <w:bookmarkStart w:id="3" w:name="RANGE!A28"/>
      <w:bookmarkEnd w:id="0"/>
      <w:bookmarkEnd w:id="1"/>
      <w:bookmarkEnd w:id="2"/>
      <w:bookmarkEnd w:id="3"/>
      <w:r>
        <w:rPr>
          <w:rFonts w:eastAsia="SimSun"/>
          <w:color w:val="000000" w:themeColor="text1"/>
        </w:rPr>
        <w:t>承董事會命</w:t>
      </w:r>
    </w:p>
    <w:p w:rsidR="009E68D0" w:rsidRDefault="00462B1A">
      <w:pPr>
        <w:snapToGrid w:val="0"/>
        <w:spacing w:after="0" w:line="240" w:lineRule="auto"/>
        <w:jc w:val="right"/>
        <w:rPr>
          <w:rFonts w:eastAsiaTheme="majorEastAsia"/>
          <w:b/>
          <w:color w:val="000000" w:themeColor="text1"/>
        </w:rPr>
      </w:pPr>
      <w:r>
        <w:rPr>
          <w:rFonts w:eastAsia="SimSun"/>
          <w:b/>
          <w:color w:val="000000" w:themeColor="text1"/>
        </w:rPr>
        <w:t>山東新華製藥股份有限公司</w:t>
      </w:r>
    </w:p>
    <w:p w:rsidR="009E68D0" w:rsidRDefault="00462B1A">
      <w:pPr>
        <w:snapToGrid w:val="0"/>
        <w:spacing w:after="0" w:line="240" w:lineRule="auto"/>
        <w:jc w:val="right"/>
        <w:rPr>
          <w:rFonts w:eastAsiaTheme="majorEastAsia"/>
          <w:i/>
          <w:color w:val="000000" w:themeColor="text1"/>
        </w:rPr>
      </w:pPr>
      <w:r>
        <w:rPr>
          <w:rFonts w:eastAsia="SimSun"/>
          <w:i/>
          <w:color w:val="000000" w:themeColor="text1"/>
        </w:rPr>
        <w:t>董事長</w:t>
      </w:r>
    </w:p>
    <w:p w:rsidR="009E68D0" w:rsidRDefault="00462B1A">
      <w:pPr>
        <w:snapToGrid w:val="0"/>
        <w:spacing w:after="0" w:line="240" w:lineRule="auto"/>
        <w:jc w:val="right"/>
        <w:rPr>
          <w:rFonts w:eastAsiaTheme="majorEastAsia"/>
          <w:b/>
          <w:color w:val="000000" w:themeColor="text1"/>
        </w:rPr>
      </w:pPr>
      <w:r>
        <w:rPr>
          <w:rFonts w:eastAsia="SimSun"/>
          <w:b/>
          <w:color w:val="000000" w:themeColor="text1"/>
        </w:rPr>
        <w:t>張代銘</w:t>
      </w:r>
    </w:p>
    <w:p w:rsidR="009E68D0" w:rsidRDefault="00462B1A">
      <w:pPr>
        <w:pStyle w:val="BodyText1"/>
        <w:snapToGrid w:val="0"/>
        <w:spacing w:after="0" w:line="240" w:lineRule="auto"/>
        <w:ind w:left="0"/>
        <w:rPr>
          <w:rFonts w:ascii="SimSun" w:eastAsia="SimSun" w:hAnsi="SimSun" w:cs="PMingLiU"/>
          <w:color w:val="auto"/>
          <w:kern w:val="2"/>
          <w:sz w:val="22"/>
          <w:szCs w:val="22"/>
          <w:lang w:val="en-GB"/>
        </w:rPr>
      </w:pPr>
      <w:r>
        <w:rPr>
          <w:rFonts w:ascii="PMingLiU" w:eastAsia="PMingLiU" w:hAnsi="PMingLiU" w:cs="PMingLiU" w:hint="eastAsia"/>
          <w:color w:val="auto"/>
          <w:kern w:val="2"/>
          <w:sz w:val="22"/>
          <w:szCs w:val="22"/>
          <w:lang w:val="en-GB"/>
        </w:rPr>
        <w:t>中華人民共和國淄博，二零一七年</w:t>
      </w:r>
      <w:r>
        <w:rPr>
          <w:rFonts w:ascii="SimSun" w:eastAsia="SimSun" w:hAnsi="SimSun" w:cs="PMingLiU" w:hint="eastAsia"/>
          <w:color w:val="auto"/>
          <w:kern w:val="2"/>
          <w:sz w:val="22"/>
          <w:szCs w:val="22"/>
          <w:lang w:val="en-GB"/>
        </w:rPr>
        <w:t>九月二十</w:t>
      </w:r>
      <w:r>
        <w:rPr>
          <w:rFonts w:ascii="SimSun" w:eastAsia="SimSun" w:hAnsi="SimSun" w:cs="PMingLiU" w:hint="eastAsia"/>
          <w:color w:val="auto"/>
          <w:kern w:val="2"/>
          <w:sz w:val="22"/>
          <w:szCs w:val="22"/>
          <w:lang w:val="en-GB" w:eastAsia="zh-CN"/>
        </w:rPr>
        <w:t>九</w:t>
      </w:r>
      <w:r>
        <w:rPr>
          <w:rFonts w:ascii="SimSun" w:eastAsia="SimSun" w:hAnsi="SimSun" w:cs="PMingLiU" w:hint="eastAsia"/>
          <w:color w:val="auto"/>
          <w:kern w:val="2"/>
          <w:sz w:val="22"/>
          <w:szCs w:val="22"/>
          <w:lang w:val="en-GB"/>
        </w:rPr>
        <w:t>日</w:t>
      </w:r>
    </w:p>
    <w:p w:rsidR="009E68D0" w:rsidRDefault="009E68D0">
      <w:pPr>
        <w:pStyle w:val="BodyText1"/>
        <w:snapToGrid w:val="0"/>
        <w:spacing w:after="0" w:line="240" w:lineRule="auto"/>
        <w:ind w:left="0"/>
        <w:rPr>
          <w:rFonts w:ascii="Times New Roman" w:eastAsia="SimSun" w:hAnsi="Times New Roman"/>
          <w:color w:val="auto"/>
          <w:sz w:val="22"/>
          <w:szCs w:val="22"/>
        </w:rPr>
      </w:pPr>
    </w:p>
    <w:p w:rsidR="009E68D0" w:rsidRDefault="00462B1A">
      <w:pPr>
        <w:snapToGrid w:val="0"/>
        <w:spacing w:after="0" w:line="240" w:lineRule="auto"/>
        <w:rPr>
          <w:rFonts w:eastAsia="SimSun"/>
          <w:color w:val="000000" w:themeColor="text1"/>
          <w:lang w:val="en-US"/>
        </w:rPr>
      </w:pPr>
      <w:r>
        <w:rPr>
          <w:rFonts w:eastAsia="SimSun"/>
          <w:color w:val="000000" w:themeColor="text1"/>
        </w:rPr>
        <w:t>於本公告日期，董事會之成員如下：</w:t>
      </w:r>
    </w:p>
    <w:p w:rsidR="009E68D0" w:rsidRDefault="009E68D0">
      <w:pPr>
        <w:snapToGrid w:val="0"/>
        <w:spacing w:after="0" w:line="240" w:lineRule="auto"/>
        <w:rPr>
          <w:rFonts w:eastAsiaTheme="majorEastAsia"/>
          <w:color w:val="000000" w:themeColor="text1"/>
          <w:lang w:val="en-US"/>
        </w:rPr>
      </w:pPr>
    </w:p>
    <w:tbl>
      <w:tblPr>
        <w:tblW w:w="8696" w:type="dxa"/>
        <w:tblLayout w:type="fixed"/>
        <w:tblCellMar>
          <w:left w:w="28" w:type="dxa"/>
          <w:right w:w="28" w:type="dxa"/>
        </w:tblCellMar>
        <w:tblLook w:val="04A0"/>
      </w:tblPr>
      <w:tblGrid>
        <w:gridCol w:w="4348"/>
        <w:gridCol w:w="4348"/>
      </w:tblGrid>
      <w:tr w:rsidR="009E68D0">
        <w:trPr>
          <w:trHeight w:val="1575"/>
        </w:trPr>
        <w:tc>
          <w:tcPr>
            <w:tcW w:w="4348" w:type="dxa"/>
          </w:tcPr>
          <w:p w:rsidR="009E68D0" w:rsidRDefault="00462B1A">
            <w:pPr>
              <w:snapToGrid w:val="0"/>
              <w:spacing w:after="0" w:line="240" w:lineRule="auto"/>
              <w:jc w:val="both"/>
              <w:rPr>
                <w:rFonts w:eastAsiaTheme="majorEastAsia"/>
                <w:color w:val="000000" w:themeColor="text1"/>
                <w:u w:val="single"/>
              </w:rPr>
            </w:pPr>
            <w:r>
              <w:rPr>
                <w:rFonts w:eastAsia="SimSun"/>
                <w:color w:val="000000" w:themeColor="text1"/>
                <w:u w:val="single"/>
              </w:rPr>
              <w:t>執行董事：</w:t>
            </w:r>
          </w:p>
          <w:p w:rsidR="009E68D0" w:rsidRDefault="00462B1A">
            <w:pPr>
              <w:snapToGrid w:val="0"/>
              <w:spacing w:after="0" w:line="240" w:lineRule="auto"/>
              <w:jc w:val="both"/>
              <w:rPr>
                <w:rFonts w:eastAsiaTheme="majorEastAsia"/>
                <w:color w:val="000000" w:themeColor="text1"/>
              </w:rPr>
            </w:pPr>
            <w:r>
              <w:rPr>
                <w:rFonts w:eastAsia="SimSun"/>
                <w:color w:val="000000" w:themeColor="text1"/>
              </w:rPr>
              <w:t>張代銘先生（董事長）</w:t>
            </w:r>
          </w:p>
          <w:p w:rsidR="009E68D0" w:rsidRDefault="00462B1A">
            <w:pPr>
              <w:snapToGrid w:val="0"/>
              <w:spacing w:after="0" w:line="240" w:lineRule="auto"/>
              <w:jc w:val="both"/>
              <w:rPr>
                <w:rFonts w:eastAsia="SimSun"/>
                <w:sz w:val="22"/>
                <w:lang w:eastAsia="zh-CN"/>
              </w:rPr>
            </w:pPr>
            <w:r>
              <w:rPr>
                <w:rFonts w:eastAsia="SimSun"/>
                <w:color w:val="000000" w:themeColor="text1"/>
              </w:rPr>
              <w:t>杜德平先生</w:t>
            </w:r>
          </w:p>
        </w:tc>
        <w:tc>
          <w:tcPr>
            <w:tcW w:w="4348" w:type="dxa"/>
          </w:tcPr>
          <w:p w:rsidR="009E68D0" w:rsidRDefault="00462B1A">
            <w:pPr>
              <w:snapToGrid w:val="0"/>
              <w:spacing w:after="0" w:line="240" w:lineRule="auto"/>
              <w:jc w:val="both"/>
              <w:rPr>
                <w:rFonts w:eastAsiaTheme="majorEastAsia"/>
                <w:color w:val="000000" w:themeColor="text1"/>
                <w:u w:val="single"/>
              </w:rPr>
            </w:pPr>
            <w:r>
              <w:rPr>
                <w:rFonts w:eastAsia="SimSun"/>
                <w:color w:val="000000" w:themeColor="text1"/>
                <w:u w:val="single"/>
              </w:rPr>
              <w:t>獨立非執行董事：</w:t>
            </w:r>
          </w:p>
          <w:p w:rsidR="009E68D0" w:rsidRDefault="00462B1A">
            <w:pPr>
              <w:snapToGrid w:val="0"/>
              <w:spacing w:after="0" w:line="240" w:lineRule="auto"/>
              <w:jc w:val="both"/>
              <w:rPr>
                <w:rFonts w:eastAsiaTheme="majorEastAsia"/>
                <w:color w:val="000000" w:themeColor="text1"/>
              </w:rPr>
            </w:pPr>
            <w:r>
              <w:rPr>
                <w:rFonts w:eastAsia="SimSun"/>
                <w:color w:val="000000" w:themeColor="text1"/>
              </w:rPr>
              <w:t>李文明先生</w:t>
            </w:r>
          </w:p>
          <w:p w:rsidR="009E68D0" w:rsidRDefault="00462B1A">
            <w:pPr>
              <w:snapToGrid w:val="0"/>
              <w:spacing w:after="0" w:line="240" w:lineRule="auto"/>
              <w:jc w:val="both"/>
              <w:rPr>
                <w:rFonts w:eastAsiaTheme="majorEastAsia"/>
                <w:color w:val="000000" w:themeColor="text1"/>
              </w:rPr>
            </w:pPr>
            <w:r>
              <w:rPr>
                <w:rFonts w:eastAsia="SimSun"/>
                <w:color w:val="000000" w:themeColor="text1"/>
              </w:rPr>
              <w:t>杜冠華先生</w:t>
            </w:r>
          </w:p>
          <w:p w:rsidR="009E68D0" w:rsidRDefault="00462B1A">
            <w:pPr>
              <w:snapToGrid w:val="0"/>
              <w:spacing w:after="0" w:line="240" w:lineRule="auto"/>
              <w:jc w:val="both"/>
              <w:rPr>
                <w:rFonts w:eastAsia="SimSun"/>
                <w:sz w:val="22"/>
              </w:rPr>
            </w:pPr>
            <w:r>
              <w:rPr>
                <w:rFonts w:eastAsia="SimSun"/>
                <w:color w:val="000000" w:themeColor="text1"/>
              </w:rPr>
              <w:t>陳仲戟先生</w:t>
            </w:r>
          </w:p>
        </w:tc>
      </w:tr>
      <w:tr w:rsidR="009E68D0">
        <w:tc>
          <w:tcPr>
            <w:tcW w:w="4348" w:type="dxa"/>
          </w:tcPr>
          <w:p w:rsidR="009E68D0" w:rsidRDefault="00462B1A">
            <w:pPr>
              <w:snapToGrid w:val="0"/>
              <w:spacing w:after="0" w:line="240" w:lineRule="auto"/>
              <w:jc w:val="both"/>
              <w:rPr>
                <w:rFonts w:eastAsiaTheme="majorEastAsia"/>
                <w:color w:val="000000" w:themeColor="text1"/>
                <w:u w:val="single"/>
              </w:rPr>
            </w:pPr>
            <w:r>
              <w:rPr>
                <w:rFonts w:eastAsia="SimSun"/>
                <w:color w:val="000000" w:themeColor="text1"/>
                <w:u w:val="single"/>
              </w:rPr>
              <w:t>非執行董事：</w:t>
            </w:r>
          </w:p>
          <w:p w:rsidR="009E68D0" w:rsidRDefault="00462B1A">
            <w:pPr>
              <w:snapToGrid w:val="0"/>
              <w:spacing w:after="0" w:line="240" w:lineRule="auto"/>
              <w:jc w:val="both"/>
              <w:rPr>
                <w:rFonts w:eastAsiaTheme="majorEastAsia"/>
                <w:color w:val="000000" w:themeColor="text1"/>
              </w:rPr>
            </w:pPr>
            <w:r>
              <w:rPr>
                <w:rFonts w:eastAsia="SimSun"/>
                <w:color w:val="000000" w:themeColor="text1"/>
              </w:rPr>
              <w:t>任福龍先生</w:t>
            </w:r>
          </w:p>
          <w:p w:rsidR="009E68D0" w:rsidRDefault="00462B1A">
            <w:pPr>
              <w:snapToGrid w:val="0"/>
              <w:spacing w:after="0" w:line="240" w:lineRule="auto"/>
              <w:jc w:val="both"/>
              <w:rPr>
                <w:rFonts w:eastAsiaTheme="majorEastAsia"/>
                <w:color w:val="000000" w:themeColor="text1"/>
                <w:lang w:eastAsia="zh-CN"/>
              </w:rPr>
            </w:pPr>
            <w:r>
              <w:rPr>
                <w:rFonts w:eastAsia="SimSun"/>
                <w:color w:val="000000" w:themeColor="text1"/>
                <w:lang w:eastAsia="zh-CN"/>
              </w:rPr>
              <w:t>徐列先生</w:t>
            </w:r>
          </w:p>
          <w:p w:rsidR="009E68D0" w:rsidRDefault="00462B1A">
            <w:pPr>
              <w:snapToGrid w:val="0"/>
              <w:spacing w:after="0" w:line="240" w:lineRule="auto"/>
              <w:jc w:val="both"/>
              <w:rPr>
                <w:rFonts w:eastAsia="SimSun"/>
                <w:sz w:val="22"/>
                <w:lang w:eastAsia="zh-CN"/>
              </w:rPr>
            </w:pPr>
            <w:r>
              <w:rPr>
                <w:rFonts w:eastAsia="SimSun"/>
                <w:color w:val="000000" w:themeColor="text1"/>
                <w:lang w:eastAsia="zh-CN"/>
              </w:rPr>
              <w:t>趙斌先生</w:t>
            </w:r>
          </w:p>
        </w:tc>
        <w:tc>
          <w:tcPr>
            <w:tcW w:w="4348" w:type="dxa"/>
          </w:tcPr>
          <w:p w:rsidR="009E68D0" w:rsidRDefault="009E68D0">
            <w:pPr>
              <w:snapToGrid w:val="0"/>
              <w:spacing w:after="0" w:line="240" w:lineRule="auto"/>
              <w:jc w:val="both"/>
              <w:rPr>
                <w:rFonts w:eastAsia="SimSun"/>
                <w:sz w:val="22"/>
                <w:lang w:eastAsia="zh-CN"/>
              </w:rPr>
            </w:pPr>
          </w:p>
        </w:tc>
      </w:tr>
    </w:tbl>
    <w:p w:rsidR="009E68D0" w:rsidRPr="00770754" w:rsidRDefault="00462B1A">
      <w:pPr>
        <w:snapToGrid w:val="0"/>
        <w:spacing w:after="0" w:line="240" w:lineRule="auto"/>
        <w:jc w:val="both"/>
        <w:rPr>
          <w:i/>
          <w:sz w:val="20"/>
          <w:szCs w:val="20"/>
        </w:rPr>
      </w:pPr>
      <w:r>
        <w:br/>
      </w:r>
      <w:bookmarkStart w:id="4" w:name="_GoBack"/>
      <w:r w:rsidRPr="00770754">
        <w:rPr>
          <w:rFonts w:ascii="MingLiU" w:eastAsia="MingLiU" w:hAnsi="MingLiU" w:cs="MingLiU" w:hint="eastAsia"/>
          <w:i/>
          <w:color w:val="212121"/>
          <w:shd w:val="clear" w:color="auto" w:fill="FFFFFF"/>
        </w:rPr>
        <w:t>本通告中含有</w:t>
      </w:r>
      <w:r w:rsidRPr="00770754">
        <w:rPr>
          <w:rFonts w:ascii="Arial" w:hAnsi="Arial" w:cs="Arial"/>
          <w:i/>
          <w:color w:val="212121"/>
          <w:shd w:val="clear" w:color="auto" w:fill="FFFFFF"/>
        </w:rPr>
        <w:t>“*”</w:t>
      </w:r>
      <w:r w:rsidRPr="00770754">
        <w:rPr>
          <w:rFonts w:ascii="MingLiU" w:eastAsia="MingLiU" w:hAnsi="MingLiU" w:cs="MingLiU" w:hint="eastAsia"/>
          <w:i/>
          <w:color w:val="212121"/>
          <w:shd w:val="clear" w:color="auto" w:fill="FFFFFF"/>
        </w:rPr>
        <w:t>的中文名稱或單詞的英文譯本僅供參考，不應視為該中文名稱或單詞的官方英文譯本。如本通函中所稱此類名稱或單詞與英文譯本之間不一致，以中文表達為準。</w:t>
      </w:r>
      <w:bookmarkEnd w:id="4"/>
    </w:p>
    <w:sectPr w:rsidR="009E68D0" w:rsidRPr="00770754" w:rsidSect="00E76A3C">
      <w:footerReference w:type="even" r:id="rId9"/>
      <w:footerReference w:type="default" r:id="rId10"/>
      <w:pgSz w:w="12240" w:h="15840"/>
      <w:pgMar w:top="1440" w:right="1170" w:bottom="1134" w:left="99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B0D" w:rsidRDefault="00A85B0D">
      <w:pPr>
        <w:spacing w:after="0" w:line="240" w:lineRule="auto"/>
      </w:pPr>
      <w:r>
        <w:separator/>
      </w:r>
    </w:p>
  </w:endnote>
  <w:endnote w:type="continuationSeparator" w:id="0">
    <w:p w:rsidR="00A85B0D" w:rsidRDefault="00A85B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Times LT Std">
    <w:altName w:val="宋体"/>
    <w:charset w:val="86"/>
    <w:family w:val="decorative"/>
    <w:pitch w:val="default"/>
    <w:sig w:usb0="00000000" w:usb1="0000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DFKai-SB">
    <w:panose1 w:val="03000509000000000000"/>
    <w:charset w:val="88"/>
    <w:family w:val="script"/>
    <w:pitch w:val="fixed"/>
    <w:sig w:usb0="00000003" w:usb1="080E0000"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inherit">
    <w:altName w:val="Times New Roman"/>
    <w:charset w:val="00"/>
    <w:family w:val="roman"/>
    <w:pitch w:val="default"/>
    <w:sig w:usb0="00000000" w:usb1="00000000" w:usb2="00000000" w:usb3="00000000" w:csb0="00000000"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8D0" w:rsidRDefault="00AD3614">
    <w:pPr>
      <w:pStyle w:val="a8"/>
      <w:framePr w:wrap="around" w:vAnchor="text" w:hAnchor="margin" w:xAlign="center" w:y="1"/>
      <w:rPr>
        <w:rStyle w:val="aa"/>
      </w:rPr>
    </w:pPr>
    <w:r>
      <w:rPr>
        <w:rStyle w:val="aa"/>
      </w:rPr>
      <w:fldChar w:fldCharType="begin"/>
    </w:r>
    <w:r w:rsidR="00462B1A">
      <w:rPr>
        <w:rStyle w:val="aa"/>
      </w:rPr>
      <w:instrText xml:space="preserve">PAGE  </w:instrText>
    </w:r>
    <w:r>
      <w:rPr>
        <w:rStyle w:val="aa"/>
      </w:rPr>
      <w:fldChar w:fldCharType="end"/>
    </w:r>
  </w:p>
  <w:p w:rsidR="009E68D0" w:rsidRDefault="009E68D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8D0" w:rsidRDefault="00AD3614">
    <w:pPr>
      <w:pStyle w:val="a8"/>
      <w:framePr w:wrap="around" w:vAnchor="text" w:hAnchor="margin" w:xAlign="center" w:y="1"/>
      <w:rPr>
        <w:rStyle w:val="aa"/>
      </w:rPr>
    </w:pPr>
    <w:r>
      <w:rPr>
        <w:rStyle w:val="aa"/>
      </w:rPr>
      <w:fldChar w:fldCharType="begin"/>
    </w:r>
    <w:r w:rsidR="00462B1A">
      <w:rPr>
        <w:rStyle w:val="aa"/>
      </w:rPr>
      <w:instrText xml:space="preserve">PAGE  </w:instrText>
    </w:r>
    <w:r>
      <w:rPr>
        <w:rStyle w:val="aa"/>
      </w:rPr>
      <w:fldChar w:fldCharType="separate"/>
    </w:r>
    <w:r w:rsidR="00A85B0D">
      <w:rPr>
        <w:rStyle w:val="aa"/>
        <w:noProof/>
      </w:rPr>
      <w:t>1</w:t>
    </w:r>
    <w:r>
      <w:rPr>
        <w:rStyle w:val="aa"/>
      </w:rPr>
      <w:fldChar w:fldCharType="end"/>
    </w:r>
  </w:p>
  <w:p w:rsidR="009E68D0" w:rsidRDefault="009E68D0">
    <w:pPr>
      <w:pStyle w:val="a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B0D" w:rsidRDefault="00A85B0D">
      <w:pPr>
        <w:spacing w:after="0" w:line="240" w:lineRule="auto"/>
      </w:pPr>
      <w:r>
        <w:separator/>
      </w:r>
    </w:p>
  </w:footnote>
  <w:footnote w:type="continuationSeparator" w:id="0">
    <w:p w:rsidR="00A85B0D" w:rsidRDefault="00A85B0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Formatting/>
  <w:defaultTabStop w:val="48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2BED"/>
    <w:rsid w:val="00001796"/>
    <w:rsid w:val="00062D06"/>
    <w:rsid w:val="000A0967"/>
    <w:rsid w:val="000D7169"/>
    <w:rsid w:val="001106FE"/>
    <w:rsid w:val="001729D2"/>
    <w:rsid w:val="00194AFA"/>
    <w:rsid w:val="001956A1"/>
    <w:rsid w:val="001B003B"/>
    <w:rsid w:val="00201D3F"/>
    <w:rsid w:val="002113A0"/>
    <w:rsid w:val="00240506"/>
    <w:rsid w:val="00263FDD"/>
    <w:rsid w:val="00296F92"/>
    <w:rsid w:val="0029751F"/>
    <w:rsid w:val="002A2258"/>
    <w:rsid w:val="002C1353"/>
    <w:rsid w:val="002E0741"/>
    <w:rsid w:val="00372BED"/>
    <w:rsid w:val="003A0B23"/>
    <w:rsid w:val="003C11AB"/>
    <w:rsid w:val="003E6F5D"/>
    <w:rsid w:val="00411730"/>
    <w:rsid w:val="00446130"/>
    <w:rsid w:val="0046240C"/>
    <w:rsid w:val="00462890"/>
    <w:rsid w:val="00462B1A"/>
    <w:rsid w:val="00466D3B"/>
    <w:rsid w:val="004846DD"/>
    <w:rsid w:val="00542841"/>
    <w:rsid w:val="00551ADB"/>
    <w:rsid w:val="00577914"/>
    <w:rsid w:val="00583EE2"/>
    <w:rsid w:val="00585660"/>
    <w:rsid w:val="005A1DD1"/>
    <w:rsid w:val="005F7393"/>
    <w:rsid w:val="0060495B"/>
    <w:rsid w:val="00646B06"/>
    <w:rsid w:val="0069081E"/>
    <w:rsid w:val="00690E16"/>
    <w:rsid w:val="006B42DB"/>
    <w:rsid w:val="006C6AFA"/>
    <w:rsid w:val="0071212E"/>
    <w:rsid w:val="00721F9C"/>
    <w:rsid w:val="007333C3"/>
    <w:rsid w:val="00753AB4"/>
    <w:rsid w:val="00770754"/>
    <w:rsid w:val="00775C76"/>
    <w:rsid w:val="007A5A8D"/>
    <w:rsid w:val="007D6691"/>
    <w:rsid w:val="00817256"/>
    <w:rsid w:val="008A6AB2"/>
    <w:rsid w:val="008B4FB4"/>
    <w:rsid w:val="008E5B09"/>
    <w:rsid w:val="008F0088"/>
    <w:rsid w:val="00920AA8"/>
    <w:rsid w:val="009425C6"/>
    <w:rsid w:val="00963C2C"/>
    <w:rsid w:val="00965863"/>
    <w:rsid w:val="00990B5E"/>
    <w:rsid w:val="009A1577"/>
    <w:rsid w:val="009C30A6"/>
    <w:rsid w:val="009C71FC"/>
    <w:rsid w:val="009D3D3A"/>
    <w:rsid w:val="009E68D0"/>
    <w:rsid w:val="00A1566A"/>
    <w:rsid w:val="00A239AF"/>
    <w:rsid w:val="00A85B0D"/>
    <w:rsid w:val="00A94441"/>
    <w:rsid w:val="00A9556E"/>
    <w:rsid w:val="00AB6932"/>
    <w:rsid w:val="00AD3614"/>
    <w:rsid w:val="00AD61BC"/>
    <w:rsid w:val="00AE4C52"/>
    <w:rsid w:val="00B02D7C"/>
    <w:rsid w:val="00B34C49"/>
    <w:rsid w:val="00B52C6A"/>
    <w:rsid w:val="00BE2F55"/>
    <w:rsid w:val="00C3058A"/>
    <w:rsid w:val="00C35C68"/>
    <w:rsid w:val="00D35115"/>
    <w:rsid w:val="00D373C0"/>
    <w:rsid w:val="00D4285F"/>
    <w:rsid w:val="00D51CD1"/>
    <w:rsid w:val="00D5717B"/>
    <w:rsid w:val="00D644EE"/>
    <w:rsid w:val="00D81F4F"/>
    <w:rsid w:val="00D87812"/>
    <w:rsid w:val="00DA715E"/>
    <w:rsid w:val="00DC022B"/>
    <w:rsid w:val="00DC1BE9"/>
    <w:rsid w:val="00DE6B97"/>
    <w:rsid w:val="00E165B3"/>
    <w:rsid w:val="00E47CE7"/>
    <w:rsid w:val="00E618D1"/>
    <w:rsid w:val="00E76A3C"/>
    <w:rsid w:val="00EB5351"/>
    <w:rsid w:val="00ED66DE"/>
    <w:rsid w:val="00EF74D6"/>
    <w:rsid w:val="00FB3D80"/>
    <w:rsid w:val="00FC1CB7"/>
    <w:rsid w:val="00FC4399"/>
    <w:rsid w:val="00FD1FBF"/>
    <w:rsid w:val="00FE3D0D"/>
    <w:rsid w:val="04950DB1"/>
    <w:rsid w:val="095D1D10"/>
    <w:rsid w:val="4ECB7D36"/>
    <w:rsid w:val="5A8D6FAE"/>
    <w:rsid w:val="7E4B75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uiPriority="0" w:unhideWhenUsed="0" w:qFormat="1"/>
    <w:lsdException w:name="caption" w:uiPriority="35" w:qFormat="1"/>
    <w:lsdException w:name="annotation reference" w:semiHidden="0"/>
    <w:lsdException w:name="page number" w:uiPriority="0" w:unhideWhenUsed="0"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unhideWhenUsed="0" w:qFormat="1"/>
    <w:lsdException w:name="HTML Preformatted" w:semiHidden="0" w:qFormat="1"/>
    <w:lsdException w:name="annotation subject" w:semiHidden="0"/>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A3C"/>
    <w:pPr>
      <w:widowControl w:val="0"/>
    </w:pPr>
    <w:rPr>
      <w:rFonts w:ascii="Times New Roman" w:eastAsia="Times New Roman" w:hAnsi="Times New Roman" w:cs="Times New Roman"/>
      <w:kern w:val="2"/>
      <w:sz w:val="24"/>
      <w:szCs w:val="24"/>
      <w:lang w:val="en-GB"/>
    </w:rPr>
  </w:style>
  <w:style w:type="paragraph" w:styleId="1">
    <w:name w:val="heading 1"/>
    <w:basedOn w:val="a"/>
    <w:next w:val="a"/>
    <w:link w:val="1Char"/>
    <w:uiPriority w:val="9"/>
    <w:qFormat/>
    <w:rsid w:val="00E76A3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Char"/>
    <w:uiPriority w:val="9"/>
    <w:unhideWhenUsed/>
    <w:qFormat/>
    <w:rsid w:val="00E76A3C"/>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sid w:val="00E76A3C"/>
    <w:rPr>
      <w:b/>
      <w:bCs/>
    </w:rPr>
  </w:style>
  <w:style w:type="paragraph" w:styleId="a4">
    <w:name w:val="annotation text"/>
    <w:basedOn w:val="a"/>
    <w:link w:val="Char0"/>
    <w:uiPriority w:val="99"/>
    <w:unhideWhenUsed/>
    <w:rsid w:val="00E76A3C"/>
    <w:rPr>
      <w:sz w:val="20"/>
      <w:szCs w:val="20"/>
    </w:rPr>
  </w:style>
  <w:style w:type="paragraph" w:styleId="a5">
    <w:name w:val="Body Text"/>
    <w:basedOn w:val="a"/>
    <w:link w:val="Char1"/>
    <w:uiPriority w:val="1"/>
    <w:qFormat/>
    <w:rsid w:val="00E76A3C"/>
    <w:pPr>
      <w:widowControl/>
      <w:autoSpaceDE w:val="0"/>
      <w:autoSpaceDN w:val="0"/>
      <w:adjustRightInd w:val="0"/>
      <w:spacing w:before="40"/>
      <w:ind w:left="39"/>
    </w:pPr>
    <w:rPr>
      <w:rFonts w:ascii="Times LT Std" w:eastAsiaTheme="minorEastAsia" w:hAnsi="Times LT Std" w:cs="Times LT Std"/>
      <w:kern w:val="0"/>
      <w:sz w:val="20"/>
      <w:szCs w:val="20"/>
      <w:lang w:val="en-US" w:eastAsia="zh-CN"/>
    </w:rPr>
  </w:style>
  <w:style w:type="paragraph" w:styleId="a6">
    <w:name w:val="Plain Text"/>
    <w:basedOn w:val="a"/>
    <w:link w:val="Char2"/>
    <w:semiHidden/>
    <w:qFormat/>
    <w:rsid w:val="00E76A3C"/>
    <w:pPr>
      <w:jc w:val="both"/>
    </w:pPr>
    <w:rPr>
      <w:rFonts w:ascii="SimSun" w:eastAsia="SimSun" w:hAnsi="Courier New"/>
      <w:sz w:val="21"/>
      <w:szCs w:val="20"/>
      <w:lang w:eastAsia="zh-CN"/>
    </w:rPr>
  </w:style>
  <w:style w:type="paragraph" w:styleId="a7">
    <w:name w:val="Balloon Text"/>
    <w:basedOn w:val="a"/>
    <w:link w:val="Char3"/>
    <w:uiPriority w:val="99"/>
    <w:unhideWhenUsed/>
    <w:qFormat/>
    <w:rsid w:val="00E76A3C"/>
    <w:rPr>
      <w:rFonts w:ascii="Segoe UI" w:hAnsi="Segoe UI" w:cs="Segoe UI"/>
      <w:sz w:val="18"/>
      <w:szCs w:val="18"/>
    </w:rPr>
  </w:style>
  <w:style w:type="paragraph" w:styleId="a8">
    <w:name w:val="footer"/>
    <w:basedOn w:val="a"/>
    <w:link w:val="Char4"/>
    <w:semiHidden/>
    <w:qFormat/>
    <w:rsid w:val="00E76A3C"/>
    <w:pPr>
      <w:tabs>
        <w:tab w:val="center" w:pos="4153"/>
        <w:tab w:val="right" w:pos="8306"/>
      </w:tabs>
      <w:snapToGrid w:val="0"/>
    </w:pPr>
    <w:rPr>
      <w:sz w:val="18"/>
      <w:szCs w:val="18"/>
    </w:rPr>
  </w:style>
  <w:style w:type="paragraph" w:styleId="a9">
    <w:name w:val="header"/>
    <w:basedOn w:val="a"/>
    <w:link w:val="Char5"/>
    <w:uiPriority w:val="99"/>
    <w:unhideWhenUsed/>
    <w:qFormat/>
    <w:rsid w:val="00E76A3C"/>
    <w:pPr>
      <w:tabs>
        <w:tab w:val="center" w:pos="4153"/>
        <w:tab w:val="right" w:pos="8306"/>
      </w:tabs>
      <w:snapToGrid w:val="0"/>
    </w:pPr>
    <w:rPr>
      <w:sz w:val="20"/>
      <w:szCs w:val="20"/>
    </w:rPr>
  </w:style>
  <w:style w:type="paragraph" w:styleId="HTML">
    <w:name w:val="HTML Preformatted"/>
    <w:basedOn w:val="a"/>
    <w:link w:val="HTMLChar"/>
    <w:uiPriority w:val="99"/>
    <w:unhideWhenUsed/>
    <w:qFormat/>
    <w:rsid w:val="00E76A3C"/>
    <w:rPr>
      <w:rFonts w:ascii="Consolas" w:hAnsi="Consolas" w:cs="Consolas"/>
      <w:sz w:val="20"/>
      <w:szCs w:val="20"/>
    </w:rPr>
  </w:style>
  <w:style w:type="character" w:styleId="aa">
    <w:name w:val="page number"/>
    <w:semiHidden/>
    <w:qFormat/>
    <w:rsid w:val="00E76A3C"/>
    <w:rPr>
      <w:rFonts w:cs="Times New Roman"/>
    </w:rPr>
  </w:style>
  <w:style w:type="character" w:styleId="ab">
    <w:name w:val="annotation reference"/>
    <w:basedOn w:val="a0"/>
    <w:uiPriority w:val="99"/>
    <w:unhideWhenUsed/>
    <w:rsid w:val="00E76A3C"/>
    <w:rPr>
      <w:sz w:val="16"/>
      <w:szCs w:val="16"/>
    </w:rPr>
  </w:style>
  <w:style w:type="table" w:styleId="ac">
    <w:name w:val="Table Grid"/>
    <w:basedOn w:val="a1"/>
    <w:uiPriority w:val="39"/>
    <w:qFormat/>
    <w:rsid w:val="00E76A3C"/>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ading12">
    <w:name w:val="Leading 12"/>
    <w:qFormat/>
    <w:rsid w:val="00E76A3C"/>
    <w:pPr>
      <w:widowControl w:val="0"/>
      <w:tabs>
        <w:tab w:val="left" w:pos="340"/>
        <w:tab w:val="left" w:pos="680"/>
        <w:tab w:val="left" w:pos="1020"/>
        <w:tab w:val="left" w:pos="1361"/>
      </w:tabs>
      <w:autoSpaceDE w:val="0"/>
      <w:autoSpaceDN w:val="0"/>
      <w:adjustRightInd w:val="0"/>
      <w:spacing w:line="182" w:lineRule="atLeast"/>
      <w:jc w:val="both"/>
    </w:pPr>
    <w:rPr>
      <w:rFonts w:ascii="Times" w:eastAsia="Times New Roman" w:hAnsi="Times" w:cs="Times New Roman"/>
      <w:sz w:val="10"/>
      <w:szCs w:val="10"/>
    </w:rPr>
  </w:style>
  <w:style w:type="paragraph" w:customStyle="1" w:styleId="Leading06">
    <w:name w:val="Leading 06"/>
    <w:qFormat/>
    <w:rsid w:val="00E76A3C"/>
    <w:pPr>
      <w:widowControl w:val="0"/>
      <w:tabs>
        <w:tab w:val="left" w:pos="340"/>
        <w:tab w:val="left" w:pos="680"/>
        <w:tab w:val="left" w:pos="1020"/>
        <w:tab w:val="left" w:pos="1361"/>
      </w:tabs>
      <w:autoSpaceDE w:val="0"/>
      <w:autoSpaceDN w:val="0"/>
      <w:adjustRightInd w:val="0"/>
      <w:spacing w:line="180" w:lineRule="atLeast"/>
      <w:jc w:val="both"/>
    </w:pPr>
    <w:rPr>
      <w:rFonts w:ascii="Times" w:eastAsia="Times New Roman" w:hAnsi="Times" w:cs="Times New Roman"/>
      <w:sz w:val="10"/>
      <w:szCs w:val="10"/>
    </w:rPr>
  </w:style>
  <w:style w:type="paragraph" w:customStyle="1" w:styleId="BodyText1">
    <w:name w:val="Body Text1"/>
    <w:qFormat/>
    <w:rsid w:val="00E76A3C"/>
    <w:pPr>
      <w:widowControl w:val="0"/>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s>
      <w:autoSpaceDE w:val="0"/>
      <w:autoSpaceDN w:val="0"/>
      <w:adjustRightInd w:val="0"/>
      <w:spacing w:line="200" w:lineRule="atLeast"/>
      <w:ind w:left="340"/>
      <w:jc w:val="both"/>
    </w:pPr>
    <w:rPr>
      <w:rFonts w:ascii="Times" w:eastAsia="Times New Roman" w:hAnsi="Times" w:cs="Times New Roman"/>
      <w:color w:val="000000"/>
      <w:sz w:val="17"/>
      <w:szCs w:val="17"/>
    </w:rPr>
  </w:style>
  <w:style w:type="paragraph" w:customStyle="1" w:styleId="Subhead1">
    <w:name w:val="Subhead 1"/>
    <w:basedOn w:val="a"/>
    <w:qFormat/>
    <w:rsid w:val="00E76A3C"/>
    <w:pPr>
      <w:tabs>
        <w:tab w:val="left" w:pos="340"/>
        <w:tab w:val="left" w:pos="680"/>
        <w:tab w:val="left" w:pos="1020"/>
        <w:tab w:val="left" w:pos="1361"/>
      </w:tabs>
      <w:autoSpaceDE w:val="0"/>
      <w:autoSpaceDN w:val="0"/>
      <w:adjustRightInd w:val="0"/>
      <w:spacing w:line="240" w:lineRule="atLeast"/>
      <w:ind w:left="340" w:hanging="340"/>
    </w:pPr>
    <w:rPr>
      <w:rFonts w:ascii="Times" w:hAnsi="Times"/>
      <w:b/>
      <w:bCs/>
      <w:caps/>
      <w:kern w:val="0"/>
      <w:sz w:val="18"/>
      <w:szCs w:val="18"/>
      <w:lang w:val="en-US"/>
    </w:rPr>
  </w:style>
  <w:style w:type="character" w:customStyle="1" w:styleId="Char2">
    <w:name w:val="纯文本 Char"/>
    <w:basedOn w:val="a0"/>
    <w:link w:val="a6"/>
    <w:semiHidden/>
    <w:qFormat/>
    <w:rsid w:val="00E76A3C"/>
    <w:rPr>
      <w:rFonts w:ascii="SimSun" w:eastAsia="SimSun" w:hAnsi="Courier New" w:cs="Times New Roman"/>
      <w:sz w:val="21"/>
      <w:szCs w:val="20"/>
      <w:lang w:val="en-GB" w:eastAsia="zh-CN"/>
    </w:rPr>
  </w:style>
  <w:style w:type="character" w:customStyle="1" w:styleId="Char4">
    <w:name w:val="页脚 Char"/>
    <w:basedOn w:val="a0"/>
    <w:link w:val="a8"/>
    <w:semiHidden/>
    <w:qFormat/>
    <w:rsid w:val="00E76A3C"/>
    <w:rPr>
      <w:rFonts w:ascii="Times New Roman" w:eastAsia="Times New Roman" w:hAnsi="Times New Roman" w:cs="Times New Roman"/>
      <w:sz w:val="18"/>
      <w:szCs w:val="18"/>
      <w:lang w:val="en-GB"/>
    </w:rPr>
  </w:style>
  <w:style w:type="character" w:customStyle="1" w:styleId="Char1">
    <w:name w:val="正文文本 Char"/>
    <w:basedOn w:val="a0"/>
    <w:link w:val="a5"/>
    <w:uiPriority w:val="1"/>
    <w:qFormat/>
    <w:rsid w:val="00E76A3C"/>
    <w:rPr>
      <w:rFonts w:ascii="Times LT Std" w:hAnsi="Times LT Std" w:cs="Times LT Std"/>
      <w:kern w:val="0"/>
      <w:sz w:val="20"/>
      <w:szCs w:val="20"/>
      <w:lang w:eastAsia="zh-CN"/>
    </w:rPr>
  </w:style>
  <w:style w:type="paragraph" w:customStyle="1" w:styleId="TableParagraph">
    <w:name w:val="Table Paragraph"/>
    <w:basedOn w:val="a"/>
    <w:uiPriority w:val="1"/>
    <w:qFormat/>
    <w:rsid w:val="00E76A3C"/>
    <w:pPr>
      <w:widowControl/>
      <w:autoSpaceDE w:val="0"/>
      <w:autoSpaceDN w:val="0"/>
      <w:adjustRightInd w:val="0"/>
    </w:pPr>
    <w:rPr>
      <w:rFonts w:eastAsiaTheme="minorEastAsia"/>
      <w:kern w:val="0"/>
      <w:lang w:val="en-US" w:eastAsia="zh-CN"/>
    </w:rPr>
  </w:style>
  <w:style w:type="paragraph" w:customStyle="1" w:styleId="ListParagraph1">
    <w:name w:val="List Paragraph1"/>
    <w:basedOn w:val="a"/>
    <w:uiPriority w:val="34"/>
    <w:qFormat/>
    <w:rsid w:val="00E76A3C"/>
    <w:pPr>
      <w:widowControl/>
      <w:spacing w:after="160" w:line="259" w:lineRule="auto"/>
      <w:ind w:left="720"/>
      <w:contextualSpacing/>
    </w:pPr>
    <w:rPr>
      <w:rFonts w:asciiTheme="minorHAnsi" w:eastAsiaTheme="minorEastAsia" w:hAnsiTheme="minorHAnsi" w:cstheme="minorBidi"/>
      <w:kern w:val="0"/>
      <w:sz w:val="22"/>
      <w:szCs w:val="22"/>
      <w:lang w:val="en-US" w:eastAsia="zh-CN"/>
    </w:rPr>
  </w:style>
  <w:style w:type="character" w:customStyle="1" w:styleId="Char0">
    <w:name w:val="批注文字 Char"/>
    <w:basedOn w:val="a0"/>
    <w:link w:val="a4"/>
    <w:uiPriority w:val="99"/>
    <w:semiHidden/>
    <w:rsid w:val="00E76A3C"/>
    <w:rPr>
      <w:rFonts w:ascii="Times New Roman" w:eastAsia="Times New Roman" w:hAnsi="Times New Roman" w:cs="Times New Roman"/>
      <w:sz w:val="20"/>
      <w:szCs w:val="20"/>
      <w:lang w:val="en-GB"/>
    </w:rPr>
  </w:style>
  <w:style w:type="character" w:customStyle="1" w:styleId="Char">
    <w:name w:val="批注主题 Char"/>
    <w:basedOn w:val="Char0"/>
    <w:link w:val="a3"/>
    <w:uiPriority w:val="99"/>
    <w:semiHidden/>
    <w:rsid w:val="00E76A3C"/>
    <w:rPr>
      <w:rFonts w:ascii="Times New Roman" w:eastAsia="Times New Roman" w:hAnsi="Times New Roman" w:cs="Times New Roman"/>
      <w:b/>
      <w:bCs/>
      <w:sz w:val="20"/>
      <w:szCs w:val="20"/>
      <w:lang w:val="en-GB"/>
    </w:rPr>
  </w:style>
  <w:style w:type="character" w:customStyle="1" w:styleId="Char3">
    <w:name w:val="批注框文本 Char"/>
    <w:basedOn w:val="a0"/>
    <w:link w:val="a7"/>
    <w:uiPriority w:val="99"/>
    <w:semiHidden/>
    <w:qFormat/>
    <w:rsid w:val="00E76A3C"/>
    <w:rPr>
      <w:rFonts w:ascii="Segoe UI" w:eastAsia="Times New Roman" w:hAnsi="Segoe UI" w:cs="Segoe UI"/>
      <w:sz w:val="18"/>
      <w:szCs w:val="18"/>
      <w:lang w:val="en-GB"/>
    </w:rPr>
  </w:style>
  <w:style w:type="character" w:customStyle="1" w:styleId="Char5">
    <w:name w:val="页眉 Char"/>
    <w:basedOn w:val="a0"/>
    <w:link w:val="a9"/>
    <w:uiPriority w:val="99"/>
    <w:qFormat/>
    <w:rsid w:val="00E76A3C"/>
    <w:rPr>
      <w:rFonts w:ascii="Times New Roman" w:eastAsia="Times New Roman" w:hAnsi="Times New Roman" w:cs="Times New Roman"/>
      <w:sz w:val="20"/>
      <w:szCs w:val="20"/>
      <w:lang w:val="en-GB"/>
    </w:rPr>
  </w:style>
  <w:style w:type="character" w:customStyle="1" w:styleId="1Char">
    <w:name w:val="标题 1 Char"/>
    <w:basedOn w:val="a0"/>
    <w:link w:val="1"/>
    <w:uiPriority w:val="9"/>
    <w:qFormat/>
    <w:rsid w:val="00E76A3C"/>
    <w:rPr>
      <w:rFonts w:asciiTheme="majorHAnsi" w:eastAsiaTheme="majorEastAsia" w:hAnsiTheme="majorHAnsi" w:cstheme="majorBidi"/>
      <w:b/>
      <w:bCs/>
      <w:color w:val="2E74B5" w:themeColor="accent1" w:themeShade="BF"/>
      <w:sz w:val="28"/>
      <w:szCs w:val="28"/>
      <w:lang w:val="en-GB"/>
    </w:rPr>
  </w:style>
  <w:style w:type="character" w:customStyle="1" w:styleId="HTMLChar">
    <w:name w:val="HTML 预设格式 Char"/>
    <w:basedOn w:val="a0"/>
    <w:link w:val="HTML"/>
    <w:uiPriority w:val="99"/>
    <w:semiHidden/>
    <w:qFormat/>
    <w:rsid w:val="00E76A3C"/>
    <w:rPr>
      <w:rFonts w:ascii="Consolas" w:eastAsia="Times New Roman" w:hAnsi="Consolas" w:cs="Consolas"/>
      <w:sz w:val="20"/>
      <w:szCs w:val="20"/>
      <w:lang w:val="en-GB"/>
    </w:rPr>
  </w:style>
  <w:style w:type="character" w:customStyle="1" w:styleId="3Char">
    <w:name w:val="标题 3 Char"/>
    <w:basedOn w:val="a0"/>
    <w:link w:val="3"/>
    <w:uiPriority w:val="9"/>
    <w:semiHidden/>
    <w:qFormat/>
    <w:rsid w:val="00E76A3C"/>
    <w:rPr>
      <w:rFonts w:asciiTheme="majorHAnsi" w:eastAsiaTheme="majorEastAsia" w:hAnsiTheme="majorHAnsi" w:cstheme="majorBidi"/>
      <w:b/>
      <w:bCs/>
      <w:color w:val="5B9BD5" w:themeColor="accent1"/>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AD4862-DFDA-4031-8C50-38125B1D9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148</Words>
  <Characters>845</Characters>
  <Application>Microsoft Office Word</Application>
  <DocSecurity>0</DocSecurity>
  <Lines>7</Lines>
  <Paragraphs>1</Paragraphs>
  <ScaleCrop>false</ScaleCrop>
  <Company/>
  <LinksUpToDate>false</LinksUpToDate>
  <CharactersWithSpaces>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Ip</dc:creator>
  <cp:lastModifiedBy>王修国</cp:lastModifiedBy>
  <cp:revision>10</cp:revision>
  <dcterms:created xsi:type="dcterms:W3CDTF">2017-09-28T07:27:00Z</dcterms:created>
  <dcterms:modified xsi:type="dcterms:W3CDTF">2017-09-29T06:37:00Z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