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74" w:rsidRPr="00FB2412" w:rsidRDefault="00C47C74" w:rsidP="00C47C74">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C47C74" w:rsidRPr="00F436AF" w:rsidRDefault="00C47C74" w:rsidP="00C47C74">
      <w:pPr>
        <w:autoSpaceDE w:val="0"/>
        <w:autoSpaceDN w:val="0"/>
        <w:adjustRightInd w:val="0"/>
        <w:rPr>
          <w:rFonts w:ascii="宋体" w:hAnsi="宋体"/>
          <w:i/>
          <w:color w:val="231F20"/>
          <w:kern w:val="0"/>
          <w:szCs w:val="21"/>
        </w:rPr>
      </w:pPr>
    </w:p>
    <w:p w:rsidR="00C47C74" w:rsidRDefault="00C47C74" w:rsidP="00C47C74">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C47C74" w:rsidRDefault="00C47C74" w:rsidP="00C47C74">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C47C74" w:rsidRDefault="00C47C74" w:rsidP="00C47C74">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C47C74" w:rsidRDefault="00C47C74" w:rsidP="00C47C74">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C47C74" w:rsidRDefault="00C47C74" w:rsidP="00C47C74">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C47C74" w:rsidRDefault="00C47C74" w:rsidP="00C47C74">
      <w:pPr>
        <w:autoSpaceDE w:val="0"/>
        <w:autoSpaceDN w:val="0"/>
        <w:adjustRightInd w:val="0"/>
        <w:jc w:val="center"/>
        <w:rPr>
          <w:rFonts w:ascii="宋体" w:hAnsi="宋体"/>
          <w:color w:val="231F20"/>
          <w:kern w:val="0"/>
          <w:sz w:val="20"/>
          <w:szCs w:val="20"/>
          <w:lang w:eastAsia="zh-TW"/>
        </w:rPr>
      </w:pPr>
    </w:p>
    <w:p w:rsidR="00C47C74" w:rsidRDefault="00C47C74" w:rsidP="00C47C74">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C47C74" w:rsidRPr="00ED2714" w:rsidRDefault="00C47C74" w:rsidP="00C47C74">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C47C74" w:rsidTr="0065182C">
        <w:trPr>
          <w:trHeight w:val="686"/>
        </w:trPr>
        <w:tc>
          <w:tcPr>
            <w:tcW w:w="8280" w:type="dxa"/>
          </w:tcPr>
          <w:p w:rsidR="00C47C74" w:rsidRDefault="00C47C74" w:rsidP="0065182C">
            <w:pPr>
              <w:autoSpaceDE w:val="0"/>
              <w:autoSpaceDN w:val="0"/>
              <w:adjustRightInd w:val="0"/>
              <w:rPr>
                <w:rFonts w:ascii="宋体" w:hAnsi="宋体"/>
                <w:color w:val="231F20"/>
                <w:kern w:val="0"/>
                <w:szCs w:val="21"/>
                <w:lang w:eastAsia="zh-TW"/>
              </w:rPr>
            </w:pPr>
          </w:p>
          <w:p w:rsidR="00C47C74" w:rsidRDefault="00C47C74" w:rsidP="0065182C">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C47C74" w:rsidRDefault="00C47C74" w:rsidP="00C47C74">
      <w:pPr>
        <w:autoSpaceDE w:val="0"/>
        <w:autoSpaceDN w:val="0"/>
        <w:adjustRightInd w:val="0"/>
        <w:rPr>
          <w:rFonts w:ascii="宋体" w:hAnsi="宋体"/>
          <w:color w:val="231F20"/>
          <w:kern w:val="0"/>
          <w:szCs w:val="21"/>
          <w:lang w:eastAsia="zh-TW"/>
        </w:rPr>
      </w:pPr>
    </w:p>
    <w:p w:rsidR="00C47C74" w:rsidRPr="00D2066B" w:rsidRDefault="00C47C74" w:rsidP="00C47C74">
      <w:pPr>
        <w:widowControl/>
        <w:spacing w:line="288" w:lineRule="auto"/>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11</w:t>
      </w:r>
      <w:r w:rsidRPr="007708CF">
        <w:rPr>
          <w:rFonts w:ascii="宋体" w:eastAsia="PMingLiU" w:hAnsi="宋体" w:hint="eastAsia"/>
          <w:color w:val="231F20"/>
          <w:kern w:val="0"/>
          <w:szCs w:val="21"/>
          <w:lang w:eastAsia="zh-TW"/>
        </w:rPr>
        <w:t>月</w:t>
      </w:r>
      <w:r w:rsidR="003344EB">
        <w:rPr>
          <w:rFonts w:ascii="宋体" w:hAnsi="宋体" w:hint="eastAsia"/>
          <w:color w:val="231F20"/>
          <w:kern w:val="0"/>
          <w:szCs w:val="21"/>
        </w:rPr>
        <w:t>11</w:t>
      </w:r>
      <w:r w:rsidRPr="007708CF">
        <w:rPr>
          <w:rFonts w:ascii="宋体" w:eastAsia="PMingLiU" w:hAnsi="宋体" w:hint="eastAsia"/>
          <w:color w:val="231F20"/>
          <w:kern w:val="0"/>
          <w:szCs w:val="21"/>
          <w:lang w:eastAsia="zh-TW"/>
        </w:rPr>
        <w:t>日在</w:t>
      </w:r>
      <w:r w:rsidRPr="002E3A6E">
        <w:rPr>
          <w:rFonts w:ascii="宋体" w:eastAsia="PMingLiU" w:hAnsi="宋体" w:hint="eastAsia"/>
          <w:color w:val="231F20"/>
          <w:kern w:val="0"/>
          <w:szCs w:val="21"/>
          <w:lang w:eastAsia="zh-TW"/>
        </w:rPr>
        <w:t>《證券時報》及</w:t>
      </w:r>
      <w:r w:rsidRPr="007708CF">
        <w:rPr>
          <w:rFonts w:ascii="宋体" w:eastAsia="PMingLiU" w:hAnsi="宋体" w:hint="eastAsia"/>
          <w:color w:val="231F20"/>
          <w:kern w:val="0"/>
          <w:szCs w:val="21"/>
          <w:lang w:eastAsia="zh-TW"/>
        </w:rPr>
        <w:t>巨潮資訊網（</w:t>
      </w:r>
      <w:hyperlink r:id="rId5"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w:t>
      </w:r>
      <w:r w:rsidR="003344EB" w:rsidRPr="007708CF">
        <w:rPr>
          <w:rFonts w:ascii="宋体" w:eastAsia="PMingLiU" w:hAnsi="宋体" w:hint="eastAsia"/>
          <w:color w:val="231F20"/>
          <w:kern w:val="0"/>
          <w:szCs w:val="21"/>
          <w:lang w:eastAsia="zh-TW"/>
        </w:rPr>
        <w:t>刊登本公司</w:t>
      </w:r>
      <w:r w:rsidR="003344EB" w:rsidRPr="003344EB">
        <w:rPr>
          <w:rFonts w:ascii="宋体" w:eastAsia="PMingLiU" w:hAnsi="宋体" w:hint="eastAsia"/>
          <w:color w:val="231F20"/>
          <w:kern w:val="0"/>
          <w:szCs w:val="21"/>
          <w:lang w:eastAsia="zh-TW"/>
        </w:rPr>
        <w:t>《關於收到</w:t>
      </w:r>
      <w:r w:rsidR="003344EB" w:rsidRPr="003344EB">
        <w:rPr>
          <w:rFonts w:ascii="宋体" w:eastAsia="PMingLiU" w:hAnsi="宋体"/>
          <w:color w:val="231F20"/>
          <w:kern w:val="0"/>
          <w:szCs w:val="21"/>
          <w:lang w:eastAsia="zh-TW"/>
        </w:rPr>
        <w:t>&lt;</w:t>
      </w:r>
      <w:r w:rsidR="003344EB" w:rsidRPr="003344EB">
        <w:rPr>
          <w:rFonts w:ascii="宋体" w:eastAsia="PMingLiU" w:hAnsi="宋体" w:hint="eastAsia"/>
          <w:color w:val="231F20"/>
          <w:kern w:val="0"/>
          <w:szCs w:val="21"/>
          <w:lang w:eastAsia="zh-TW"/>
        </w:rPr>
        <w:t>中國證監會行政許可申請恢復審查通知書</w:t>
      </w:r>
      <w:r w:rsidR="003344EB" w:rsidRPr="003344EB">
        <w:rPr>
          <w:rFonts w:ascii="宋体" w:eastAsia="PMingLiU" w:hAnsi="宋体"/>
          <w:color w:val="231F20"/>
          <w:kern w:val="0"/>
          <w:szCs w:val="21"/>
          <w:lang w:eastAsia="zh-TW"/>
        </w:rPr>
        <w:t>&gt;</w:t>
      </w:r>
      <w:r w:rsidR="003344EB" w:rsidRPr="003344EB">
        <w:rPr>
          <w:rFonts w:ascii="宋体" w:eastAsia="PMingLiU" w:hAnsi="宋体" w:hint="eastAsia"/>
          <w:color w:val="231F20"/>
          <w:kern w:val="0"/>
          <w:szCs w:val="21"/>
          <w:lang w:eastAsia="zh-TW"/>
        </w:rPr>
        <w:t>的公告</w:t>
      </w:r>
      <w:r w:rsidR="003344EB" w:rsidRPr="002E3A6E">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C47C74" w:rsidRDefault="00C47C74" w:rsidP="00C47C74">
      <w:pPr>
        <w:autoSpaceDE w:val="0"/>
        <w:autoSpaceDN w:val="0"/>
        <w:adjustRightInd w:val="0"/>
        <w:rPr>
          <w:rFonts w:ascii="宋体" w:hAnsi="宋体"/>
          <w:color w:val="231F20"/>
          <w:kern w:val="0"/>
          <w:szCs w:val="21"/>
        </w:rPr>
      </w:pPr>
    </w:p>
    <w:p w:rsidR="00C47C74" w:rsidRDefault="00C47C74" w:rsidP="00C47C74">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r w:rsidR="004C3B13">
        <w:rPr>
          <w:rFonts w:ascii="宋体" w:hAnsi="宋体" w:hint="eastAsia"/>
          <w:color w:val="231F20"/>
          <w:kern w:val="0"/>
          <w:szCs w:val="21"/>
        </w:rPr>
        <w:t xml:space="preserve"> </w:t>
      </w:r>
      <w:r w:rsidRPr="007708CF">
        <w:rPr>
          <w:rFonts w:ascii="宋体" w:eastAsia="PMingLiU" w:hAnsi="宋体" w:hint="eastAsia"/>
          <w:color w:val="231F20"/>
          <w:kern w:val="0"/>
          <w:szCs w:val="21"/>
          <w:lang w:eastAsia="zh-TW"/>
        </w:rPr>
        <w:t>承董事會命</w:t>
      </w:r>
    </w:p>
    <w:p w:rsidR="00C47C74" w:rsidRDefault="00C47C74" w:rsidP="00C47C74">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C47C74" w:rsidRPr="000E58DC" w:rsidRDefault="00C47C74" w:rsidP="00C47C74">
      <w:pPr>
        <w:autoSpaceDE w:val="0"/>
        <w:autoSpaceDN w:val="0"/>
        <w:adjustRightInd w:val="0"/>
        <w:ind w:right="420"/>
        <w:jc w:val="right"/>
        <w:rPr>
          <w:rFonts w:ascii="宋体" w:hAnsi="宋体"/>
          <w:color w:val="231F20"/>
          <w:kern w:val="0"/>
          <w:szCs w:val="21"/>
        </w:rPr>
      </w:pPr>
      <w:r w:rsidRPr="000E58DC">
        <w:rPr>
          <w:rFonts w:ascii="宋体" w:eastAsia="PMingLiU" w:hAnsi="宋体" w:hint="eastAsia"/>
          <w:color w:val="231F20"/>
          <w:kern w:val="0"/>
          <w:szCs w:val="21"/>
          <w:lang w:eastAsia="zh-TW"/>
        </w:rPr>
        <w:t>張代銘</w:t>
      </w:r>
    </w:p>
    <w:p w:rsidR="00C47C74" w:rsidRDefault="00C47C74" w:rsidP="00C47C74">
      <w:pPr>
        <w:autoSpaceDE w:val="0"/>
        <w:autoSpaceDN w:val="0"/>
        <w:adjustRightInd w:val="0"/>
        <w:ind w:right="42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C47C74" w:rsidRDefault="00C47C74" w:rsidP="00C47C74">
      <w:pPr>
        <w:autoSpaceDE w:val="0"/>
        <w:autoSpaceDN w:val="0"/>
        <w:adjustRightInd w:val="0"/>
        <w:rPr>
          <w:rFonts w:ascii="宋体" w:hAnsi="宋体"/>
          <w:color w:val="231F20"/>
          <w:kern w:val="0"/>
          <w:szCs w:val="21"/>
          <w:lang w:eastAsia="zh-TW"/>
        </w:rPr>
      </w:pPr>
    </w:p>
    <w:p w:rsidR="00C47C74" w:rsidRDefault="00C47C74" w:rsidP="00C47C74">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0E58DC">
        <w:rPr>
          <w:rFonts w:ascii="宋体" w:eastAsia="PMingLiU" w:hAnsi="宋体" w:hint="eastAsia"/>
          <w:color w:val="231F20"/>
          <w:kern w:val="0"/>
          <w:szCs w:val="21"/>
          <w:lang w:eastAsia="zh-TW"/>
        </w:rPr>
        <w:t>一</w:t>
      </w:r>
      <w:r w:rsidRPr="002E3A6E">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C47C74">
        <w:rPr>
          <w:rFonts w:ascii="宋体" w:eastAsia="PMingLiU" w:hAnsi="宋体" w:hint="eastAsia"/>
          <w:color w:val="231F20"/>
          <w:kern w:val="0"/>
          <w:szCs w:val="21"/>
          <w:lang w:eastAsia="zh-TW"/>
        </w:rPr>
        <w:t>十一</w:t>
      </w:r>
      <w:r w:rsidR="003344EB" w:rsidRPr="007708CF">
        <w:rPr>
          <w:rFonts w:ascii="宋体" w:eastAsia="PMingLiU" w:hAnsi="宋体" w:hint="eastAsia"/>
          <w:color w:val="231F20"/>
          <w:kern w:val="0"/>
          <w:szCs w:val="21"/>
          <w:lang w:eastAsia="zh-TW"/>
        </w:rPr>
        <w:t>月</w:t>
      </w:r>
      <w:r w:rsidR="003344EB" w:rsidRPr="003344EB">
        <w:rPr>
          <w:rFonts w:ascii="宋体" w:eastAsia="PMingLiU" w:hAnsi="宋体" w:hint="eastAsia"/>
          <w:color w:val="231F20"/>
          <w:kern w:val="0"/>
          <w:szCs w:val="21"/>
          <w:lang w:eastAsia="zh-TW"/>
        </w:rPr>
        <w:t>十</w:t>
      </w:r>
      <w:r w:rsidR="003344EB" w:rsidRPr="007708CF">
        <w:rPr>
          <w:rFonts w:ascii="宋体" w:eastAsia="PMingLiU" w:hAnsi="宋体" w:hint="eastAsia"/>
          <w:color w:val="231F20"/>
          <w:kern w:val="0"/>
          <w:szCs w:val="21"/>
          <w:lang w:eastAsia="zh-TW"/>
        </w:rPr>
        <w:t>日</w:t>
      </w:r>
    </w:p>
    <w:p w:rsidR="00C47C74" w:rsidRPr="00D07EF3" w:rsidRDefault="00C47C74" w:rsidP="00C47C74">
      <w:pPr>
        <w:autoSpaceDE w:val="0"/>
        <w:autoSpaceDN w:val="0"/>
        <w:adjustRightInd w:val="0"/>
        <w:rPr>
          <w:rFonts w:ascii="宋体" w:hAnsi="宋体"/>
          <w:color w:val="231F20"/>
          <w:kern w:val="0"/>
          <w:szCs w:val="21"/>
          <w:lang w:eastAsia="zh-TW"/>
        </w:rPr>
      </w:pPr>
    </w:p>
    <w:p w:rsidR="00C47C74" w:rsidRDefault="00336C17" w:rsidP="00C47C74">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C47C74" w:rsidRDefault="00C47C74" w:rsidP="00C47C74">
                  <w:pPr>
                    <w:rPr>
                      <w:sz w:val="16"/>
                      <w:szCs w:val="16"/>
                    </w:rPr>
                  </w:pPr>
                </w:p>
              </w:txbxContent>
            </v:textbox>
          </v:shape>
        </w:pict>
      </w:r>
      <w:r w:rsidR="00C47C74">
        <w:rPr>
          <w:rFonts w:eastAsia="PMingLiU" w:hint="eastAsia"/>
          <w:lang w:eastAsia="zh-TW"/>
        </w:rPr>
        <w:t>於本公告日期，本公司董事會之成員如下：</w:t>
      </w:r>
    </w:p>
    <w:p w:rsidR="00C47C74" w:rsidRDefault="00C47C74" w:rsidP="00C47C74">
      <w:pPr>
        <w:kinsoku w:val="0"/>
        <w:snapToGrid w:val="0"/>
      </w:pPr>
    </w:p>
    <w:tbl>
      <w:tblPr>
        <w:tblW w:w="0" w:type="auto"/>
        <w:tblLook w:val="01E0"/>
      </w:tblPr>
      <w:tblGrid>
        <w:gridCol w:w="2840"/>
        <w:gridCol w:w="2841"/>
        <w:gridCol w:w="2841"/>
      </w:tblGrid>
      <w:tr w:rsidR="00C47C74" w:rsidTr="0065182C">
        <w:tc>
          <w:tcPr>
            <w:tcW w:w="2840" w:type="dxa"/>
          </w:tcPr>
          <w:p w:rsidR="00C47C74" w:rsidRDefault="00C47C74" w:rsidP="0065182C">
            <w:pPr>
              <w:kinsoku w:val="0"/>
              <w:snapToGrid w:val="0"/>
            </w:pPr>
            <w:r>
              <w:rPr>
                <w:rFonts w:eastAsia="PMingLiU" w:hint="eastAsia"/>
                <w:lang w:eastAsia="zh-TW"/>
              </w:rPr>
              <w:t>執行董事</w:t>
            </w:r>
          </w:p>
        </w:tc>
        <w:tc>
          <w:tcPr>
            <w:tcW w:w="2841" w:type="dxa"/>
          </w:tcPr>
          <w:p w:rsidR="00C47C74" w:rsidRDefault="00C47C74" w:rsidP="0065182C">
            <w:pPr>
              <w:kinsoku w:val="0"/>
              <w:snapToGrid w:val="0"/>
            </w:pPr>
            <w:r>
              <w:rPr>
                <w:rFonts w:eastAsia="PMingLiU" w:hint="eastAsia"/>
                <w:lang w:eastAsia="zh-TW"/>
              </w:rPr>
              <w:t>非執行董事</w:t>
            </w:r>
          </w:p>
        </w:tc>
        <w:tc>
          <w:tcPr>
            <w:tcW w:w="2841" w:type="dxa"/>
          </w:tcPr>
          <w:p w:rsidR="00C47C74" w:rsidRDefault="00C47C74" w:rsidP="0065182C">
            <w:pPr>
              <w:kinsoku w:val="0"/>
              <w:snapToGrid w:val="0"/>
            </w:pPr>
            <w:r>
              <w:rPr>
                <w:rFonts w:eastAsia="PMingLiU" w:hint="eastAsia"/>
                <w:lang w:eastAsia="zh-TW"/>
              </w:rPr>
              <w:t>獨立非執行董事</w:t>
            </w:r>
          </w:p>
        </w:tc>
      </w:tr>
      <w:tr w:rsidR="00C47C74" w:rsidTr="0065182C">
        <w:tc>
          <w:tcPr>
            <w:tcW w:w="2840" w:type="dxa"/>
          </w:tcPr>
          <w:p w:rsidR="00C47C74" w:rsidRDefault="00C47C74" w:rsidP="0065182C">
            <w:pPr>
              <w:kinsoku w:val="0"/>
              <w:snapToGrid w:val="0"/>
            </w:pPr>
            <w:smartTag w:uri="urn:schemas-microsoft-com:office:smarttags" w:element="PersonName">
              <w:smartTagPr>
                <w:attr w:name="ProductID" w:val="張代銘"/>
              </w:smartTagPr>
              <w:r w:rsidRPr="000E58DC">
                <w:rPr>
                  <w:rFonts w:eastAsia="PMingLiU" w:hint="eastAsia"/>
                  <w:lang w:eastAsia="zh-TW"/>
                </w:rPr>
                <w:t>張代銘</w:t>
              </w:r>
            </w:smartTag>
            <w:r w:rsidRPr="000E58DC">
              <w:rPr>
                <w:rFonts w:eastAsia="PMingLiU" w:hint="eastAsia"/>
                <w:lang w:eastAsia="zh-TW"/>
              </w:rPr>
              <w:t>先生</w:t>
            </w:r>
            <w:r>
              <w:rPr>
                <w:rFonts w:eastAsia="PMingLiU" w:hint="eastAsia"/>
                <w:lang w:eastAsia="zh-TW"/>
              </w:rPr>
              <w:t>（董事長）</w:t>
            </w:r>
          </w:p>
        </w:tc>
        <w:tc>
          <w:tcPr>
            <w:tcW w:w="2841" w:type="dxa"/>
          </w:tcPr>
          <w:p w:rsidR="00C47C74" w:rsidRDefault="00C47C74" w:rsidP="0065182C">
            <w:pPr>
              <w:kinsoku w:val="0"/>
              <w:snapToGrid w:val="0"/>
            </w:pPr>
            <w:r>
              <w:rPr>
                <w:rFonts w:eastAsia="PMingLiU" w:hint="eastAsia"/>
                <w:lang w:eastAsia="zh-TW"/>
              </w:rPr>
              <w:t>任福龍先生</w:t>
            </w:r>
          </w:p>
        </w:tc>
        <w:tc>
          <w:tcPr>
            <w:tcW w:w="2841" w:type="dxa"/>
          </w:tcPr>
          <w:p w:rsidR="00C47C74" w:rsidRDefault="00C47C74" w:rsidP="0065182C">
            <w:pPr>
              <w:kinsoku w:val="0"/>
              <w:snapToGrid w:val="0"/>
            </w:pPr>
            <w:r w:rsidRPr="005D3C4C">
              <w:rPr>
                <w:rFonts w:eastAsia="PMingLiU" w:hint="eastAsia"/>
                <w:lang w:eastAsia="zh-TW"/>
              </w:rPr>
              <w:t>杜冠華</w:t>
            </w:r>
            <w:r>
              <w:rPr>
                <w:rFonts w:eastAsia="PMingLiU" w:hint="eastAsia"/>
                <w:lang w:eastAsia="zh-TW"/>
              </w:rPr>
              <w:t>先生</w:t>
            </w:r>
          </w:p>
        </w:tc>
      </w:tr>
      <w:tr w:rsidR="00C47C74" w:rsidTr="0065182C">
        <w:tc>
          <w:tcPr>
            <w:tcW w:w="2840" w:type="dxa"/>
          </w:tcPr>
          <w:p w:rsidR="00C47C74" w:rsidRDefault="00C47C74" w:rsidP="0065182C">
            <w:pPr>
              <w:kinsoku w:val="0"/>
              <w:snapToGrid w:val="0"/>
            </w:pPr>
            <w:r w:rsidRPr="000E58DC">
              <w:rPr>
                <w:rFonts w:eastAsia="PMingLiU" w:hint="eastAsia"/>
                <w:lang w:eastAsia="zh-TW"/>
              </w:rPr>
              <w:t>杜德平先生</w:t>
            </w:r>
          </w:p>
        </w:tc>
        <w:tc>
          <w:tcPr>
            <w:tcW w:w="2841" w:type="dxa"/>
          </w:tcPr>
          <w:p w:rsidR="00C47C74" w:rsidRDefault="00C47C74" w:rsidP="0065182C">
            <w:pPr>
              <w:kinsoku w:val="0"/>
              <w:snapToGrid w:val="0"/>
            </w:pPr>
            <w:r w:rsidRPr="000E58DC">
              <w:rPr>
                <w:rFonts w:eastAsia="PMingLiU" w:hint="eastAsia"/>
                <w:lang w:eastAsia="zh-TW"/>
              </w:rPr>
              <w:t>徐</w:t>
            </w:r>
            <w:r w:rsidRPr="000E58DC">
              <w:rPr>
                <w:rFonts w:eastAsia="PMingLiU"/>
                <w:lang w:eastAsia="zh-TW"/>
              </w:rPr>
              <w:t xml:space="preserve">  </w:t>
            </w:r>
            <w:r w:rsidRPr="000E58DC">
              <w:rPr>
                <w:rFonts w:eastAsia="PMingLiU" w:hint="eastAsia"/>
                <w:lang w:eastAsia="zh-TW"/>
              </w:rPr>
              <w:t>列</w:t>
            </w:r>
            <w:r>
              <w:rPr>
                <w:rFonts w:eastAsia="PMingLiU" w:hint="eastAsia"/>
                <w:lang w:eastAsia="zh-TW"/>
              </w:rPr>
              <w:t>先生</w:t>
            </w:r>
          </w:p>
        </w:tc>
        <w:tc>
          <w:tcPr>
            <w:tcW w:w="2841" w:type="dxa"/>
          </w:tcPr>
          <w:p w:rsidR="00C47C74" w:rsidRDefault="00C47C74" w:rsidP="0065182C">
            <w:pPr>
              <w:kinsoku w:val="0"/>
              <w:snapToGrid w:val="0"/>
            </w:pPr>
            <w:r w:rsidRPr="005D3C4C">
              <w:rPr>
                <w:rFonts w:eastAsia="PMingLiU" w:hint="eastAsia"/>
                <w:lang w:eastAsia="zh-TW"/>
              </w:rPr>
              <w:t>李文明</w:t>
            </w:r>
            <w:r>
              <w:rPr>
                <w:rFonts w:eastAsia="PMingLiU" w:hint="eastAsia"/>
                <w:lang w:eastAsia="zh-TW"/>
              </w:rPr>
              <w:t>先生</w:t>
            </w:r>
          </w:p>
        </w:tc>
      </w:tr>
      <w:tr w:rsidR="00C47C74" w:rsidTr="0065182C">
        <w:tc>
          <w:tcPr>
            <w:tcW w:w="2840" w:type="dxa"/>
          </w:tcPr>
          <w:p w:rsidR="00C47C74" w:rsidRDefault="00C47C74" w:rsidP="0065182C">
            <w:pPr>
              <w:kinsoku w:val="0"/>
              <w:snapToGrid w:val="0"/>
            </w:pPr>
          </w:p>
        </w:tc>
        <w:tc>
          <w:tcPr>
            <w:tcW w:w="2841" w:type="dxa"/>
          </w:tcPr>
          <w:p w:rsidR="00C47C74" w:rsidRDefault="00ED5BE8" w:rsidP="0065182C">
            <w:pPr>
              <w:kinsoku w:val="0"/>
              <w:snapToGrid w:val="0"/>
            </w:pPr>
            <w:r w:rsidRPr="00ED5BE8">
              <w:rPr>
                <w:rFonts w:eastAsia="PMingLiU" w:hint="eastAsia"/>
                <w:lang w:eastAsia="zh-TW"/>
              </w:rPr>
              <w:t>趙</w:t>
            </w:r>
            <w:r w:rsidRPr="00ED5BE8">
              <w:rPr>
                <w:rFonts w:eastAsia="PMingLiU"/>
                <w:lang w:eastAsia="zh-TW"/>
              </w:rPr>
              <w:t xml:space="preserve">  </w:t>
            </w:r>
            <w:r w:rsidRPr="00ED5BE8">
              <w:rPr>
                <w:rFonts w:eastAsia="PMingLiU" w:hint="eastAsia"/>
                <w:lang w:eastAsia="zh-TW"/>
              </w:rPr>
              <w:t>斌先生</w:t>
            </w:r>
          </w:p>
        </w:tc>
        <w:tc>
          <w:tcPr>
            <w:tcW w:w="2841" w:type="dxa"/>
          </w:tcPr>
          <w:p w:rsidR="00C47C74" w:rsidRDefault="00C47C74" w:rsidP="0065182C">
            <w:pPr>
              <w:kinsoku w:val="0"/>
              <w:snapToGrid w:val="0"/>
            </w:pPr>
            <w:r w:rsidRPr="00987E61">
              <w:rPr>
                <w:rFonts w:eastAsia="PMingLiU" w:hint="eastAsia"/>
                <w:lang w:eastAsia="zh-TW"/>
              </w:rPr>
              <w:t>陳仲戟</w:t>
            </w:r>
            <w:r>
              <w:rPr>
                <w:rFonts w:eastAsia="PMingLiU" w:hint="eastAsia"/>
                <w:lang w:eastAsia="zh-TW"/>
              </w:rPr>
              <w:t>先生</w:t>
            </w:r>
          </w:p>
        </w:tc>
      </w:tr>
      <w:tr w:rsidR="00C47C74" w:rsidTr="0065182C">
        <w:tc>
          <w:tcPr>
            <w:tcW w:w="2840" w:type="dxa"/>
          </w:tcPr>
          <w:p w:rsidR="00C47C74" w:rsidRDefault="00C47C74" w:rsidP="0065182C">
            <w:pPr>
              <w:kinsoku w:val="0"/>
              <w:snapToGrid w:val="0"/>
            </w:pPr>
          </w:p>
        </w:tc>
        <w:tc>
          <w:tcPr>
            <w:tcW w:w="2841" w:type="dxa"/>
          </w:tcPr>
          <w:p w:rsidR="00C47C74" w:rsidRDefault="00C47C74" w:rsidP="0065182C">
            <w:pPr>
              <w:kinsoku w:val="0"/>
              <w:snapToGrid w:val="0"/>
            </w:pPr>
          </w:p>
        </w:tc>
        <w:tc>
          <w:tcPr>
            <w:tcW w:w="2841" w:type="dxa"/>
          </w:tcPr>
          <w:p w:rsidR="00C47C74" w:rsidRDefault="00C47C74" w:rsidP="0065182C">
            <w:pPr>
              <w:kinsoku w:val="0"/>
              <w:snapToGrid w:val="0"/>
            </w:pPr>
          </w:p>
        </w:tc>
      </w:tr>
    </w:tbl>
    <w:p w:rsidR="00C47C74" w:rsidRDefault="00C47C74" w:rsidP="00C47C74"/>
    <w:p w:rsidR="003344EB" w:rsidRDefault="00C47C74" w:rsidP="003344EB">
      <w:pPr>
        <w:widowControl/>
        <w:spacing w:line="288" w:lineRule="auto"/>
        <w:jc w:val="center"/>
        <w:rPr>
          <w:sz w:val="24"/>
        </w:rPr>
      </w:pPr>
      <w:r>
        <w:br w:type="page"/>
      </w:r>
      <w:r w:rsidR="003344EB" w:rsidRPr="00F4240C">
        <w:rPr>
          <w:sz w:val="24"/>
        </w:rPr>
        <w:lastRenderedPageBreak/>
        <w:t>证券代码</w:t>
      </w:r>
      <w:r w:rsidR="003344EB" w:rsidRPr="00F4240C">
        <w:rPr>
          <w:rFonts w:hint="eastAsia"/>
          <w:sz w:val="24"/>
        </w:rPr>
        <w:t>：</w:t>
      </w:r>
      <w:r w:rsidR="00504B78">
        <w:rPr>
          <w:rFonts w:hint="eastAsia"/>
          <w:sz w:val="24"/>
        </w:rPr>
        <w:t xml:space="preserve">000756        </w:t>
      </w:r>
      <w:r w:rsidR="003344EB" w:rsidRPr="00F4240C">
        <w:rPr>
          <w:rFonts w:hint="eastAsia"/>
          <w:sz w:val="24"/>
        </w:rPr>
        <w:t>证券简称：新华制药</w:t>
      </w:r>
      <w:r w:rsidR="003344EB">
        <w:rPr>
          <w:rFonts w:hint="eastAsia"/>
          <w:sz w:val="24"/>
        </w:rPr>
        <w:t xml:space="preserve">  </w:t>
      </w:r>
      <w:r w:rsidR="00504B78">
        <w:rPr>
          <w:rFonts w:hint="eastAsia"/>
          <w:sz w:val="24"/>
        </w:rPr>
        <w:t xml:space="preserve">   </w:t>
      </w:r>
      <w:r w:rsidR="003344EB">
        <w:rPr>
          <w:rFonts w:hint="eastAsia"/>
          <w:sz w:val="24"/>
        </w:rPr>
        <w:t xml:space="preserve"> </w:t>
      </w:r>
      <w:r w:rsidR="003344EB">
        <w:rPr>
          <w:rFonts w:hint="eastAsia"/>
          <w:sz w:val="24"/>
        </w:rPr>
        <w:t>公告</w:t>
      </w:r>
      <w:r w:rsidR="003344EB" w:rsidRPr="00F4240C">
        <w:rPr>
          <w:rFonts w:hint="eastAsia"/>
          <w:sz w:val="24"/>
        </w:rPr>
        <w:t>编号：</w:t>
      </w:r>
      <w:r w:rsidR="003344EB" w:rsidRPr="00F4240C">
        <w:rPr>
          <w:rFonts w:hint="eastAsia"/>
          <w:sz w:val="24"/>
        </w:rPr>
        <w:t>201</w:t>
      </w:r>
      <w:r w:rsidR="003344EB">
        <w:rPr>
          <w:sz w:val="24"/>
        </w:rPr>
        <w:t>6</w:t>
      </w:r>
      <w:r w:rsidR="003344EB" w:rsidRPr="00F4240C">
        <w:rPr>
          <w:rFonts w:hint="eastAsia"/>
          <w:sz w:val="24"/>
        </w:rPr>
        <w:t>-</w:t>
      </w:r>
      <w:r w:rsidR="003344EB">
        <w:rPr>
          <w:rFonts w:hint="eastAsia"/>
          <w:sz w:val="24"/>
        </w:rPr>
        <w:t xml:space="preserve"> 53</w:t>
      </w:r>
    </w:p>
    <w:p w:rsidR="003344EB" w:rsidRPr="00F4240C" w:rsidRDefault="003344EB" w:rsidP="003344EB">
      <w:pPr>
        <w:widowControl/>
        <w:spacing w:line="288" w:lineRule="auto"/>
        <w:rPr>
          <w:sz w:val="24"/>
        </w:rPr>
      </w:pPr>
    </w:p>
    <w:p w:rsidR="003344EB" w:rsidRPr="00F4240C" w:rsidRDefault="003344EB" w:rsidP="003344EB">
      <w:pPr>
        <w:widowControl/>
        <w:spacing w:line="288" w:lineRule="auto"/>
        <w:jc w:val="center"/>
        <w:outlineLvl w:val="0"/>
        <w:rPr>
          <w:sz w:val="28"/>
          <w:szCs w:val="28"/>
        </w:rPr>
      </w:pPr>
      <w:r w:rsidRPr="00F4240C">
        <w:rPr>
          <w:rFonts w:hint="eastAsia"/>
          <w:b/>
          <w:sz w:val="28"/>
          <w:szCs w:val="28"/>
        </w:rPr>
        <w:t>山东新华制药股份有限公司</w:t>
      </w:r>
    </w:p>
    <w:p w:rsidR="003344EB" w:rsidRPr="002F7990" w:rsidRDefault="003344EB" w:rsidP="003344EB">
      <w:pPr>
        <w:widowControl/>
        <w:spacing w:line="288" w:lineRule="auto"/>
        <w:jc w:val="center"/>
        <w:rPr>
          <w:b/>
          <w:sz w:val="28"/>
          <w:szCs w:val="28"/>
        </w:rPr>
      </w:pPr>
      <w:r w:rsidRPr="002F7990">
        <w:rPr>
          <w:rFonts w:hint="eastAsia"/>
          <w:b/>
          <w:sz w:val="28"/>
          <w:szCs w:val="28"/>
        </w:rPr>
        <w:t>关于收到《中国证监会行政许可申请恢复审查通知书》的公告</w:t>
      </w:r>
    </w:p>
    <w:p w:rsidR="003344EB" w:rsidRPr="002F7990" w:rsidRDefault="003344EB" w:rsidP="003344EB">
      <w:pPr>
        <w:widowControl/>
        <w:spacing w:line="288" w:lineRule="auto"/>
        <w:jc w:val="center"/>
        <w:rPr>
          <w:sz w:val="24"/>
        </w:rPr>
      </w:pPr>
    </w:p>
    <w:p w:rsidR="003344EB" w:rsidRPr="00597302" w:rsidRDefault="003344EB" w:rsidP="003344EB">
      <w:pPr>
        <w:spacing w:line="420" w:lineRule="exact"/>
        <w:ind w:firstLineChars="200" w:firstLine="480"/>
        <w:rPr>
          <w:rFonts w:ascii="华文楷体" w:eastAsia="华文楷体" w:hAnsi="华文楷体"/>
          <w:sz w:val="24"/>
        </w:rPr>
      </w:pPr>
      <w:r w:rsidRPr="00597302">
        <w:rPr>
          <w:rFonts w:ascii="华文楷体" w:eastAsia="华文楷体" w:hAnsi="华文楷体" w:hint="eastAsia"/>
          <w:sz w:val="24"/>
        </w:rPr>
        <w:t>本公司董事会及全体董事保证本公告内容不存在任何虚假记载、误导性陈述或者重大遗漏，并对其内容的真实性、准确性和完整性承担个别及连带责任。</w:t>
      </w:r>
    </w:p>
    <w:p w:rsidR="003344EB" w:rsidRPr="00E375E3" w:rsidRDefault="003344EB" w:rsidP="003344EB">
      <w:pPr>
        <w:widowControl/>
        <w:spacing w:line="288" w:lineRule="auto"/>
        <w:ind w:firstLineChars="200" w:firstLine="480"/>
        <w:rPr>
          <w:sz w:val="24"/>
        </w:rPr>
      </w:pPr>
    </w:p>
    <w:p w:rsidR="003344EB" w:rsidRDefault="003344EB" w:rsidP="003344EB">
      <w:pPr>
        <w:widowControl/>
        <w:spacing w:line="288" w:lineRule="auto"/>
        <w:ind w:firstLineChars="200" w:firstLine="480"/>
        <w:rPr>
          <w:sz w:val="24"/>
        </w:rPr>
      </w:pPr>
      <w:r>
        <w:rPr>
          <w:rFonts w:hint="eastAsia"/>
          <w:sz w:val="24"/>
        </w:rPr>
        <w:t>山东新华制药股份有限公司（“公司”）于</w:t>
      </w:r>
      <w:r>
        <w:rPr>
          <w:rFonts w:hint="eastAsia"/>
          <w:sz w:val="24"/>
        </w:rPr>
        <w:t>2016</w:t>
      </w:r>
      <w:r>
        <w:rPr>
          <w:rFonts w:hint="eastAsia"/>
          <w:sz w:val="24"/>
        </w:rPr>
        <w:t>年</w:t>
      </w:r>
      <w:r w:rsidRPr="002F7990">
        <w:rPr>
          <w:rFonts w:hint="eastAsia"/>
          <w:sz w:val="24"/>
        </w:rPr>
        <w:t>4</w:t>
      </w:r>
      <w:r w:rsidRPr="002F7990">
        <w:rPr>
          <w:rFonts w:hint="eastAsia"/>
          <w:sz w:val="24"/>
        </w:rPr>
        <w:t>月</w:t>
      </w:r>
      <w:r w:rsidRPr="002F7990">
        <w:rPr>
          <w:rFonts w:hint="eastAsia"/>
          <w:sz w:val="24"/>
        </w:rPr>
        <w:t>11</w:t>
      </w:r>
      <w:r w:rsidRPr="002F7990">
        <w:rPr>
          <w:rFonts w:hint="eastAsia"/>
          <w:sz w:val="24"/>
        </w:rPr>
        <w:t>日向中国证券监督管理委员会（“中国证监会”）申报了公司非公开发行</w:t>
      </w:r>
      <w:r w:rsidRPr="002F7990">
        <w:rPr>
          <w:rFonts w:hint="eastAsia"/>
          <w:sz w:val="24"/>
        </w:rPr>
        <w:t>A</w:t>
      </w:r>
      <w:r w:rsidRPr="002F7990">
        <w:rPr>
          <w:rFonts w:hint="eastAsia"/>
          <w:sz w:val="24"/>
        </w:rPr>
        <w:t>股股票申请文件。</w:t>
      </w:r>
      <w:r w:rsidRPr="002F7990">
        <w:rPr>
          <w:rFonts w:hint="eastAsia"/>
          <w:sz w:val="24"/>
        </w:rPr>
        <w:t>2016</w:t>
      </w:r>
      <w:r w:rsidRPr="002F7990">
        <w:rPr>
          <w:rFonts w:hint="eastAsia"/>
          <w:sz w:val="24"/>
        </w:rPr>
        <w:t>年</w:t>
      </w:r>
      <w:r w:rsidRPr="002F7990">
        <w:rPr>
          <w:rFonts w:hint="eastAsia"/>
          <w:sz w:val="24"/>
        </w:rPr>
        <w:t>4</w:t>
      </w:r>
      <w:r w:rsidRPr="002F7990">
        <w:rPr>
          <w:rFonts w:hint="eastAsia"/>
          <w:sz w:val="24"/>
        </w:rPr>
        <w:t>月</w:t>
      </w:r>
      <w:r w:rsidRPr="002F7990">
        <w:rPr>
          <w:rFonts w:hint="eastAsia"/>
          <w:sz w:val="24"/>
        </w:rPr>
        <w:t>15</w:t>
      </w:r>
      <w:r w:rsidRPr="002F7990">
        <w:rPr>
          <w:rFonts w:hint="eastAsia"/>
          <w:sz w:val="24"/>
        </w:rPr>
        <w:t>日，公司收到中国证监会下发的《</w:t>
      </w:r>
      <w:r w:rsidRPr="002F7990">
        <w:rPr>
          <w:sz w:val="24"/>
        </w:rPr>
        <w:t>中国证监会行政许可申请受理通知书</w:t>
      </w:r>
      <w:r w:rsidRPr="002F7990">
        <w:rPr>
          <w:rFonts w:hint="eastAsia"/>
          <w:sz w:val="24"/>
        </w:rPr>
        <w:t>》（</w:t>
      </w:r>
      <w:r w:rsidRPr="002F7990">
        <w:rPr>
          <w:sz w:val="24"/>
        </w:rPr>
        <w:t>160757</w:t>
      </w:r>
      <w:r w:rsidRPr="002F7990">
        <w:rPr>
          <w:rFonts w:hint="eastAsia"/>
          <w:sz w:val="24"/>
        </w:rPr>
        <w:t>号）。</w:t>
      </w:r>
      <w:r w:rsidRPr="002F7990">
        <w:rPr>
          <w:rFonts w:hint="eastAsia"/>
          <w:sz w:val="24"/>
        </w:rPr>
        <w:t>2016</w:t>
      </w:r>
      <w:r w:rsidRPr="002F7990">
        <w:rPr>
          <w:rFonts w:hint="eastAsia"/>
          <w:sz w:val="24"/>
        </w:rPr>
        <w:t>年</w:t>
      </w:r>
      <w:r w:rsidRPr="002F7990">
        <w:rPr>
          <w:rFonts w:hint="eastAsia"/>
          <w:sz w:val="24"/>
        </w:rPr>
        <w:t>5</w:t>
      </w:r>
      <w:r w:rsidRPr="002F7990">
        <w:rPr>
          <w:rFonts w:hint="eastAsia"/>
          <w:sz w:val="24"/>
        </w:rPr>
        <w:t>月</w:t>
      </w:r>
      <w:r w:rsidRPr="002F7990">
        <w:rPr>
          <w:rFonts w:hint="eastAsia"/>
          <w:sz w:val="24"/>
        </w:rPr>
        <w:t>4</w:t>
      </w:r>
      <w:r w:rsidRPr="002F7990">
        <w:rPr>
          <w:rFonts w:hint="eastAsia"/>
          <w:sz w:val="24"/>
        </w:rPr>
        <w:t>日，公司收到中国证监会于</w:t>
      </w:r>
      <w:r w:rsidRPr="002F7990">
        <w:rPr>
          <w:rFonts w:hint="eastAsia"/>
          <w:sz w:val="24"/>
        </w:rPr>
        <w:t>2016</w:t>
      </w:r>
      <w:r w:rsidRPr="002F7990">
        <w:rPr>
          <w:rFonts w:hint="eastAsia"/>
          <w:sz w:val="24"/>
        </w:rPr>
        <w:t>年</w:t>
      </w:r>
      <w:r w:rsidRPr="002F7990">
        <w:rPr>
          <w:rFonts w:hint="eastAsia"/>
          <w:sz w:val="24"/>
        </w:rPr>
        <w:t>5</w:t>
      </w:r>
      <w:r w:rsidRPr="002F7990">
        <w:rPr>
          <w:rFonts w:hint="eastAsia"/>
          <w:sz w:val="24"/>
        </w:rPr>
        <w:t>月</w:t>
      </w:r>
      <w:r w:rsidRPr="002F7990">
        <w:rPr>
          <w:rFonts w:hint="eastAsia"/>
          <w:sz w:val="24"/>
        </w:rPr>
        <w:t>3</w:t>
      </w:r>
      <w:r w:rsidRPr="002F7990">
        <w:rPr>
          <w:rFonts w:hint="eastAsia"/>
          <w:sz w:val="24"/>
        </w:rPr>
        <w:t>日下发的《中国证监会行政许可项目审查反馈意见通知书》（</w:t>
      </w:r>
      <w:r w:rsidRPr="002F7990">
        <w:rPr>
          <w:rFonts w:hint="eastAsia"/>
          <w:sz w:val="24"/>
        </w:rPr>
        <w:t>160757</w:t>
      </w:r>
      <w:r w:rsidRPr="002F7990">
        <w:rPr>
          <w:rFonts w:hint="eastAsia"/>
          <w:sz w:val="24"/>
        </w:rPr>
        <w:t>号，以下简称“《反馈意见》”）。</w:t>
      </w:r>
    </w:p>
    <w:p w:rsidR="003344EB" w:rsidRDefault="003344EB" w:rsidP="003344EB">
      <w:pPr>
        <w:widowControl/>
        <w:spacing w:line="288" w:lineRule="auto"/>
        <w:ind w:firstLineChars="200" w:firstLine="480"/>
        <w:rPr>
          <w:sz w:val="24"/>
        </w:rPr>
      </w:pPr>
      <w:r w:rsidRPr="002F7990">
        <w:rPr>
          <w:rFonts w:hint="eastAsia"/>
          <w:sz w:val="24"/>
        </w:rPr>
        <w:t>公司于</w:t>
      </w:r>
      <w:r w:rsidRPr="002F7990">
        <w:rPr>
          <w:rFonts w:hint="eastAsia"/>
          <w:sz w:val="24"/>
        </w:rPr>
        <w:t>2016</w:t>
      </w:r>
      <w:r w:rsidRPr="002F7990">
        <w:rPr>
          <w:rFonts w:hint="eastAsia"/>
          <w:sz w:val="24"/>
        </w:rPr>
        <w:t>年</w:t>
      </w:r>
      <w:r w:rsidRPr="002F7990">
        <w:rPr>
          <w:rFonts w:hint="eastAsia"/>
          <w:sz w:val="24"/>
        </w:rPr>
        <w:t>5</w:t>
      </w:r>
      <w:r w:rsidRPr="002F7990">
        <w:rPr>
          <w:rFonts w:hint="eastAsia"/>
          <w:sz w:val="24"/>
        </w:rPr>
        <w:t>月</w:t>
      </w:r>
      <w:r w:rsidRPr="002F7990">
        <w:rPr>
          <w:rFonts w:hint="eastAsia"/>
          <w:sz w:val="24"/>
        </w:rPr>
        <w:t>23</w:t>
      </w:r>
      <w:r w:rsidRPr="002F7990">
        <w:rPr>
          <w:rFonts w:hint="eastAsia"/>
          <w:sz w:val="24"/>
        </w:rPr>
        <w:t>日向中国证监会提交了延期至</w:t>
      </w:r>
      <w:r w:rsidRPr="002F7990">
        <w:rPr>
          <w:rFonts w:hint="eastAsia"/>
          <w:sz w:val="24"/>
        </w:rPr>
        <w:t>2016</w:t>
      </w:r>
      <w:r w:rsidRPr="002F7990">
        <w:rPr>
          <w:rFonts w:hint="eastAsia"/>
          <w:sz w:val="24"/>
        </w:rPr>
        <w:t>年</w:t>
      </w:r>
      <w:r w:rsidRPr="002F7990">
        <w:rPr>
          <w:rFonts w:hint="eastAsia"/>
          <w:sz w:val="24"/>
        </w:rPr>
        <w:t>6</w:t>
      </w:r>
      <w:r w:rsidRPr="002F7990">
        <w:rPr>
          <w:rFonts w:hint="eastAsia"/>
          <w:sz w:val="24"/>
        </w:rPr>
        <w:t>月</w:t>
      </w:r>
      <w:r w:rsidRPr="002F7990">
        <w:rPr>
          <w:rFonts w:hint="eastAsia"/>
          <w:sz w:val="24"/>
        </w:rPr>
        <w:t>30</w:t>
      </w:r>
      <w:r w:rsidRPr="002F7990">
        <w:rPr>
          <w:rFonts w:hint="eastAsia"/>
          <w:sz w:val="24"/>
        </w:rPr>
        <w:t>日前提交反馈意见回复的申请。由于《反馈意见》中涉及的部分事项仍需进一步落实，预计无法按时提交反馈意见回复等相关文件</w:t>
      </w:r>
      <w:r>
        <w:rPr>
          <w:rFonts w:hint="eastAsia"/>
          <w:sz w:val="24"/>
        </w:rPr>
        <w:t>，</w:t>
      </w:r>
      <w:r w:rsidRPr="002F7990">
        <w:rPr>
          <w:rFonts w:hint="eastAsia"/>
          <w:sz w:val="24"/>
        </w:rPr>
        <w:t>本着认真落实中国证监会反馈意见的原则，经与保荐机构审慎研究，公司向中国证监会报送了《关于中止山东新华制药股份有限公司非公开发行股票申请文件审核的申请》</w:t>
      </w:r>
      <w:r>
        <w:rPr>
          <w:rFonts w:hint="eastAsia"/>
          <w:sz w:val="24"/>
        </w:rPr>
        <w:t>。</w:t>
      </w:r>
      <w:r>
        <w:rPr>
          <w:rFonts w:hint="eastAsia"/>
          <w:sz w:val="24"/>
        </w:rPr>
        <w:t>2016</w:t>
      </w:r>
      <w:r>
        <w:rPr>
          <w:rFonts w:hint="eastAsia"/>
          <w:sz w:val="24"/>
        </w:rPr>
        <w:t>年</w:t>
      </w:r>
      <w:r>
        <w:rPr>
          <w:rFonts w:hint="eastAsia"/>
          <w:sz w:val="24"/>
        </w:rPr>
        <w:t>7</w:t>
      </w:r>
      <w:r>
        <w:rPr>
          <w:rFonts w:hint="eastAsia"/>
          <w:sz w:val="24"/>
        </w:rPr>
        <w:t>月</w:t>
      </w:r>
      <w:r>
        <w:rPr>
          <w:rFonts w:hint="eastAsia"/>
          <w:sz w:val="24"/>
        </w:rPr>
        <w:t>14</w:t>
      </w:r>
      <w:r>
        <w:rPr>
          <w:rFonts w:hint="eastAsia"/>
          <w:sz w:val="24"/>
        </w:rPr>
        <w:t>日，公司收到了中国证监会签发的《中国证监会行政许可申请中止审查通知书》（</w:t>
      </w:r>
      <w:r>
        <w:rPr>
          <w:rFonts w:hint="eastAsia"/>
          <w:sz w:val="24"/>
        </w:rPr>
        <w:t>160757</w:t>
      </w:r>
      <w:r>
        <w:rPr>
          <w:rFonts w:hint="eastAsia"/>
          <w:sz w:val="24"/>
        </w:rPr>
        <w:t>号），中国证监会根据《中国证券监督管理委员会行政许可实施程序规定》第二十二条的有关规定，决定同意公司中止审查申请。</w:t>
      </w:r>
    </w:p>
    <w:p w:rsidR="003344EB" w:rsidRDefault="003344EB" w:rsidP="003344EB">
      <w:pPr>
        <w:widowControl/>
        <w:spacing w:line="288" w:lineRule="auto"/>
        <w:ind w:firstLineChars="200" w:firstLine="480"/>
        <w:rPr>
          <w:sz w:val="24"/>
        </w:rPr>
      </w:pPr>
    </w:p>
    <w:p w:rsidR="003344EB" w:rsidRDefault="003344EB" w:rsidP="003344EB">
      <w:pPr>
        <w:widowControl/>
        <w:spacing w:line="288" w:lineRule="auto"/>
        <w:ind w:firstLineChars="200" w:firstLine="480"/>
        <w:rPr>
          <w:sz w:val="24"/>
        </w:rPr>
      </w:pPr>
      <w:r>
        <w:rPr>
          <w:rFonts w:hint="eastAsia"/>
          <w:sz w:val="24"/>
        </w:rPr>
        <w:t>公司已于</w:t>
      </w:r>
      <w:r>
        <w:rPr>
          <w:rFonts w:hint="eastAsia"/>
          <w:sz w:val="24"/>
        </w:rPr>
        <w:t>2016</w:t>
      </w:r>
      <w:r>
        <w:rPr>
          <w:rFonts w:hint="eastAsia"/>
          <w:sz w:val="24"/>
        </w:rPr>
        <w:t>年</w:t>
      </w:r>
      <w:r>
        <w:rPr>
          <w:rFonts w:hint="eastAsia"/>
          <w:sz w:val="24"/>
        </w:rPr>
        <w:t>9</w:t>
      </w:r>
      <w:r>
        <w:rPr>
          <w:rFonts w:hint="eastAsia"/>
          <w:sz w:val="24"/>
        </w:rPr>
        <w:t>月</w:t>
      </w:r>
      <w:r>
        <w:rPr>
          <w:rFonts w:hint="eastAsia"/>
          <w:sz w:val="24"/>
        </w:rPr>
        <w:t>14</w:t>
      </w:r>
      <w:r>
        <w:rPr>
          <w:rFonts w:hint="eastAsia"/>
          <w:sz w:val="24"/>
        </w:rPr>
        <w:t>日召开第八届董事会</w:t>
      </w:r>
      <w:r>
        <w:rPr>
          <w:rFonts w:hint="eastAsia"/>
          <w:sz w:val="24"/>
        </w:rPr>
        <w:t>2016</w:t>
      </w:r>
      <w:r>
        <w:rPr>
          <w:rFonts w:hint="eastAsia"/>
          <w:sz w:val="24"/>
        </w:rPr>
        <w:t>年第四次临时会议，审议通过了有关再次调整非公开发行</w:t>
      </w:r>
      <w:r>
        <w:rPr>
          <w:rFonts w:hint="eastAsia"/>
          <w:sz w:val="24"/>
        </w:rPr>
        <w:t>A</w:t>
      </w:r>
      <w:r>
        <w:rPr>
          <w:rFonts w:hint="eastAsia"/>
          <w:sz w:val="24"/>
        </w:rPr>
        <w:t>股股票方案事项。</w:t>
      </w:r>
      <w:r>
        <w:rPr>
          <w:rFonts w:hint="eastAsia"/>
          <w:sz w:val="24"/>
        </w:rPr>
        <w:t>2016</w:t>
      </w:r>
      <w:r>
        <w:rPr>
          <w:rFonts w:hint="eastAsia"/>
          <w:sz w:val="24"/>
        </w:rPr>
        <w:t>年</w:t>
      </w:r>
      <w:r>
        <w:rPr>
          <w:rFonts w:hint="eastAsia"/>
          <w:sz w:val="24"/>
        </w:rPr>
        <w:t>9</w:t>
      </w:r>
      <w:r>
        <w:rPr>
          <w:rFonts w:hint="eastAsia"/>
          <w:sz w:val="24"/>
        </w:rPr>
        <w:t>月</w:t>
      </w:r>
      <w:r>
        <w:rPr>
          <w:rFonts w:hint="eastAsia"/>
          <w:sz w:val="24"/>
        </w:rPr>
        <w:t>28</w:t>
      </w:r>
      <w:r>
        <w:rPr>
          <w:rFonts w:hint="eastAsia"/>
          <w:sz w:val="24"/>
        </w:rPr>
        <w:t>日，公司再次调整的非公开发行股票方案获山东省国有资产监督管理委员会同意。</w:t>
      </w:r>
      <w:r>
        <w:rPr>
          <w:rFonts w:hint="eastAsia"/>
          <w:sz w:val="24"/>
        </w:rPr>
        <w:t>2016</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日，公司在巨潮资讯网（</w:t>
      </w:r>
      <w:hyperlink r:id="rId6" w:history="1">
        <w:r w:rsidRPr="009D7486">
          <w:rPr>
            <w:rStyle w:val="a3"/>
            <w:rFonts w:hint="eastAsia"/>
            <w:sz w:val="24"/>
          </w:rPr>
          <w:t>www.cninfo.com.cn</w:t>
        </w:r>
      </w:hyperlink>
      <w:r>
        <w:rPr>
          <w:rFonts w:hint="eastAsia"/>
          <w:sz w:val="24"/>
        </w:rPr>
        <w:t>）上披露了《关于对公司非公开发行股票申请文件反馈意见的回复》等公告，并及时向中国证监会提交了关于恢复审核公司非公开发行</w:t>
      </w:r>
      <w:r>
        <w:rPr>
          <w:rFonts w:hint="eastAsia"/>
          <w:sz w:val="24"/>
        </w:rPr>
        <w:t>A</w:t>
      </w:r>
      <w:r>
        <w:rPr>
          <w:rFonts w:hint="eastAsia"/>
          <w:sz w:val="24"/>
        </w:rPr>
        <w:t>股股票申请文件的请示。</w:t>
      </w:r>
    </w:p>
    <w:p w:rsidR="003344EB" w:rsidRDefault="003344EB" w:rsidP="003344EB">
      <w:pPr>
        <w:widowControl/>
        <w:spacing w:line="288" w:lineRule="auto"/>
        <w:ind w:firstLineChars="200" w:firstLine="480"/>
        <w:rPr>
          <w:sz w:val="24"/>
        </w:rPr>
      </w:pPr>
    </w:p>
    <w:p w:rsidR="003344EB" w:rsidRDefault="003344EB" w:rsidP="003344EB">
      <w:pPr>
        <w:widowControl/>
        <w:spacing w:line="288" w:lineRule="auto"/>
        <w:ind w:firstLineChars="200" w:firstLine="480"/>
        <w:rPr>
          <w:sz w:val="24"/>
        </w:rPr>
      </w:pPr>
      <w:r>
        <w:rPr>
          <w:rFonts w:hint="eastAsia"/>
          <w:sz w:val="24"/>
        </w:rPr>
        <w:t>2016</w:t>
      </w:r>
      <w:r>
        <w:rPr>
          <w:rFonts w:hint="eastAsia"/>
          <w:sz w:val="24"/>
        </w:rPr>
        <w:t>年</w:t>
      </w:r>
      <w:r>
        <w:rPr>
          <w:rFonts w:hint="eastAsia"/>
          <w:sz w:val="24"/>
        </w:rPr>
        <w:t>11</w:t>
      </w:r>
      <w:r>
        <w:rPr>
          <w:rFonts w:hint="eastAsia"/>
          <w:sz w:val="24"/>
        </w:rPr>
        <w:t>月</w:t>
      </w:r>
      <w:r>
        <w:rPr>
          <w:rFonts w:hint="eastAsia"/>
          <w:sz w:val="24"/>
        </w:rPr>
        <w:t>10</w:t>
      </w:r>
      <w:r>
        <w:rPr>
          <w:rFonts w:hint="eastAsia"/>
          <w:sz w:val="24"/>
        </w:rPr>
        <w:t>日，公司收到了中国证监会出具的《中国证监会行政许可申请恢复审查通知书》（</w:t>
      </w:r>
      <w:r w:rsidRPr="0059031D">
        <w:rPr>
          <w:rFonts w:hint="eastAsia"/>
          <w:sz w:val="24"/>
        </w:rPr>
        <w:t>160757</w:t>
      </w:r>
      <w:r>
        <w:rPr>
          <w:rFonts w:hint="eastAsia"/>
          <w:sz w:val="24"/>
        </w:rPr>
        <w:t>号）。中国证监会认为公司的申请符合恢复审查条件。根据《中国证券监督管理委员会行政许可实施程序规定》第二十三条的有关规定，决定恢复对行政许可申请的审查。</w:t>
      </w:r>
    </w:p>
    <w:p w:rsidR="003344EB" w:rsidRDefault="003344EB" w:rsidP="003344EB">
      <w:pPr>
        <w:widowControl/>
        <w:spacing w:line="288" w:lineRule="auto"/>
        <w:ind w:firstLineChars="200" w:firstLine="480"/>
        <w:rPr>
          <w:sz w:val="24"/>
        </w:rPr>
      </w:pPr>
    </w:p>
    <w:p w:rsidR="003344EB" w:rsidRDefault="003344EB" w:rsidP="003344EB">
      <w:pPr>
        <w:widowControl/>
        <w:spacing w:line="288" w:lineRule="auto"/>
        <w:ind w:firstLineChars="200" w:firstLine="480"/>
        <w:rPr>
          <w:sz w:val="24"/>
        </w:rPr>
      </w:pPr>
      <w:r>
        <w:rPr>
          <w:rFonts w:hint="eastAsia"/>
          <w:sz w:val="24"/>
        </w:rPr>
        <w:t>公司本次非公开发行</w:t>
      </w:r>
      <w:r>
        <w:rPr>
          <w:rFonts w:hint="eastAsia"/>
          <w:sz w:val="24"/>
        </w:rPr>
        <w:t>A</w:t>
      </w:r>
      <w:r>
        <w:rPr>
          <w:rFonts w:hint="eastAsia"/>
          <w:sz w:val="24"/>
        </w:rPr>
        <w:t>股股票事项尚需中国证监会的核准，能否获得中国证监会的核准尚存在不确定性。公司将根据中国证监会审核的进展情况及时履行信息披露义务，敬请广大投资者注意投资风险。</w:t>
      </w:r>
    </w:p>
    <w:p w:rsidR="003344EB" w:rsidRDefault="003344EB" w:rsidP="003344EB">
      <w:pPr>
        <w:widowControl/>
        <w:spacing w:line="288" w:lineRule="auto"/>
        <w:ind w:firstLineChars="200" w:firstLine="480"/>
        <w:rPr>
          <w:sz w:val="24"/>
        </w:rPr>
      </w:pPr>
    </w:p>
    <w:p w:rsidR="003344EB" w:rsidRDefault="003344EB" w:rsidP="003344EB">
      <w:pPr>
        <w:widowControl/>
        <w:spacing w:line="288" w:lineRule="auto"/>
        <w:ind w:firstLineChars="200" w:firstLine="480"/>
        <w:rPr>
          <w:sz w:val="24"/>
        </w:rPr>
      </w:pPr>
      <w:r>
        <w:rPr>
          <w:rFonts w:hint="eastAsia"/>
          <w:sz w:val="24"/>
        </w:rPr>
        <w:t>特此公告。</w:t>
      </w:r>
    </w:p>
    <w:p w:rsidR="003344EB" w:rsidRDefault="003344EB" w:rsidP="003344EB">
      <w:pPr>
        <w:widowControl/>
        <w:spacing w:line="288" w:lineRule="auto"/>
        <w:ind w:firstLineChars="200" w:firstLine="480"/>
        <w:rPr>
          <w:sz w:val="24"/>
        </w:rPr>
      </w:pPr>
    </w:p>
    <w:p w:rsidR="003344EB" w:rsidRDefault="003344EB" w:rsidP="003344EB">
      <w:pPr>
        <w:widowControl/>
        <w:spacing w:line="288" w:lineRule="auto"/>
        <w:ind w:firstLineChars="200" w:firstLine="480"/>
        <w:rPr>
          <w:sz w:val="24"/>
        </w:rPr>
      </w:pPr>
    </w:p>
    <w:p w:rsidR="003344EB" w:rsidRDefault="003344EB" w:rsidP="003344EB">
      <w:pPr>
        <w:widowControl/>
        <w:spacing w:line="288" w:lineRule="auto"/>
        <w:ind w:firstLineChars="200" w:firstLine="480"/>
        <w:jc w:val="right"/>
        <w:rPr>
          <w:sz w:val="24"/>
        </w:rPr>
      </w:pPr>
      <w:r>
        <w:rPr>
          <w:rFonts w:hint="eastAsia"/>
          <w:sz w:val="24"/>
        </w:rPr>
        <w:t>山东新华制药股份有限公司</w:t>
      </w:r>
    </w:p>
    <w:p w:rsidR="003344EB" w:rsidRDefault="003344EB" w:rsidP="003344EB">
      <w:pPr>
        <w:widowControl/>
        <w:spacing w:line="288" w:lineRule="auto"/>
        <w:ind w:right="960" w:firstLineChars="250" w:firstLine="600"/>
        <w:jc w:val="right"/>
        <w:rPr>
          <w:sz w:val="24"/>
        </w:rPr>
      </w:pPr>
      <w:r>
        <w:rPr>
          <w:rFonts w:hint="eastAsia"/>
          <w:sz w:val="24"/>
        </w:rPr>
        <w:t>董事会</w:t>
      </w:r>
    </w:p>
    <w:p w:rsidR="003344EB" w:rsidRPr="00952261" w:rsidRDefault="003344EB" w:rsidP="003344EB">
      <w:pPr>
        <w:widowControl/>
        <w:spacing w:line="288" w:lineRule="auto"/>
        <w:ind w:right="360" w:firstLineChars="200" w:firstLine="480"/>
        <w:jc w:val="right"/>
        <w:rPr>
          <w:sz w:val="24"/>
        </w:rPr>
      </w:pPr>
      <w:r>
        <w:rPr>
          <w:rFonts w:hint="eastAsia"/>
          <w:sz w:val="24"/>
        </w:rPr>
        <w:t>2016</w:t>
      </w:r>
      <w:r>
        <w:rPr>
          <w:rFonts w:hint="eastAsia"/>
          <w:sz w:val="24"/>
        </w:rPr>
        <w:t>年</w:t>
      </w:r>
      <w:r>
        <w:rPr>
          <w:rFonts w:hint="eastAsia"/>
          <w:sz w:val="24"/>
        </w:rPr>
        <w:t>11</w:t>
      </w:r>
      <w:r>
        <w:rPr>
          <w:rFonts w:hint="eastAsia"/>
          <w:sz w:val="24"/>
        </w:rPr>
        <w:t>月</w:t>
      </w:r>
      <w:r>
        <w:rPr>
          <w:rFonts w:hint="eastAsia"/>
          <w:sz w:val="24"/>
        </w:rPr>
        <w:t>10</w:t>
      </w:r>
      <w:r>
        <w:rPr>
          <w:rFonts w:hint="eastAsia"/>
          <w:sz w:val="24"/>
        </w:rPr>
        <w:t>日</w:t>
      </w:r>
    </w:p>
    <w:p w:rsidR="00FC4084" w:rsidRDefault="00FC4084" w:rsidP="003344EB">
      <w:pPr>
        <w:widowControl/>
        <w:spacing w:line="288" w:lineRule="auto"/>
        <w:jc w:val="center"/>
      </w:pPr>
    </w:p>
    <w:sectPr w:rsidR="00FC4084" w:rsidSect="00FC40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47C74"/>
    <w:rsid w:val="003344EB"/>
    <w:rsid w:val="00336C17"/>
    <w:rsid w:val="004C3B13"/>
    <w:rsid w:val="00504B78"/>
    <w:rsid w:val="006727FF"/>
    <w:rsid w:val="00A60BAF"/>
    <w:rsid w:val="00B16901"/>
    <w:rsid w:val="00C47C74"/>
    <w:rsid w:val="00D60BC3"/>
    <w:rsid w:val="00ED375F"/>
    <w:rsid w:val="00ED5BE8"/>
    <w:rsid w:val="00FC4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7C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nfo.com.cn" TargetMode="External"/><Relationship Id="rId5" Type="http://schemas.openxmlformats.org/officeDocument/2006/relationships/hyperlink" Target="http://www.cninfo.com.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王修国</dc:creator>
  <cp:lastModifiedBy>王修国</cp:lastModifiedBy>
  <cp:revision>5</cp:revision>
  <cp:lastPrinted>2016-11-10T07:39:00Z</cp:lastPrinted>
  <dcterms:created xsi:type="dcterms:W3CDTF">2016-11-10T07:33:00Z</dcterms:created>
  <dcterms:modified xsi:type="dcterms:W3CDTF">2016-11-10T07:39:00Z</dcterms:modified>
</cp:coreProperties>
</file>