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2D" w:rsidRDefault="00CB032D" w:rsidP="00CB032D">
      <w:pPr>
        <w:autoSpaceDE w:val="0"/>
        <w:autoSpaceDN w:val="0"/>
        <w:adjustRightInd w:val="0"/>
        <w:rPr>
          <w:rFonts w:eastAsiaTheme="minorEastAsia"/>
          <w:i/>
          <w:szCs w:val="21"/>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FC0E08" w:rsidRPr="00FC0E08" w:rsidRDefault="00FC0E08" w:rsidP="00CB032D">
      <w:pPr>
        <w:autoSpaceDE w:val="0"/>
        <w:autoSpaceDN w:val="0"/>
        <w:adjustRightInd w:val="0"/>
        <w:rPr>
          <w:rFonts w:eastAsiaTheme="minorEastAsia"/>
          <w:i/>
          <w:szCs w:val="21"/>
        </w:rPr>
      </w:pPr>
      <w:r>
        <w:rPr>
          <w:rFonts w:eastAsiaTheme="minorEastAsia"/>
          <w:i/>
          <w:noProof/>
          <w:szCs w:val="21"/>
        </w:rPr>
        <w:drawing>
          <wp:anchor distT="0" distB="0" distL="114300" distR="114300" simplePos="0" relativeHeight="251660288" behindDoc="0" locked="0" layoutInCell="1" allowOverlap="1">
            <wp:simplePos x="0" y="0"/>
            <wp:positionH relativeFrom="column">
              <wp:posOffset>2661285</wp:posOffset>
            </wp:positionH>
            <wp:positionV relativeFrom="paragraph">
              <wp:posOffset>13335</wp:posOffset>
            </wp:positionV>
            <wp:extent cx="457200" cy="495300"/>
            <wp:effectExtent l="19050" t="0" r="0" b="0"/>
            <wp:wrapNone/>
            <wp:docPr id="1"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B032D" w:rsidRPr="00F436AF" w:rsidRDefault="00CB032D" w:rsidP="00CB032D">
      <w:pPr>
        <w:autoSpaceDE w:val="0"/>
        <w:autoSpaceDN w:val="0"/>
        <w:adjustRightInd w:val="0"/>
        <w:rPr>
          <w:rFonts w:ascii="宋体" w:hAnsi="宋体"/>
          <w:i/>
          <w:color w:val="231F20"/>
          <w:kern w:val="0"/>
          <w:szCs w:val="21"/>
          <w:lang w:eastAsia="zh-TW"/>
        </w:rPr>
      </w:pPr>
    </w:p>
    <w:p w:rsidR="00CB032D" w:rsidRDefault="00CB032D" w:rsidP="00CB032D">
      <w:pPr>
        <w:autoSpaceDE w:val="0"/>
        <w:autoSpaceDN w:val="0"/>
        <w:adjustRightInd w:val="0"/>
        <w:rPr>
          <w:rFonts w:ascii="宋体" w:hAnsi="宋体"/>
          <w:color w:val="231F20"/>
          <w:kern w:val="0"/>
          <w:sz w:val="28"/>
          <w:szCs w:val="18"/>
          <w:lang w:eastAsia="zh-TW"/>
        </w:rPr>
      </w:pPr>
    </w:p>
    <w:p w:rsidR="00CB032D" w:rsidRDefault="00CB032D" w:rsidP="00CB032D">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B032D" w:rsidRDefault="00CB032D" w:rsidP="00CB032D">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B032D" w:rsidRDefault="00CB032D" w:rsidP="00CB032D">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CB032D" w:rsidRDefault="00CB032D" w:rsidP="00CB032D">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B032D" w:rsidRDefault="00CB032D" w:rsidP="00CB032D">
      <w:pPr>
        <w:autoSpaceDE w:val="0"/>
        <w:autoSpaceDN w:val="0"/>
        <w:adjustRightInd w:val="0"/>
        <w:jc w:val="center"/>
        <w:rPr>
          <w:rFonts w:ascii="宋体" w:hAnsi="宋体"/>
          <w:color w:val="231F20"/>
          <w:kern w:val="0"/>
          <w:sz w:val="20"/>
          <w:szCs w:val="20"/>
          <w:lang w:eastAsia="zh-TW"/>
        </w:rPr>
      </w:pPr>
    </w:p>
    <w:p w:rsidR="00CB032D" w:rsidRDefault="00CB032D" w:rsidP="00CB032D">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B032D" w:rsidRPr="00ED2714" w:rsidRDefault="00CB032D" w:rsidP="00CB032D">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B032D" w:rsidTr="001B4266">
        <w:trPr>
          <w:trHeight w:val="686"/>
        </w:trPr>
        <w:tc>
          <w:tcPr>
            <w:tcW w:w="8280" w:type="dxa"/>
          </w:tcPr>
          <w:p w:rsidR="00CB032D" w:rsidRDefault="00CB032D" w:rsidP="001B4266">
            <w:pPr>
              <w:autoSpaceDE w:val="0"/>
              <w:autoSpaceDN w:val="0"/>
              <w:adjustRightInd w:val="0"/>
              <w:rPr>
                <w:rFonts w:ascii="宋体" w:hAnsi="宋体"/>
                <w:color w:val="231F20"/>
                <w:kern w:val="0"/>
                <w:szCs w:val="21"/>
              </w:rPr>
            </w:pPr>
          </w:p>
          <w:p w:rsidR="00CB032D" w:rsidRDefault="00CB032D" w:rsidP="001B4266">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B032D" w:rsidRDefault="00CB032D" w:rsidP="00CB032D">
      <w:pPr>
        <w:autoSpaceDE w:val="0"/>
        <w:autoSpaceDN w:val="0"/>
        <w:adjustRightInd w:val="0"/>
        <w:rPr>
          <w:rFonts w:ascii="宋体" w:hAnsi="宋体"/>
          <w:color w:val="231F20"/>
          <w:kern w:val="0"/>
          <w:szCs w:val="21"/>
          <w:lang w:eastAsia="zh-TW"/>
        </w:rPr>
      </w:pPr>
    </w:p>
    <w:p w:rsidR="00CB032D" w:rsidRPr="00D51A45" w:rsidRDefault="00CB032D" w:rsidP="00CB032D">
      <w:pPr>
        <w:spacing w:line="360" w:lineRule="auto"/>
        <w:ind w:firstLineChars="200" w:firstLine="420"/>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D51A45">
        <w:rPr>
          <w:rFonts w:ascii="宋体" w:eastAsia="PMingLiU" w:hAnsi="宋体" w:hint="eastAsia"/>
          <w:color w:val="231F20"/>
          <w:kern w:val="0"/>
          <w:szCs w:val="21"/>
          <w:lang w:eastAsia="zh-TW"/>
        </w:rPr>
        <w:t>16</w:t>
      </w:r>
      <w:r w:rsidRPr="007708CF">
        <w:rPr>
          <w:rFonts w:ascii="宋体" w:eastAsia="PMingLiU" w:hAnsi="宋体" w:hint="eastAsia"/>
          <w:color w:val="231F20"/>
          <w:kern w:val="0"/>
          <w:szCs w:val="21"/>
          <w:lang w:eastAsia="zh-TW"/>
        </w:rPr>
        <w:t>年</w:t>
      </w:r>
      <w:r>
        <w:rPr>
          <w:rFonts w:ascii="宋体" w:eastAsiaTheme="minorEastAsia" w:hAnsi="宋体" w:hint="eastAsia"/>
          <w:color w:val="231F20"/>
          <w:kern w:val="0"/>
          <w:szCs w:val="21"/>
        </w:rPr>
        <w:t>10</w:t>
      </w:r>
      <w:r w:rsidRPr="007708CF">
        <w:rPr>
          <w:rFonts w:ascii="宋体" w:eastAsia="PMingLiU" w:hAnsi="宋体" w:hint="eastAsia"/>
          <w:color w:val="231F20"/>
          <w:kern w:val="0"/>
          <w:szCs w:val="21"/>
          <w:lang w:eastAsia="zh-TW"/>
        </w:rPr>
        <w:t>月</w:t>
      </w:r>
      <w:r>
        <w:rPr>
          <w:rFonts w:ascii="宋体" w:eastAsiaTheme="minorEastAsia" w:hAnsi="宋体" w:hint="eastAsia"/>
          <w:color w:val="231F20"/>
          <w:kern w:val="0"/>
          <w:szCs w:val="21"/>
        </w:rPr>
        <w:t>27</w:t>
      </w:r>
      <w:r w:rsidRPr="007708CF">
        <w:rPr>
          <w:rFonts w:ascii="宋体" w:eastAsia="PMingLiU" w:hAnsi="宋体" w:hint="eastAsia"/>
          <w:color w:val="231F20"/>
          <w:kern w:val="0"/>
          <w:szCs w:val="21"/>
          <w:lang w:eastAsia="zh-TW"/>
        </w:rPr>
        <w:t>日在巨潮資訊網（</w:t>
      </w:r>
      <w:hyperlink r:id="rId8" w:history="1">
        <w:r w:rsidRPr="00D51A45">
          <w:rPr>
            <w:color w:val="231F20"/>
          </w:rPr>
          <w:t>http://www.cninfo.com.cn</w:t>
        </w:r>
      </w:hyperlink>
      <w:r w:rsidRPr="007708CF">
        <w:rPr>
          <w:rFonts w:ascii="宋体" w:eastAsia="PMingLiU" w:hAnsi="宋体" w:hint="eastAsia"/>
          <w:color w:val="231F20"/>
          <w:kern w:val="0"/>
          <w:szCs w:val="21"/>
          <w:lang w:eastAsia="zh-TW"/>
        </w:rPr>
        <w:t>）刊登本公司</w:t>
      </w:r>
      <w:r w:rsidRPr="00D51A45">
        <w:rPr>
          <w:rFonts w:ascii="宋体" w:eastAsia="PMingLiU" w:hAnsi="宋体" w:hint="eastAsia"/>
          <w:color w:val="231F20"/>
          <w:kern w:val="0"/>
          <w:szCs w:val="21"/>
          <w:lang w:eastAsia="zh-TW"/>
        </w:rPr>
        <w:t>《</w:t>
      </w:r>
      <w:r w:rsidRPr="00CB032D">
        <w:rPr>
          <w:rFonts w:ascii="宋体" w:eastAsia="PMingLiU" w:hAnsi="宋体"/>
          <w:color w:val="231F20"/>
          <w:kern w:val="0"/>
          <w:szCs w:val="21"/>
          <w:lang w:eastAsia="zh-TW"/>
        </w:rPr>
        <w:t>2016</w:t>
      </w:r>
      <w:r w:rsidRPr="00CB032D">
        <w:rPr>
          <w:rFonts w:ascii="宋体" w:eastAsia="PMingLiU" w:hAnsi="宋体" w:hint="eastAsia"/>
          <w:color w:val="231F20"/>
          <w:kern w:val="0"/>
          <w:szCs w:val="21"/>
          <w:lang w:eastAsia="zh-TW"/>
        </w:rPr>
        <w:t>年</w:t>
      </w:r>
      <w:r w:rsidR="00F718E9" w:rsidRPr="00F718E9">
        <w:rPr>
          <w:rFonts w:ascii="宋体" w:eastAsia="PMingLiU" w:hAnsi="宋体" w:hint="eastAsia"/>
          <w:color w:val="231F20"/>
          <w:kern w:val="0"/>
          <w:szCs w:val="21"/>
          <w:lang w:eastAsia="zh-TW"/>
        </w:rPr>
        <w:t>第</w:t>
      </w:r>
      <w:r w:rsidRPr="00CB032D">
        <w:rPr>
          <w:rFonts w:ascii="宋体" w:eastAsia="PMingLiU" w:hAnsi="宋体" w:hint="eastAsia"/>
          <w:color w:val="231F20"/>
          <w:kern w:val="0"/>
          <w:szCs w:val="21"/>
          <w:lang w:eastAsia="zh-TW"/>
        </w:rPr>
        <w:t>三季度報告</w:t>
      </w:r>
      <w:r w:rsidRPr="00D51A45">
        <w:rPr>
          <w:rFonts w:ascii="宋体" w:eastAsia="PMingLiU" w:hAnsi="宋体" w:hint="eastAsia"/>
          <w:color w:val="231F20"/>
          <w:kern w:val="0"/>
          <w:szCs w:val="21"/>
          <w:lang w:eastAsia="zh-TW"/>
        </w:rPr>
        <w:t>》，茲載列有</w:t>
      </w:r>
      <w:r w:rsidRPr="007708CF">
        <w:rPr>
          <w:rFonts w:ascii="宋体" w:eastAsia="PMingLiU" w:hAnsi="宋体" w:hint="eastAsia"/>
          <w:color w:val="231F20"/>
          <w:kern w:val="0"/>
          <w:szCs w:val="21"/>
          <w:lang w:eastAsia="zh-TW"/>
        </w:rPr>
        <w:t>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CB032D" w:rsidRPr="00D51A45" w:rsidRDefault="00CB032D" w:rsidP="00CB032D">
      <w:pPr>
        <w:autoSpaceDE w:val="0"/>
        <w:autoSpaceDN w:val="0"/>
        <w:adjustRightInd w:val="0"/>
        <w:rPr>
          <w:rFonts w:ascii="宋体" w:eastAsia="PMingLiU" w:hAnsi="宋体"/>
          <w:color w:val="231F20"/>
          <w:kern w:val="0"/>
          <w:szCs w:val="21"/>
          <w:lang w:eastAsia="zh-TW"/>
        </w:rPr>
      </w:pPr>
    </w:p>
    <w:p w:rsidR="00CB032D" w:rsidRPr="00511C03" w:rsidRDefault="00CB032D" w:rsidP="00CB032D">
      <w:pPr>
        <w:autoSpaceDE w:val="0"/>
        <w:autoSpaceDN w:val="0"/>
        <w:adjustRightInd w:val="0"/>
        <w:rPr>
          <w:rFonts w:ascii="宋体" w:hAnsi="宋体"/>
          <w:color w:val="231F20"/>
          <w:kern w:val="0"/>
          <w:szCs w:val="21"/>
        </w:rPr>
      </w:pPr>
    </w:p>
    <w:p w:rsidR="00CB032D" w:rsidRDefault="00CB032D" w:rsidP="00CB032D">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Pr>
          <w:rFonts w:ascii="宋体" w:eastAsiaTheme="minorEastAsia" w:hAnsi="宋体" w:hint="eastAsia"/>
          <w:color w:val="231F20"/>
          <w:kern w:val="0"/>
          <w:szCs w:val="21"/>
        </w:rPr>
        <w:t xml:space="preserve">    </w:t>
      </w:r>
      <w:r w:rsidR="00D97757">
        <w:rPr>
          <w:rFonts w:ascii="宋体" w:eastAsiaTheme="minorEastAsia" w:hAnsi="宋体" w:hint="eastAsia"/>
          <w:color w:val="231F20"/>
          <w:kern w:val="0"/>
          <w:szCs w:val="21"/>
        </w:rPr>
        <w:t xml:space="preserve"> </w:t>
      </w:r>
      <w:r w:rsidR="001A0C18">
        <w:rPr>
          <w:rFonts w:ascii="宋体" w:eastAsiaTheme="minorEastAsia"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B032D" w:rsidRDefault="00CB032D" w:rsidP="00CB032D">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B032D" w:rsidRPr="006654A4" w:rsidRDefault="00CB032D" w:rsidP="001A0C18">
      <w:pPr>
        <w:autoSpaceDE w:val="0"/>
        <w:autoSpaceDN w:val="0"/>
        <w:adjustRightInd w:val="0"/>
        <w:ind w:right="420" w:firstLineChars="3750" w:firstLine="7875"/>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CB032D" w:rsidRDefault="00CB032D" w:rsidP="001A0C18">
      <w:pPr>
        <w:autoSpaceDE w:val="0"/>
        <w:autoSpaceDN w:val="0"/>
        <w:adjustRightInd w:val="0"/>
        <w:ind w:right="420" w:firstLineChars="3750" w:firstLine="7875"/>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B032D" w:rsidRDefault="00CB032D" w:rsidP="00CB032D">
      <w:pPr>
        <w:autoSpaceDE w:val="0"/>
        <w:autoSpaceDN w:val="0"/>
        <w:adjustRightInd w:val="0"/>
        <w:rPr>
          <w:rFonts w:ascii="宋体" w:hAnsi="宋体"/>
          <w:color w:val="231F20"/>
          <w:kern w:val="0"/>
          <w:szCs w:val="21"/>
          <w:lang w:eastAsia="zh-TW"/>
        </w:rPr>
      </w:pPr>
    </w:p>
    <w:p w:rsidR="00CB032D" w:rsidRDefault="00CB032D" w:rsidP="00CB032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CB032D">
        <w:rPr>
          <w:rFonts w:ascii="宋体" w:eastAsia="PMingLiU" w:hAnsi="宋体" w:hint="eastAsia"/>
          <w:color w:val="231F20"/>
          <w:kern w:val="0"/>
          <w:szCs w:val="21"/>
          <w:lang w:eastAsia="zh-TW"/>
        </w:rPr>
        <w:t>十</w:t>
      </w:r>
      <w:r w:rsidRPr="007708CF">
        <w:rPr>
          <w:rFonts w:ascii="宋体" w:eastAsia="PMingLiU" w:hAnsi="宋体" w:hint="eastAsia"/>
          <w:color w:val="231F20"/>
          <w:kern w:val="0"/>
          <w:szCs w:val="21"/>
          <w:lang w:eastAsia="zh-TW"/>
        </w:rPr>
        <w:t>月</w:t>
      </w:r>
      <w:r w:rsidRPr="00CB032D">
        <w:rPr>
          <w:rFonts w:ascii="宋体" w:eastAsia="PMingLiU" w:hAnsi="宋体" w:hint="eastAsia"/>
          <w:color w:val="231F20"/>
          <w:kern w:val="0"/>
          <w:szCs w:val="21"/>
          <w:lang w:eastAsia="zh-TW"/>
        </w:rPr>
        <w:t>二十六</w:t>
      </w:r>
      <w:r w:rsidRPr="007708CF">
        <w:rPr>
          <w:rFonts w:ascii="宋体" w:eastAsia="PMingLiU" w:hAnsi="宋体" w:hint="eastAsia"/>
          <w:color w:val="231F20"/>
          <w:kern w:val="0"/>
          <w:szCs w:val="21"/>
          <w:lang w:eastAsia="zh-TW"/>
        </w:rPr>
        <w:t>日</w:t>
      </w:r>
    </w:p>
    <w:p w:rsidR="00CB032D" w:rsidRPr="00D07EF3" w:rsidRDefault="00CB032D" w:rsidP="00CB032D">
      <w:pPr>
        <w:autoSpaceDE w:val="0"/>
        <w:autoSpaceDN w:val="0"/>
        <w:adjustRightInd w:val="0"/>
        <w:rPr>
          <w:rFonts w:ascii="宋体" w:hAnsi="宋体"/>
          <w:color w:val="231F20"/>
          <w:kern w:val="0"/>
          <w:szCs w:val="21"/>
          <w:lang w:eastAsia="zh-TW"/>
        </w:rPr>
      </w:pPr>
    </w:p>
    <w:p w:rsidR="00CB032D" w:rsidRDefault="001E1760" w:rsidP="00CB032D">
      <w:pPr>
        <w:kinsoku w:val="0"/>
        <w:snapToGrid w:val="0"/>
        <w:rPr>
          <w:lang w:eastAsia="zh-TW"/>
        </w:rPr>
      </w:pPr>
      <w:r>
        <w:rPr>
          <w:noProof/>
        </w:rPr>
        <w:pict>
          <v:shapetype id="_x0000_t202" coordsize="21600,21600" o:spt="202" path="m,l,21600r21600,l21600,xe">
            <v:stroke joinstyle="miter"/>
            <v:path gradientshapeok="t" o:connecttype="rect"/>
          </v:shapetype>
          <v:shape id="_x0000_s1029" type="#_x0000_t202" style="position:absolute;left:0;text-align:left;margin-left:468pt;margin-top:9pt;width:1in;height:36pt;z-index:251658240" filled="f" stroked="f">
            <v:textbox style="mso-next-textbox:#_x0000_s1029">
              <w:txbxContent>
                <w:p w:rsidR="001B4266" w:rsidRDefault="001B4266" w:rsidP="00CB032D">
                  <w:pPr>
                    <w:rPr>
                      <w:sz w:val="16"/>
                      <w:szCs w:val="16"/>
                    </w:rPr>
                  </w:pPr>
                </w:p>
              </w:txbxContent>
            </v:textbox>
          </v:shape>
        </w:pict>
      </w:r>
      <w:r w:rsidR="00CB032D">
        <w:rPr>
          <w:rFonts w:eastAsia="PMingLiU" w:hint="eastAsia"/>
          <w:lang w:eastAsia="zh-TW"/>
        </w:rPr>
        <w:t>於本公告日期，本公司董事會之成員如下：</w:t>
      </w:r>
    </w:p>
    <w:p w:rsidR="00CB032D" w:rsidRDefault="00CB032D" w:rsidP="00CB032D">
      <w:pPr>
        <w:kinsoku w:val="0"/>
        <w:snapToGrid w:val="0"/>
        <w:rPr>
          <w:lang w:eastAsia="zh-TW"/>
        </w:rPr>
      </w:pPr>
    </w:p>
    <w:p w:rsidR="00CB032D" w:rsidRDefault="00CB032D" w:rsidP="00CB032D">
      <w:pPr>
        <w:kinsoku w:val="0"/>
        <w:snapToGrid w:val="0"/>
        <w:rPr>
          <w:lang w:eastAsia="zh-TW"/>
        </w:rPr>
      </w:pPr>
    </w:p>
    <w:tbl>
      <w:tblPr>
        <w:tblW w:w="0" w:type="auto"/>
        <w:tblLook w:val="01E0"/>
      </w:tblPr>
      <w:tblGrid>
        <w:gridCol w:w="2840"/>
        <w:gridCol w:w="2841"/>
        <w:gridCol w:w="2841"/>
      </w:tblGrid>
      <w:tr w:rsidR="00CB032D" w:rsidTr="001B4266">
        <w:tc>
          <w:tcPr>
            <w:tcW w:w="2840" w:type="dxa"/>
          </w:tcPr>
          <w:p w:rsidR="00CB032D" w:rsidRDefault="00CB032D" w:rsidP="001B4266">
            <w:pPr>
              <w:kinsoku w:val="0"/>
              <w:snapToGrid w:val="0"/>
            </w:pPr>
            <w:r>
              <w:rPr>
                <w:rFonts w:eastAsia="PMingLiU" w:hint="eastAsia"/>
                <w:lang w:eastAsia="zh-TW"/>
              </w:rPr>
              <w:t>執行董事</w:t>
            </w:r>
          </w:p>
        </w:tc>
        <w:tc>
          <w:tcPr>
            <w:tcW w:w="2841" w:type="dxa"/>
          </w:tcPr>
          <w:p w:rsidR="00CB032D" w:rsidRDefault="00CB032D" w:rsidP="001B4266">
            <w:pPr>
              <w:kinsoku w:val="0"/>
              <w:snapToGrid w:val="0"/>
            </w:pPr>
            <w:r>
              <w:rPr>
                <w:rFonts w:eastAsia="PMingLiU" w:hint="eastAsia"/>
                <w:lang w:eastAsia="zh-TW"/>
              </w:rPr>
              <w:t>非執行董事</w:t>
            </w:r>
          </w:p>
        </w:tc>
        <w:tc>
          <w:tcPr>
            <w:tcW w:w="2841" w:type="dxa"/>
          </w:tcPr>
          <w:p w:rsidR="00CB032D" w:rsidRDefault="00CB032D" w:rsidP="001B4266">
            <w:pPr>
              <w:kinsoku w:val="0"/>
              <w:snapToGrid w:val="0"/>
            </w:pPr>
            <w:r>
              <w:rPr>
                <w:rFonts w:eastAsia="PMingLiU" w:hint="eastAsia"/>
                <w:lang w:eastAsia="zh-TW"/>
              </w:rPr>
              <w:t>獨立非執行董事</w:t>
            </w:r>
          </w:p>
        </w:tc>
      </w:tr>
      <w:tr w:rsidR="00CB032D" w:rsidTr="001B4266">
        <w:tc>
          <w:tcPr>
            <w:tcW w:w="2840" w:type="dxa"/>
          </w:tcPr>
          <w:p w:rsidR="00CB032D" w:rsidRDefault="00CB032D" w:rsidP="001B4266">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CB032D" w:rsidRDefault="00CB032D" w:rsidP="001B4266">
            <w:pPr>
              <w:kinsoku w:val="0"/>
              <w:snapToGrid w:val="0"/>
            </w:pPr>
            <w:r>
              <w:rPr>
                <w:rFonts w:eastAsia="PMingLiU" w:hint="eastAsia"/>
                <w:lang w:eastAsia="zh-TW"/>
              </w:rPr>
              <w:t>任福龍先生</w:t>
            </w:r>
          </w:p>
        </w:tc>
        <w:tc>
          <w:tcPr>
            <w:tcW w:w="2841" w:type="dxa"/>
          </w:tcPr>
          <w:p w:rsidR="00CB032D" w:rsidRDefault="00CB032D" w:rsidP="001B4266">
            <w:pPr>
              <w:kinsoku w:val="0"/>
              <w:snapToGrid w:val="0"/>
            </w:pPr>
            <w:r w:rsidRPr="00E8272A">
              <w:rPr>
                <w:rFonts w:eastAsia="PMingLiU" w:hint="eastAsia"/>
                <w:lang w:eastAsia="zh-TW"/>
              </w:rPr>
              <w:t>杜冠華</w:t>
            </w:r>
            <w:r>
              <w:rPr>
                <w:rFonts w:eastAsia="PMingLiU" w:hint="eastAsia"/>
                <w:lang w:eastAsia="zh-TW"/>
              </w:rPr>
              <w:t>先生</w:t>
            </w:r>
          </w:p>
        </w:tc>
      </w:tr>
      <w:tr w:rsidR="00CB032D" w:rsidTr="001B4266">
        <w:tc>
          <w:tcPr>
            <w:tcW w:w="2840" w:type="dxa"/>
          </w:tcPr>
          <w:p w:rsidR="00CB032D" w:rsidRDefault="00CB032D" w:rsidP="001B4266">
            <w:pPr>
              <w:kinsoku w:val="0"/>
              <w:snapToGrid w:val="0"/>
            </w:pPr>
            <w:r w:rsidRPr="006654A4">
              <w:rPr>
                <w:rFonts w:eastAsia="PMingLiU" w:hint="eastAsia"/>
                <w:lang w:eastAsia="zh-TW"/>
              </w:rPr>
              <w:t>杜德平先生</w:t>
            </w:r>
          </w:p>
        </w:tc>
        <w:tc>
          <w:tcPr>
            <w:tcW w:w="2841" w:type="dxa"/>
          </w:tcPr>
          <w:p w:rsidR="00CB032D" w:rsidRDefault="00CB032D" w:rsidP="001B4266">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B032D" w:rsidRDefault="00CB032D" w:rsidP="001B4266">
            <w:pPr>
              <w:kinsoku w:val="0"/>
              <w:snapToGrid w:val="0"/>
            </w:pPr>
            <w:r w:rsidRPr="00E8272A">
              <w:rPr>
                <w:rFonts w:eastAsia="PMingLiU" w:hint="eastAsia"/>
                <w:lang w:eastAsia="zh-TW"/>
              </w:rPr>
              <w:t>李文明先生</w:t>
            </w:r>
          </w:p>
        </w:tc>
      </w:tr>
      <w:tr w:rsidR="00CB032D" w:rsidTr="001B4266">
        <w:tc>
          <w:tcPr>
            <w:tcW w:w="2840" w:type="dxa"/>
          </w:tcPr>
          <w:p w:rsidR="00CB032D" w:rsidRDefault="00CB032D" w:rsidP="001B4266">
            <w:pPr>
              <w:kinsoku w:val="0"/>
              <w:snapToGrid w:val="0"/>
            </w:pPr>
          </w:p>
        </w:tc>
        <w:tc>
          <w:tcPr>
            <w:tcW w:w="2841" w:type="dxa"/>
          </w:tcPr>
          <w:p w:rsidR="00CB032D" w:rsidRDefault="00CB032D" w:rsidP="001B4266">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B032D" w:rsidRDefault="00CB032D" w:rsidP="001B4266">
            <w:pPr>
              <w:kinsoku w:val="0"/>
              <w:snapToGrid w:val="0"/>
            </w:pPr>
            <w:r w:rsidRPr="008345A5">
              <w:rPr>
                <w:rFonts w:eastAsia="PMingLiU" w:hint="eastAsia"/>
                <w:lang w:eastAsia="zh-TW"/>
              </w:rPr>
              <w:t>陳仲戟</w:t>
            </w:r>
            <w:r>
              <w:rPr>
                <w:rFonts w:eastAsia="PMingLiU" w:hint="eastAsia"/>
                <w:lang w:eastAsia="zh-TW"/>
              </w:rPr>
              <w:t>先生</w:t>
            </w:r>
          </w:p>
        </w:tc>
      </w:tr>
      <w:tr w:rsidR="00CB032D" w:rsidTr="001B4266">
        <w:tc>
          <w:tcPr>
            <w:tcW w:w="2840" w:type="dxa"/>
          </w:tcPr>
          <w:p w:rsidR="00CB032D" w:rsidRDefault="00CB032D" w:rsidP="001B4266">
            <w:pPr>
              <w:kinsoku w:val="0"/>
              <w:snapToGrid w:val="0"/>
            </w:pPr>
          </w:p>
        </w:tc>
        <w:tc>
          <w:tcPr>
            <w:tcW w:w="2841" w:type="dxa"/>
          </w:tcPr>
          <w:p w:rsidR="00CB032D" w:rsidRDefault="00CB032D" w:rsidP="001B4266">
            <w:pPr>
              <w:kinsoku w:val="0"/>
              <w:snapToGrid w:val="0"/>
            </w:pPr>
          </w:p>
        </w:tc>
        <w:tc>
          <w:tcPr>
            <w:tcW w:w="2841" w:type="dxa"/>
          </w:tcPr>
          <w:p w:rsidR="00CB032D" w:rsidRDefault="00CB032D" w:rsidP="001B4266">
            <w:pPr>
              <w:kinsoku w:val="0"/>
              <w:snapToGrid w:val="0"/>
            </w:pPr>
          </w:p>
        </w:tc>
      </w:tr>
    </w:tbl>
    <w:p w:rsidR="00CB032D" w:rsidRDefault="00CB032D" w:rsidP="00CB032D"/>
    <w:p w:rsidR="00CB032D" w:rsidRDefault="00CB032D" w:rsidP="00CB032D"/>
    <w:p w:rsidR="00CB032D" w:rsidRDefault="00CB032D" w:rsidP="00CB032D"/>
    <w:p w:rsidR="00CB032D" w:rsidRDefault="00CB032D" w:rsidP="00CB032D"/>
    <w:p w:rsidR="00CB032D" w:rsidRDefault="00CB032D" w:rsidP="00CB032D"/>
    <w:p w:rsidR="00CB032D" w:rsidRDefault="00CB032D" w:rsidP="00B22FF9">
      <w:pPr>
        <w:spacing w:before="1400"/>
        <w:jc w:val="center"/>
        <w:rPr>
          <w:b/>
          <w:bCs/>
          <w:sz w:val="36"/>
          <w:szCs w:val="36"/>
        </w:rPr>
      </w:pPr>
    </w:p>
    <w:p w:rsidR="001B4266" w:rsidRDefault="001B4266" w:rsidP="00B22FF9">
      <w:pPr>
        <w:spacing w:before="1400"/>
        <w:jc w:val="center"/>
        <w:rPr>
          <w:b/>
          <w:bCs/>
          <w:sz w:val="36"/>
          <w:szCs w:val="36"/>
        </w:rPr>
        <w:sectPr w:rsidR="001B4266" w:rsidSect="00212537">
          <w:footerReference w:type="default" r:id="rId9"/>
          <w:pgSz w:w="11906" w:h="16838"/>
          <w:pgMar w:top="1440" w:right="1134" w:bottom="1440" w:left="1134" w:header="720" w:footer="720" w:gutter="0"/>
          <w:pgNumType w:start="1"/>
          <w:cols w:space="720"/>
          <w:noEndnote/>
        </w:sectPr>
      </w:pPr>
    </w:p>
    <w:p w:rsidR="00BF0239" w:rsidRDefault="00BF0239" w:rsidP="00BF0239">
      <w:pPr>
        <w:spacing w:before="1400"/>
        <w:jc w:val="center"/>
        <w:rPr>
          <w:b/>
          <w:bCs/>
          <w:sz w:val="36"/>
          <w:szCs w:val="36"/>
        </w:rPr>
      </w:pPr>
      <w:r>
        <w:rPr>
          <w:rFonts w:hint="eastAsia"/>
          <w:b/>
          <w:bCs/>
          <w:sz w:val="36"/>
          <w:szCs w:val="36"/>
        </w:rPr>
        <w:lastRenderedPageBreak/>
        <w:t>山东新华制药股份有限公司</w:t>
      </w:r>
    </w:p>
    <w:p w:rsidR="00BF0239" w:rsidRDefault="00BF0239" w:rsidP="00BF0239">
      <w:pPr>
        <w:spacing w:before="400"/>
        <w:jc w:val="center"/>
        <w:rPr>
          <w:b/>
          <w:bCs/>
          <w:sz w:val="32"/>
          <w:szCs w:val="32"/>
        </w:rPr>
      </w:pPr>
      <w:r>
        <w:rPr>
          <w:b/>
          <w:bCs/>
          <w:sz w:val="32"/>
          <w:szCs w:val="32"/>
        </w:rPr>
        <w:t>2016</w:t>
      </w:r>
      <w:r>
        <w:rPr>
          <w:rFonts w:hint="eastAsia"/>
          <w:b/>
          <w:bCs/>
          <w:sz w:val="32"/>
          <w:szCs w:val="32"/>
        </w:rPr>
        <w:t>年第三季度报告</w:t>
      </w:r>
    </w:p>
    <w:p w:rsidR="00BF0239" w:rsidRDefault="00BF0239" w:rsidP="00BF0239">
      <w:pPr>
        <w:spacing w:before="6000"/>
        <w:jc w:val="center"/>
        <w:rPr>
          <w:b/>
          <w:bCs/>
          <w:sz w:val="32"/>
          <w:szCs w:val="32"/>
        </w:rPr>
      </w:pPr>
      <w:r>
        <w:rPr>
          <w:b/>
          <w:bCs/>
          <w:sz w:val="32"/>
          <w:szCs w:val="32"/>
        </w:rPr>
        <w:t>2016</w:t>
      </w:r>
      <w:r>
        <w:rPr>
          <w:rFonts w:hint="eastAsia"/>
          <w:b/>
          <w:bCs/>
          <w:sz w:val="32"/>
          <w:szCs w:val="32"/>
        </w:rPr>
        <w:t>年</w:t>
      </w:r>
      <w:r>
        <w:rPr>
          <w:b/>
          <w:bCs/>
          <w:sz w:val="32"/>
          <w:szCs w:val="32"/>
        </w:rPr>
        <w:t>10</w:t>
      </w:r>
      <w:r>
        <w:rPr>
          <w:rFonts w:hint="eastAsia"/>
          <w:b/>
          <w:bCs/>
          <w:sz w:val="32"/>
          <w:szCs w:val="32"/>
        </w:rPr>
        <w:t>月</w:t>
      </w:r>
    </w:p>
    <w:p w:rsidR="00BF0239" w:rsidRDefault="00BF0239" w:rsidP="00BF0239">
      <w:pPr>
        <w:spacing w:before="6000"/>
        <w:jc w:val="center"/>
        <w:rPr>
          <w:b/>
          <w:bCs/>
          <w:sz w:val="32"/>
          <w:szCs w:val="32"/>
        </w:rPr>
        <w:sectPr w:rsidR="00BF0239">
          <w:headerReference w:type="default" r:id="rId10"/>
          <w:footerReference w:type="default" r:id="rId11"/>
          <w:pgSz w:w="11906" w:h="16838"/>
          <w:pgMar w:top="1440" w:right="1134" w:bottom="1440" w:left="1134" w:header="720" w:footer="720" w:gutter="0"/>
          <w:cols w:space="720"/>
          <w:noEndnote/>
        </w:sectPr>
      </w:pPr>
    </w:p>
    <w:p w:rsidR="00BF0239" w:rsidRDefault="00BF0239" w:rsidP="00BF0239">
      <w:pPr>
        <w:pStyle w:val="a6"/>
        <w:outlineLvl w:val="0"/>
      </w:pPr>
      <w:bookmarkStart w:id="0" w:name="_Toc300000084"/>
      <w:r>
        <w:rPr>
          <w:rFonts w:hint="eastAsia"/>
        </w:rPr>
        <w:t>第一节</w:t>
      </w:r>
      <w:r>
        <w:t xml:space="preserve"> </w:t>
      </w:r>
      <w:r>
        <w:rPr>
          <w:rFonts w:hint="eastAsia"/>
        </w:rPr>
        <w:t>重要提示</w:t>
      </w:r>
      <w:bookmarkEnd w:id="0"/>
    </w:p>
    <w:p w:rsidR="00BF0239" w:rsidRDefault="00BF0239" w:rsidP="00BF0239">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BF0239" w:rsidRDefault="00BF0239" w:rsidP="00BF0239">
      <w:pPr>
        <w:spacing w:before="100" w:after="100"/>
        <w:ind w:firstLineChars="200" w:firstLine="562"/>
        <w:rPr>
          <w:b/>
          <w:bCs/>
          <w:sz w:val="28"/>
          <w:szCs w:val="28"/>
        </w:rPr>
      </w:pPr>
      <w:r>
        <w:rPr>
          <w:rFonts w:hint="eastAsia"/>
          <w:b/>
          <w:bCs/>
          <w:sz w:val="28"/>
          <w:szCs w:val="28"/>
        </w:rPr>
        <w:t>所有董事均已出席了审议本次季报的董事会会议。</w:t>
      </w:r>
    </w:p>
    <w:p w:rsidR="00BF0239" w:rsidRDefault="00BF0239" w:rsidP="00BF0239">
      <w:pPr>
        <w:spacing w:before="100" w:after="100"/>
        <w:ind w:firstLineChars="200" w:firstLine="562"/>
        <w:rPr>
          <w:b/>
          <w:bCs/>
          <w:sz w:val="28"/>
          <w:szCs w:val="28"/>
        </w:rPr>
      </w:pPr>
      <w:r>
        <w:rPr>
          <w:rFonts w:hint="eastAsia"/>
          <w:b/>
          <w:bCs/>
          <w:sz w:val="28"/>
          <w:szCs w:val="28"/>
        </w:rPr>
        <w:t>公司董事长张代铭先生、财务总监侯宁先生及财务资产部经理何晓洪先生声明：保证季度报告中财务报表的真实、准确、完整。</w:t>
      </w:r>
    </w:p>
    <w:p w:rsidR="00BF0239" w:rsidRDefault="00BF0239" w:rsidP="00BF0239">
      <w:pPr>
        <w:spacing w:before="100" w:after="100"/>
        <w:ind w:firstLineChars="200" w:firstLine="562"/>
        <w:rPr>
          <w:b/>
          <w:bCs/>
          <w:sz w:val="28"/>
          <w:szCs w:val="28"/>
        </w:rPr>
        <w:sectPr w:rsidR="00BF0239">
          <w:pgSz w:w="11906" w:h="16838"/>
          <w:pgMar w:top="1440" w:right="1134" w:bottom="1440" w:left="1134" w:header="851" w:footer="992" w:gutter="0"/>
          <w:cols w:space="425"/>
          <w:docGrid w:type="lines" w:linePitch="312"/>
        </w:sectPr>
      </w:pPr>
    </w:p>
    <w:p w:rsidR="00BF0239" w:rsidRDefault="00BF0239" w:rsidP="00BF0239">
      <w:pPr>
        <w:pStyle w:val="a6"/>
        <w:outlineLvl w:val="0"/>
      </w:pPr>
      <w:bookmarkStart w:id="1" w:name="_Toc300000085"/>
      <w:r>
        <w:rPr>
          <w:rFonts w:hint="eastAsia"/>
        </w:rPr>
        <w:t>第二节</w:t>
      </w:r>
      <w:r>
        <w:t xml:space="preserve"> </w:t>
      </w:r>
      <w:r>
        <w:rPr>
          <w:rFonts w:hint="eastAsia"/>
        </w:rPr>
        <w:t>主要财务数据及股东变化</w:t>
      </w:r>
      <w:bookmarkEnd w:id="1"/>
    </w:p>
    <w:p w:rsidR="00BF0239" w:rsidRDefault="00BF0239" w:rsidP="00BF0239">
      <w:pPr>
        <w:pStyle w:val="Chapter"/>
        <w:outlineLvl w:val="1"/>
      </w:pPr>
      <w:r>
        <w:rPr>
          <w:rFonts w:hint="eastAsia"/>
        </w:rPr>
        <w:t>一、主要会计数据和财务指标</w:t>
      </w:r>
    </w:p>
    <w:p w:rsidR="00BF0239" w:rsidRDefault="00BF0239" w:rsidP="00BF0239">
      <w:pPr>
        <w:jc w:val="left"/>
      </w:pPr>
      <w:r>
        <w:rPr>
          <w:rFonts w:hint="eastAsia"/>
        </w:rPr>
        <w:t>公司是否因会计政策变更及会计差错更正等追溯调整或重述以前年度会计数据</w:t>
      </w:r>
    </w:p>
    <w:p w:rsidR="00BF0239" w:rsidRDefault="00BF0239" w:rsidP="00BF0239">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tblPr>
      <w:tblGrid>
        <w:gridCol w:w="2621"/>
        <w:gridCol w:w="1738"/>
        <w:gridCol w:w="577"/>
        <w:gridCol w:w="1160"/>
        <w:gridCol w:w="1158"/>
        <w:gridCol w:w="579"/>
        <w:gridCol w:w="1736"/>
      </w:tblGrid>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本报告期末</w:t>
            </w:r>
          </w:p>
        </w:tc>
        <w:tc>
          <w:tcPr>
            <w:tcW w:w="231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上年度末</w:t>
            </w:r>
          </w:p>
        </w:tc>
        <w:tc>
          <w:tcPr>
            <w:tcW w:w="23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本报告期末比上年度末增减</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总资产（元）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4,599,789,506.27</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4,492,122,436.63</w:t>
            </w:r>
          </w:p>
        </w:tc>
        <w:tc>
          <w:tcPr>
            <w:tcW w:w="2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2.40%</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归属于上市公司股东的净资产（元）</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1,958,248,777.72</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1,884,256,560.94</w:t>
            </w:r>
          </w:p>
        </w:tc>
        <w:tc>
          <w:tcPr>
            <w:tcW w:w="2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3.93%</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本报告期</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本报告期比上年同期增减</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年初至报告期末</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年初至报告期末比上年同期增减</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营业收入（元）</w:t>
            </w:r>
          </w:p>
        </w:tc>
        <w:tc>
          <w:tcPr>
            <w:tcW w:w="1738" w:type="dxa"/>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977,969,739.89</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18.55%</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2,976,470,152.80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7.32%</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归属于上市公司股东的净利润（元）</w:t>
            </w:r>
          </w:p>
        </w:tc>
        <w:tc>
          <w:tcPr>
            <w:tcW w:w="1738" w:type="dxa"/>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43,313,070.81</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20.58%</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89,180,216.49</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44.35%</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归属于上市公司股东的扣除非经常性损益的净利润（元）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33,804,998.20</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37.45%</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78,516,685.86</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96.07%</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经营活动产生的现金流量净额（元）</w:t>
            </w: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t>--</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t>--</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241,910,554.24</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19.62%</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基本每股收益（元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0.09</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12.50%</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0.20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42.86%</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稀释每股收益（元</w:t>
            </w:r>
            <w:r>
              <w:t>/</w:t>
            </w:r>
            <w:r>
              <w:rPr>
                <w:rFonts w:hint="eastAsia"/>
              </w:rPr>
              <w:t>股）</w:t>
            </w:r>
          </w:p>
        </w:tc>
        <w:tc>
          <w:tcPr>
            <w:tcW w:w="1738" w:type="dxa"/>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0.09</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12.50%</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0.20</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42.86%</w:t>
            </w:r>
          </w:p>
        </w:tc>
      </w:tr>
      <w:tr w:rsidR="00BF0239" w:rsidTr="001B46C4">
        <w:tblPrEx>
          <w:tblCellMar>
            <w:top w:w="0" w:type="dxa"/>
            <w:bottom w:w="0" w:type="dxa"/>
          </w:tblCellMar>
        </w:tblPrEx>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加权平均净资产收益率</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2.24%</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rPr>
                <w:rFonts w:hint="eastAsia"/>
              </w:rPr>
              <w:t>上升</w:t>
            </w:r>
            <w:r>
              <w:t>0.31</w:t>
            </w:r>
            <w:r>
              <w:rPr>
                <w:rFonts w:hint="eastAsia"/>
              </w:rPr>
              <w:t>个百分点</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4.63%</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rPr>
                <w:rFonts w:hint="eastAsia"/>
              </w:rPr>
              <w:t>上升</w:t>
            </w:r>
            <w:r>
              <w:t>1.29</w:t>
            </w:r>
            <w:r>
              <w:rPr>
                <w:rFonts w:hint="eastAsia"/>
              </w:rPr>
              <w:t>个百分点</w:t>
            </w:r>
          </w:p>
        </w:tc>
      </w:tr>
    </w:tbl>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4832"/>
        <w:gridCol w:w="2230"/>
        <w:gridCol w:w="2506"/>
      </w:tblGrid>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年初至报告期期末金额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说明</w:t>
            </w: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1,081,204.75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处置固定资产损益</w:t>
            </w: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6,936,110.56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收到及摊销的计入当期损益的政府补助</w:t>
            </w: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7,781,048.82</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可供出售金融资产分红</w:t>
            </w: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单独进行减值测试的应收款项减值准备转回</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840,000.00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已计提减值准备的应收账款收回</w:t>
            </w: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-6,609,718.55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317,651.29</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-952,536.34</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p>
        </w:tc>
      </w:tr>
      <w:tr w:rsidR="00BF0239" w:rsidTr="001B46C4">
        <w:tblPrEx>
          <w:tblCellMar>
            <w:top w:w="0" w:type="dxa"/>
            <w:bottom w:w="0" w:type="dxa"/>
          </w:tblCellMar>
        </w:tblPrEx>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10,663,530.63</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t>--</w:t>
            </w:r>
          </w:p>
        </w:tc>
      </w:tr>
    </w:tbl>
    <w:p w:rsidR="00BF0239" w:rsidRDefault="00BF0239" w:rsidP="00BF0239">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BF0239" w:rsidRDefault="00BF0239" w:rsidP="00BF0239">
      <w:pPr>
        <w:pStyle w:val="Chapter"/>
        <w:outlineLvl w:val="1"/>
      </w:pPr>
      <w:r>
        <w:rPr>
          <w:rFonts w:hint="eastAsia"/>
        </w:rPr>
        <w:t>二、报告期末股东总数及前十名股东持股情况表</w:t>
      </w:r>
    </w:p>
    <w:p w:rsidR="00BF0239" w:rsidRDefault="00BF0239" w:rsidP="00BF0239">
      <w:pPr>
        <w:pStyle w:val="Section"/>
        <w:outlineLvl w:val="2"/>
      </w:pPr>
      <w:r>
        <w:t>1</w:t>
      </w:r>
      <w:r>
        <w:rPr>
          <w:rFonts w:hint="eastAsia"/>
        </w:rPr>
        <w:t>、普通股股东和表决权恢复的优先股股东总数及前</w:t>
      </w:r>
      <w:r>
        <w:t>10</w:t>
      </w:r>
      <w:r>
        <w:rPr>
          <w:rFonts w:hint="eastAsia"/>
        </w:rPr>
        <w:t>名股东持股情况表</w:t>
      </w:r>
    </w:p>
    <w:p w:rsidR="00BF0239" w:rsidRDefault="00BF0239" w:rsidP="00BF0239">
      <w:pPr>
        <w:jc w:val="right"/>
      </w:pPr>
      <w:r>
        <w:rPr>
          <w:rFonts w:hint="eastAsia"/>
        </w:rPr>
        <w:t>单位：股</w:t>
      </w:r>
    </w:p>
    <w:tbl>
      <w:tblPr>
        <w:tblW w:w="0" w:type="auto"/>
        <w:tblInd w:w="28" w:type="dxa"/>
        <w:tblLayout w:type="fixed"/>
        <w:tblCellMar>
          <w:left w:w="28" w:type="dxa"/>
          <w:right w:w="28" w:type="dxa"/>
        </w:tblCellMar>
        <w:tblLook w:val="0000"/>
      </w:tblPr>
      <w:tblGrid>
        <w:gridCol w:w="1362"/>
        <w:gridCol w:w="1368"/>
        <w:gridCol w:w="1368"/>
        <w:gridCol w:w="562"/>
        <w:gridCol w:w="806"/>
        <w:gridCol w:w="1368"/>
        <w:gridCol w:w="86"/>
        <w:gridCol w:w="1281"/>
        <w:gridCol w:w="1368"/>
      </w:tblGrid>
      <w:tr w:rsidR="00BF0239" w:rsidTr="001B46C4">
        <w:tblPrEx>
          <w:tblCellMar>
            <w:top w:w="0" w:type="dxa"/>
            <w:bottom w:w="0" w:type="dxa"/>
          </w:tblCellMar>
        </w:tblPrEx>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报告期末普通股股东总数</w:t>
            </w:r>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39,475</w:t>
            </w:r>
          </w:p>
        </w:tc>
        <w:tc>
          <w:tcPr>
            <w:tcW w:w="226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报告期末表决权恢复的优先股股东总数（如有）</w:t>
            </w:r>
          </w:p>
        </w:tc>
        <w:tc>
          <w:tcPr>
            <w:tcW w:w="26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w:t>
            </w:r>
          </w:p>
        </w:tc>
      </w:tr>
      <w:tr w:rsidR="00BF0239" w:rsidTr="001B46C4">
        <w:tblPrEx>
          <w:tblCellMar>
            <w:top w:w="0" w:type="dxa"/>
            <w:bottom w:w="0" w:type="dxa"/>
          </w:tblCellMar>
        </w:tblPrEx>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前</w:t>
            </w:r>
            <w:r>
              <w:t>10</w:t>
            </w:r>
            <w:r>
              <w:rPr>
                <w:rFonts w:hint="eastAsia"/>
              </w:rPr>
              <w:t>名股东持股情况</w:t>
            </w: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股东名称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股东性质</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持股比例</w:t>
            </w:r>
          </w:p>
        </w:tc>
        <w:tc>
          <w:tcPr>
            <w:tcW w:w="1368"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持股数量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持有有限售条件的股份数量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质押或冻结情况</w:t>
            </w:r>
          </w:p>
        </w:tc>
      </w:tr>
      <w:tr w:rsidR="00BF0239" w:rsidTr="001B46C4">
        <w:tblPrEx>
          <w:tblCellMar>
            <w:top w:w="0" w:type="dxa"/>
            <w:bottom w:w="0" w:type="dxa"/>
          </w:tblCellMar>
        </w:tblPrEx>
        <w:tc>
          <w:tcPr>
            <w:tcW w:w="1362" w:type="dxa"/>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股份状态</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数量</w:t>
            </w: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山东新华医药集团有限责任公司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国家</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34.46%</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157,587,763</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香港中央结算（代理人）有限公司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32.56%</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148,883,698</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中国工商银行股份有限公司－汇添富医药保健混合型证券投资基金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0.96%</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4,393,484</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招商银行股份有限公司－汇添富医疗服务灵活配置混合型证券投资基金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0.55%</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2,499,932</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中信银行股份有限公司－浦银安盛医疗健康灵活配置混合型证券投资基金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0.38%</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1,715,433</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夏远香</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境内自然人</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0.37%</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1,697,900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中国通用技术（集团）控股有限责任公司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境内非国有法人</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0.36%</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1,666,040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中国银行股份有限公司－博时医疗保健行业混合型证券投资基金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0.33%</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1,500,000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杨林</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境内自然人</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0.30%</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1,352,800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1362"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领航投资澳洲有限公司－领航新兴市场股指基金（交易所）</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0.27%</w:t>
            </w:r>
          </w:p>
        </w:tc>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1,221,500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9569"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前</w:t>
            </w:r>
            <w:r>
              <w:t>10</w:t>
            </w:r>
            <w:r>
              <w:rPr>
                <w:rFonts w:hint="eastAsia"/>
              </w:rPr>
              <w:t>名无限售条件股东持股情况</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股东名称</w:t>
            </w:r>
          </w:p>
        </w:tc>
        <w:tc>
          <w:tcPr>
            <w:tcW w:w="4104"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持有无限售条件股份数量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股份种类</w:t>
            </w:r>
          </w:p>
        </w:tc>
      </w:tr>
      <w:tr w:rsidR="00BF0239" w:rsidTr="001B46C4">
        <w:tblPrEx>
          <w:tblCellMar>
            <w:top w:w="0" w:type="dxa"/>
            <w:bottom w:w="0" w:type="dxa"/>
          </w:tblCellMar>
        </w:tblPrEx>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4104" w:type="dxa"/>
            <w:gridSpan w:val="4"/>
            <w:vMerge/>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股份种类</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数量</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山东新华医药集团有限责任公司</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157,587,763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157,587,763</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香港中央结算（代理人）有限公司</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148,883,698</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境外上市外资股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148,883,698</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中国工商银行股份有限公司－汇添富医药保健混合型证券投资基金</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4,393,484</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4,393,484</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招商银行股份有限公司－汇添富医疗服务灵活配置混合型证券投资基金</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2,499,932</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2,499,932</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中信银行股份有限公司－浦银安盛医疗健康灵活配置混合型证券投资基金</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1,715,433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1,715,433</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夏远香</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1,697,900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1,697,900</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中国通用技术（集团）控股有限责任公司</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1,666,040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1,666,040</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中国银行股份有限公司－博时医疗保健行业混合型证券投资基金</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1,500,000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1,500,000</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杨林</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1,352,800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1,352,800</w:t>
            </w:r>
          </w:p>
        </w:tc>
      </w:tr>
      <w:tr w:rsidR="00BF0239" w:rsidTr="001B46C4">
        <w:tblPrEx>
          <w:tblCellMar>
            <w:top w:w="0" w:type="dxa"/>
            <w:bottom w:w="0" w:type="dxa"/>
          </w:tblCellMar>
        </w:tblPrEx>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left"/>
            </w:pPr>
            <w:r>
              <w:rPr>
                <w:rFonts w:hint="eastAsia"/>
              </w:rPr>
              <w:t>领航投资澳洲有限公司－领航新兴市场股指基金（交易所）</w:t>
            </w:r>
          </w:p>
        </w:tc>
        <w:tc>
          <w:tcPr>
            <w:tcW w:w="4104" w:type="dxa"/>
            <w:gridSpan w:val="4"/>
            <w:vMerge w:val="restart"/>
            <w:tcBorders>
              <w:top w:val="single" w:sz="4" w:space="0" w:color="auto"/>
              <w:left w:val="single" w:sz="4" w:space="0" w:color="auto"/>
              <w:bottom w:val="single" w:sz="4" w:space="0" w:color="auto"/>
              <w:right w:val="single" w:sz="4" w:space="0" w:color="auto"/>
            </w:tcBorders>
            <w:vAlign w:val="center"/>
          </w:tcPr>
          <w:p w:rsidR="00BF0239" w:rsidRDefault="00BF0239" w:rsidP="001B46C4">
            <w:pPr>
              <w:jc w:val="right"/>
            </w:pPr>
            <w:r>
              <w:t>1,221,500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1,221,500</w:t>
            </w:r>
          </w:p>
        </w:tc>
      </w:tr>
      <w:tr w:rsidR="00BF0239" w:rsidTr="001B46C4">
        <w:tblPrEx>
          <w:tblCellMar>
            <w:top w:w="0" w:type="dxa"/>
            <w:bottom w:w="0" w:type="dxa"/>
          </w:tblCellMar>
        </w:tblPrEx>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上述股东关联关系或一致行动的说明</w:t>
            </w:r>
          </w:p>
        </w:tc>
        <w:tc>
          <w:tcPr>
            <w:tcW w:w="683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本公司董事未知上述十大股东之间是否存在关联关系或中国证券监督管理委员会颁布的《上市公司股东持股变动信息披露管理办法》规定的一致行动人，也未知外资股东之间是否存在关联关系或《上市公司股东持股变动信息披露管理办法》规定的一致行动人。</w:t>
            </w:r>
          </w:p>
        </w:tc>
      </w:tr>
      <w:tr w:rsidR="00BF0239" w:rsidTr="001B46C4">
        <w:tblPrEx>
          <w:tblCellMar>
            <w:top w:w="0" w:type="dxa"/>
            <w:bottom w:w="0" w:type="dxa"/>
          </w:tblCellMar>
        </w:tblPrEx>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前</w:t>
            </w:r>
            <w:r>
              <w:t>10</w:t>
            </w:r>
            <w:r>
              <w:rPr>
                <w:rFonts w:hint="eastAsia"/>
              </w:rPr>
              <w:t>名普通股股东参与融资融券业务情况说明（如有）</w:t>
            </w:r>
          </w:p>
        </w:tc>
        <w:tc>
          <w:tcPr>
            <w:tcW w:w="683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left"/>
            </w:pPr>
            <w:r>
              <w:rPr>
                <w:rFonts w:hint="eastAsia"/>
              </w:rPr>
              <w:t>不适用</w:t>
            </w:r>
          </w:p>
        </w:tc>
      </w:tr>
    </w:tbl>
    <w:p w:rsidR="00BF0239" w:rsidRDefault="00BF0239" w:rsidP="00BF0239">
      <w:pPr>
        <w:jc w:val="left"/>
      </w:pPr>
      <w:r>
        <w:rPr>
          <w:rFonts w:hint="eastAsia"/>
        </w:rPr>
        <w:t>公司前</w:t>
      </w:r>
      <w:r>
        <w:t>10</w:t>
      </w:r>
      <w:r>
        <w:rPr>
          <w:rFonts w:hint="eastAsia"/>
        </w:rPr>
        <w:t>名普通股股东、前</w:t>
      </w:r>
      <w:r>
        <w:t>10</w:t>
      </w:r>
      <w:r>
        <w:rPr>
          <w:rFonts w:hint="eastAsia"/>
        </w:rPr>
        <w:t>名无限售条件普通股股东在报告期内是否进行约定购回交易</w:t>
      </w:r>
    </w:p>
    <w:p w:rsidR="00BF0239" w:rsidRDefault="00BF0239" w:rsidP="00BF0239">
      <w:pPr>
        <w:jc w:val="left"/>
      </w:pPr>
      <w:r>
        <w:t xml:space="preserve">□ </w:t>
      </w:r>
      <w:r>
        <w:rPr>
          <w:rFonts w:hint="eastAsia"/>
        </w:rPr>
        <w:t>是</w:t>
      </w:r>
      <w:r>
        <w:t xml:space="preserve"> √ </w:t>
      </w:r>
      <w:r>
        <w:rPr>
          <w:rFonts w:hint="eastAsia"/>
        </w:rPr>
        <w:t>否</w:t>
      </w:r>
      <w:r>
        <w:t xml:space="preserve"> </w:t>
      </w:r>
    </w:p>
    <w:p w:rsidR="00BF0239" w:rsidRDefault="00BF0239" w:rsidP="00BF0239">
      <w:pPr>
        <w:jc w:val="left"/>
      </w:pPr>
      <w:r>
        <w:rPr>
          <w:rFonts w:hint="eastAsia"/>
        </w:rPr>
        <w:t>公司前</w:t>
      </w:r>
      <w:r>
        <w:t>10</w:t>
      </w:r>
      <w:r>
        <w:rPr>
          <w:rFonts w:hint="eastAsia"/>
        </w:rPr>
        <w:t>名普通股股东、前</w:t>
      </w:r>
      <w:r>
        <w:t>10</w:t>
      </w:r>
      <w:r>
        <w:rPr>
          <w:rFonts w:hint="eastAsia"/>
        </w:rPr>
        <w:t>名无限售条件普通股股东在报告期内未进行约定购回交易。</w:t>
      </w:r>
    </w:p>
    <w:p w:rsidR="00BF0239" w:rsidRDefault="00BF0239" w:rsidP="00BF0239">
      <w:pPr>
        <w:pStyle w:val="Section"/>
        <w:outlineLvl w:val="2"/>
      </w:pPr>
      <w:r>
        <w:t>2</w:t>
      </w:r>
      <w:r>
        <w:rPr>
          <w:rFonts w:hint="eastAsia"/>
        </w:rPr>
        <w:t>、优先股股东总数及前</w:t>
      </w:r>
      <w:r>
        <w:t>10</w:t>
      </w:r>
      <w:r>
        <w:rPr>
          <w:rFonts w:hint="eastAsia"/>
        </w:rPr>
        <w:t>名优先股股东持股情况表</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sectPr w:rsidR="00BF0239">
          <w:pgSz w:w="11906" w:h="16838"/>
          <w:pgMar w:top="1440" w:right="1134" w:bottom="1440" w:left="1134" w:header="851" w:footer="992" w:gutter="0"/>
          <w:cols w:space="425"/>
          <w:docGrid w:type="lines" w:linePitch="312"/>
        </w:sectPr>
      </w:pPr>
    </w:p>
    <w:p w:rsidR="00BF0239" w:rsidRDefault="00BF0239" w:rsidP="00BF0239">
      <w:pPr>
        <w:pStyle w:val="a6"/>
        <w:outlineLvl w:val="0"/>
      </w:pPr>
      <w:bookmarkStart w:id="2" w:name="_Toc300000086"/>
      <w:r>
        <w:rPr>
          <w:rFonts w:hint="eastAsia"/>
        </w:rPr>
        <w:t>第三节</w:t>
      </w:r>
      <w:r>
        <w:t xml:space="preserve"> </w:t>
      </w:r>
      <w:r>
        <w:rPr>
          <w:rFonts w:hint="eastAsia"/>
        </w:rPr>
        <w:t>重要事项</w:t>
      </w:r>
      <w:bookmarkEnd w:id="2"/>
    </w:p>
    <w:p w:rsidR="00BF0239" w:rsidRDefault="00BF0239" w:rsidP="00BF0239">
      <w:pPr>
        <w:pStyle w:val="Chapter"/>
        <w:outlineLvl w:val="1"/>
      </w:pPr>
      <w:r>
        <w:rPr>
          <w:rFonts w:hint="eastAsia"/>
        </w:rPr>
        <w:t>一、报告期主要会计报表项目、财务指标发生变动的情况及原因</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Pr="00BC6674" w:rsidRDefault="00BF0239" w:rsidP="00BF0239">
      <w:pPr>
        <w:autoSpaceDE w:val="0"/>
        <w:autoSpaceDN w:val="0"/>
        <w:adjustRightInd w:val="0"/>
        <w:rPr>
          <w:rFonts w:ascii="宋体" w:cs="宋体"/>
          <w:kern w:val="0"/>
          <w:sz w:val="24"/>
          <w:lang w:val="zh-CN"/>
        </w:rPr>
      </w:pPr>
      <w:r w:rsidRPr="00BC6674">
        <w:rPr>
          <w:rFonts w:ascii="宋体" w:hAnsi="宋体" w:cs="宋体"/>
          <w:kern w:val="0"/>
          <w:sz w:val="24"/>
          <w:lang w:val="zh-CN"/>
        </w:rPr>
        <w:t xml:space="preserve">1. </w:t>
      </w:r>
      <w:r w:rsidRPr="00BC6674">
        <w:rPr>
          <w:rFonts w:ascii="宋体" w:hAnsi="宋体" w:cs="宋体" w:hint="eastAsia"/>
          <w:kern w:val="0"/>
          <w:sz w:val="24"/>
          <w:lang w:val="zh-CN"/>
        </w:rPr>
        <w:t>于</w:t>
      </w:r>
      <w:r w:rsidRPr="00BC6674">
        <w:rPr>
          <w:rFonts w:ascii="宋体" w:hAnsi="宋体" w:cs="宋体"/>
          <w:kern w:val="0"/>
          <w:sz w:val="24"/>
          <w:lang w:val="zh-CN"/>
        </w:rPr>
        <w:t>2016</w:t>
      </w:r>
      <w:r w:rsidRPr="00BC6674">
        <w:rPr>
          <w:rFonts w:ascii="宋体" w:hAnsi="宋体" w:cs="宋体" w:hint="eastAsia"/>
          <w:kern w:val="0"/>
          <w:sz w:val="24"/>
          <w:lang w:val="zh-CN"/>
        </w:rPr>
        <w:t>年</w:t>
      </w:r>
      <w:r w:rsidRPr="00BC6674">
        <w:rPr>
          <w:rFonts w:ascii="宋体" w:hAnsi="宋体" w:cs="宋体"/>
          <w:kern w:val="0"/>
          <w:sz w:val="24"/>
          <w:lang w:val="zh-CN"/>
        </w:rPr>
        <w:t>9</w:t>
      </w:r>
      <w:r w:rsidRPr="00BC6674">
        <w:rPr>
          <w:rFonts w:ascii="宋体" w:hAnsi="宋体" w:cs="宋体" w:hint="eastAsia"/>
          <w:kern w:val="0"/>
          <w:sz w:val="24"/>
          <w:lang w:val="zh-CN"/>
        </w:rPr>
        <w:t>月</w:t>
      </w:r>
      <w:r w:rsidRPr="00BC6674">
        <w:rPr>
          <w:rFonts w:ascii="宋体" w:hAnsi="宋体" w:cs="宋体"/>
          <w:kern w:val="0"/>
          <w:sz w:val="24"/>
          <w:lang w:val="zh-CN"/>
        </w:rPr>
        <w:t>30</w:t>
      </w:r>
      <w:r w:rsidRPr="00BC6674">
        <w:rPr>
          <w:rFonts w:ascii="宋体" w:hAnsi="宋体" w:cs="宋体" w:hint="eastAsia"/>
          <w:kern w:val="0"/>
          <w:sz w:val="24"/>
          <w:lang w:val="zh-CN"/>
        </w:rPr>
        <w:t>日，本集团应收票据为人民币</w:t>
      </w:r>
      <w:r w:rsidRPr="00BC6674">
        <w:rPr>
          <w:rFonts w:ascii="宋体" w:hAnsi="宋体" w:cs="宋体"/>
          <w:kern w:val="0"/>
          <w:sz w:val="24"/>
          <w:lang w:val="zh-CN"/>
        </w:rPr>
        <w:t>121,701,397.05</w:t>
      </w:r>
      <w:r w:rsidRPr="00BC6674">
        <w:rPr>
          <w:rFonts w:ascii="宋体" w:hAnsi="宋体" w:cs="宋体" w:hint="eastAsia"/>
          <w:kern w:val="0"/>
          <w:sz w:val="24"/>
          <w:lang w:val="zh-CN"/>
        </w:rPr>
        <w:t>元，较年初下降</w:t>
      </w:r>
      <w:r w:rsidRPr="00BC6674">
        <w:rPr>
          <w:rFonts w:ascii="宋体" w:hAnsi="宋体" w:cs="宋体"/>
          <w:kern w:val="0"/>
          <w:sz w:val="24"/>
          <w:lang w:val="zh-CN"/>
        </w:rPr>
        <w:t>45.95%</w:t>
      </w:r>
      <w:r w:rsidRPr="00BC6674">
        <w:rPr>
          <w:rFonts w:ascii="宋体" w:hAnsi="宋体" w:cs="宋体" w:hint="eastAsia"/>
          <w:kern w:val="0"/>
          <w:sz w:val="24"/>
          <w:lang w:val="zh-CN"/>
        </w:rPr>
        <w:t>，下降的主要原因为公司加强资金营运管理，提高了票据周转率所致；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2.</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日，本集团应收账款为人民币</w:t>
      </w:r>
      <w:r>
        <w:rPr>
          <w:rFonts w:eastAsia="Times New Roman"/>
          <w:kern w:val="0"/>
          <w:sz w:val="24"/>
          <w:lang w:val="zh-CN"/>
        </w:rPr>
        <w:t>480,875,304.06</w:t>
      </w:r>
      <w:r>
        <w:rPr>
          <w:rFonts w:ascii="宋体" w:hAnsi="宋体" w:cs="宋体" w:hint="eastAsia"/>
          <w:kern w:val="0"/>
          <w:sz w:val="24"/>
          <w:lang w:val="zh-CN"/>
        </w:rPr>
        <w:t>元，较年初上升</w:t>
      </w:r>
      <w:r>
        <w:rPr>
          <w:rFonts w:eastAsia="Times New Roman"/>
          <w:kern w:val="0"/>
          <w:sz w:val="24"/>
          <w:lang w:val="zh-CN"/>
        </w:rPr>
        <w:t>52.98%</w:t>
      </w:r>
      <w:r>
        <w:rPr>
          <w:rFonts w:ascii="宋体" w:hAnsi="宋体" w:cs="宋体" w:hint="eastAsia"/>
          <w:kern w:val="0"/>
          <w:sz w:val="24"/>
          <w:lang w:val="zh-CN"/>
        </w:rPr>
        <w:t>，上升的主要原因为本期部分销售业务付款期限未到所致；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3.</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日，本集团应收利息较年初下降人民币</w:t>
      </w:r>
      <w:r>
        <w:rPr>
          <w:rFonts w:eastAsia="Times New Roman"/>
          <w:kern w:val="0"/>
          <w:sz w:val="24"/>
          <w:lang w:val="zh-CN"/>
        </w:rPr>
        <w:t>1,937,851.12</w:t>
      </w:r>
      <w:r>
        <w:rPr>
          <w:rFonts w:ascii="宋体" w:hAnsi="宋体" w:cs="宋体" w:hint="eastAsia"/>
          <w:kern w:val="0"/>
          <w:sz w:val="24"/>
          <w:lang w:val="zh-CN"/>
        </w:rPr>
        <w:t>元，下降的主要原因为年初应收利息于本期收回所致；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4.</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日，本集团其他流动资产为人民币</w:t>
      </w:r>
      <w:r>
        <w:rPr>
          <w:rFonts w:eastAsia="Times New Roman"/>
          <w:kern w:val="0"/>
          <w:sz w:val="24"/>
          <w:lang w:val="zh-CN"/>
        </w:rPr>
        <w:t>7,240,056.67</w:t>
      </w:r>
      <w:r>
        <w:rPr>
          <w:rFonts w:ascii="宋体" w:hAnsi="宋体" w:cs="宋体" w:hint="eastAsia"/>
          <w:kern w:val="0"/>
          <w:sz w:val="24"/>
          <w:lang w:val="zh-CN"/>
        </w:rPr>
        <w:t>元，较年初下降</w:t>
      </w:r>
      <w:r>
        <w:rPr>
          <w:rFonts w:eastAsia="Times New Roman"/>
          <w:kern w:val="0"/>
          <w:sz w:val="24"/>
          <w:lang w:val="zh-CN"/>
        </w:rPr>
        <w:t>65.64%</w:t>
      </w:r>
      <w:r>
        <w:rPr>
          <w:rFonts w:ascii="宋体" w:hAnsi="宋体" w:cs="宋体" w:hint="eastAsia"/>
          <w:kern w:val="0"/>
          <w:sz w:val="24"/>
          <w:lang w:val="zh-CN"/>
        </w:rPr>
        <w:t>，下降的主要原因为本期增值税留抵数减少所致；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5.</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日，本集团在建工程为人民币</w:t>
      </w:r>
      <w:r>
        <w:rPr>
          <w:rFonts w:eastAsia="Times New Roman"/>
          <w:kern w:val="0"/>
          <w:sz w:val="24"/>
          <w:lang w:val="zh-CN"/>
        </w:rPr>
        <w:t>341,037,838.40</w:t>
      </w:r>
      <w:r>
        <w:rPr>
          <w:rFonts w:ascii="宋体" w:hAnsi="宋体" w:cs="宋体" w:hint="eastAsia"/>
          <w:kern w:val="0"/>
          <w:sz w:val="24"/>
          <w:lang w:val="zh-CN"/>
        </w:rPr>
        <w:t>元</w:t>
      </w:r>
      <w:r>
        <w:rPr>
          <w:rFonts w:eastAsia="Times New Roman"/>
          <w:kern w:val="0"/>
          <w:sz w:val="24"/>
          <w:lang w:val="zh-CN"/>
        </w:rPr>
        <w:t>,</w:t>
      </w:r>
      <w:r>
        <w:rPr>
          <w:rFonts w:ascii="宋体" w:hAnsi="宋体" w:cs="宋体" w:hint="eastAsia"/>
          <w:kern w:val="0"/>
          <w:sz w:val="24"/>
          <w:lang w:val="zh-CN"/>
        </w:rPr>
        <w:t>较年初上升</w:t>
      </w:r>
      <w:r>
        <w:rPr>
          <w:rFonts w:eastAsia="Times New Roman"/>
          <w:kern w:val="0"/>
          <w:sz w:val="24"/>
          <w:lang w:val="zh-CN"/>
        </w:rPr>
        <w:t>119.56%</w:t>
      </w:r>
      <w:r>
        <w:rPr>
          <w:rFonts w:ascii="宋体" w:hAnsi="宋体" w:cs="宋体" w:hint="eastAsia"/>
          <w:kern w:val="0"/>
          <w:sz w:val="24"/>
          <w:lang w:val="zh-CN"/>
        </w:rPr>
        <w:t>，上升的主要原因为本期现代医药国际合作中心工程项目、湖田园区现代化学医药产业化中心Ⅱ工程项目投入增加所致；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6.</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日，本集团应付票据为人民币</w:t>
      </w:r>
      <w:r>
        <w:rPr>
          <w:rFonts w:eastAsia="Times New Roman"/>
          <w:kern w:val="0"/>
          <w:sz w:val="24"/>
          <w:lang w:val="zh-CN"/>
        </w:rPr>
        <w:t>103,544,527.94</w:t>
      </w:r>
      <w:r>
        <w:rPr>
          <w:rFonts w:ascii="宋体" w:hAnsi="宋体" w:cs="宋体" w:hint="eastAsia"/>
          <w:kern w:val="0"/>
          <w:sz w:val="24"/>
          <w:lang w:val="zh-CN"/>
        </w:rPr>
        <w:t>元，较年初下降</w:t>
      </w:r>
      <w:r>
        <w:rPr>
          <w:rFonts w:eastAsia="Times New Roman"/>
          <w:kern w:val="0"/>
          <w:sz w:val="24"/>
          <w:lang w:val="zh-CN"/>
        </w:rPr>
        <w:t>51.98%</w:t>
      </w:r>
      <w:r>
        <w:rPr>
          <w:rFonts w:ascii="宋体" w:hAnsi="宋体" w:cs="宋体" w:hint="eastAsia"/>
          <w:kern w:val="0"/>
          <w:sz w:val="24"/>
          <w:lang w:val="zh-CN"/>
        </w:rPr>
        <w:t>，下降的主要原因为本期偿还到期票据所致；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7.</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日，本集团应交税费为人民币</w:t>
      </w:r>
      <w:r>
        <w:rPr>
          <w:rFonts w:eastAsia="Times New Roman"/>
          <w:kern w:val="0"/>
          <w:sz w:val="24"/>
          <w:lang w:val="zh-CN"/>
        </w:rPr>
        <w:t>22,683,208.09</w:t>
      </w:r>
      <w:r>
        <w:rPr>
          <w:rFonts w:ascii="宋体" w:hAnsi="宋体" w:cs="宋体" w:hint="eastAsia"/>
          <w:kern w:val="0"/>
          <w:sz w:val="24"/>
          <w:lang w:val="zh-CN"/>
        </w:rPr>
        <w:t>元，较年初上升</w:t>
      </w:r>
      <w:r>
        <w:rPr>
          <w:rFonts w:eastAsia="Times New Roman"/>
          <w:kern w:val="0"/>
          <w:sz w:val="24"/>
          <w:lang w:val="zh-CN"/>
        </w:rPr>
        <w:t>37.77%</w:t>
      </w:r>
      <w:r>
        <w:rPr>
          <w:rFonts w:ascii="宋体" w:hAnsi="宋体" w:cs="宋体" w:hint="eastAsia"/>
          <w:kern w:val="0"/>
          <w:sz w:val="24"/>
          <w:lang w:val="zh-CN"/>
        </w:rPr>
        <w:t>，上升的主要原因为本期应交增值税及应交城建税等上升所致；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8.</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日，本集团应付利息为人民币</w:t>
      </w:r>
      <w:r>
        <w:rPr>
          <w:rFonts w:eastAsia="Times New Roman"/>
          <w:kern w:val="0"/>
          <w:sz w:val="24"/>
          <w:lang w:val="zh-CN"/>
        </w:rPr>
        <w:t>30,187,233.83</w:t>
      </w:r>
      <w:r>
        <w:rPr>
          <w:rFonts w:ascii="宋体" w:hAnsi="宋体" w:cs="宋体" w:hint="eastAsia"/>
          <w:kern w:val="0"/>
          <w:sz w:val="24"/>
          <w:lang w:val="zh-CN"/>
        </w:rPr>
        <w:t>元，较年初增加人民币</w:t>
      </w:r>
      <w:r>
        <w:rPr>
          <w:rFonts w:eastAsia="Times New Roman"/>
          <w:kern w:val="0"/>
          <w:sz w:val="24"/>
          <w:lang w:val="zh-CN"/>
        </w:rPr>
        <w:t>28,980,892.72</w:t>
      </w:r>
      <w:r>
        <w:rPr>
          <w:rFonts w:ascii="宋体" w:hAnsi="宋体" w:cs="宋体" w:hint="eastAsia"/>
          <w:kern w:val="0"/>
          <w:sz w:val="24"/>
          <w:lang w:val="zh-CN"/>
        </w:rPr>
        <w:t>元，增加的主要原因为本期部分长期借款利息于年末支付，从而导致应付利息上升较大；</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 xml:space="preserve">9. </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日，本集团应付股利为人民币</w:t>
      </w:r>
      <w:r>
        <w:rPr>
          <w:rFonts w:eastAsia="Times New Roman"/>
          <w:kern w:val="0"/>
          <w:sz w:val="24"/>
          <w:lang w:val="zh-CN"/>
        </w:rPr>
        <w:t>8,462,354.82</w:t>
      </w:r>
      <w:r>
        <w:rPr>
          <w:rFonts w:ascii="宋体" w:hAnsi="宋体" w:cs="宋体" w:hint="eastAsia"/>
          <w:kern w:val="0"/>
          <w:sz w:val="24"/>
          <w:lang w:val="zh-CN"/>
        </w:rPr>
        <w:t>元，较年初上升</w:t>
      </w:r>
      <w:r>
        <w:rPr>
          <w:rFonts w:eastAsia="Times New Roman"/>
          <w:kern w:val="0"/>
          <w:sz w:val="24"/>
          <w:lang w:val="zh-CN"/>
        </w:rPr>
        <w:t>59.35%</w:t>
      </w:r>
      <w:r>
        <w:rPr>
          <w:rFonts w:ascii="宋体" w:hAnsi="宋体" w:cs="宋体" w:hint="eastAsia"/>
          <w:kern w:val="0"/>
          <w:sz w:val="24"/>
          <w:lang w:val="zh-CN"/>
        </w:rPr>
        <w:t>，上升的主要原因为自派</w:t>
      </w:r>
      <w:r>
        <w:rPr>
          <w:rFonts w:eastAsia="Times New Roman"/>
          <w:kern w:val="0"/>
          <w:sz w:val="24"/>
          <w:lang w:val="zh-CN"/>
        </w:rPr>
        <w:t>2015</w:t>
      </w:r>
      <w:r>
        <w:rPr>
          <w:rFonts w:ascii="宋体" w:hAnsi="宋体" w:cs="宋体" w:hint="eastAsia"/>
          <w:kern w:val="0"/>
          <w:sz w:val="24"/>
          <w:lang w:val="zh-CN"/>
        </w:rPr>
        <w:t>年股利部分于期末尚未分派；</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10.</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日，本集团一年内到期的非流动负债为人民币</w:t>
      </w:r>
      <w:r>
        <w:rPr>
          <w:rFonts w:eastAsia="Times New Roman"/>
          <w:kern w:val="0"/>
          <w:sz w:val="24"/>
          <w:lang w:val="zh-CN"/>
        </w:rPr>
        <w:t>892,691,666.66</w:t>
      </w:r>
      <w:r>
        <w:rPr>
          <w:rFonts w:ascii="宋体" w:hAnsi="宋体" w:cs="宋体" w:hint="eastAsia"/>
          <w:kern w:val="0"/>
          <w:sz w:val="24"/>
          <w:lang w:val="zh-CN"/>
        </w:rPr>
        <w:t>元，较年初上升</w:t>
      </w:r>
      <w:r>
        <w:rPr>
          <w:rFonts w:eastAsia="Times New Roman"/>
          <w:kern w:val="0"/>
          <w:sz w:val="24"/>
          <w:lang w:val="zh-CN"/>
        </w:rPr>
        <w:t>52.45%</w:t>
      </w:r>
      <w:r>
        <w:rPr>
          <w:rFonts w:ascii="宋体" w:hAnsi="宋体" w:cs="宋体" w:hint="eastAsia"/>
          <w:kern w:val="0"/>
          <w:sz w:val="24"/>
          <w:lang w:val="zh-CN"/>
        </w:rPr>
        <w:t>；本集团长期借款为人民币</w:t>
      </w:r>
      <w:r>
        <w:rPr>
          <w:rFonts w:eastAsia="Times New Roman"/>
          <w:kern w:val="0"/>
          <w:sz w:val="24"/>
          <w:lang w:val="zh-CN"/>
        </w:rPr>
        <w:t>100,000,000.00</w:t>
      </w:r>
      <w:r>
        <w:rPr>
          <w:rFonts w:ascii="宋体" w:hAnsi="宋体" w:cs="宋体" w:hint="eastAsia"/>
          <w:kern w:val="0"/>
          <w:sz w:val="24"/>
          <w:lang w:val="zh-CN"/>
        </w:rPr>
        <w:t>元，较年初下降</w:t>
      </w:r>
      <w:r>
        <w:rPr>
          <w:rFonts w:eastAsia="Times New Roman"/>
          <w:kern w:val="0"/>
          <w:sz w:val="24"/>
          <w:lang w:val="zh-CN"/>
        </w:rPr>
        <w:t>73.56%</w:t>
      </w:r>
      <w:r>
        <w:rPr>
          <w:rFonts w:ascii="宋体" w:hAnsi="宋体" w:cs="宋体" w:hint="eastAsia"/>
          <w:kern w:val="0"/>
          <w:sz w:val="24"/>
          <w:lang w:val="zh-CN"/>
        </w:rPr>
        <w:t>，变化的主要原因为本期末部分长期借款转入一年内到期的非流动负债所致；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 xml:space="preserve">11. </w:t>
      </w:r>
      <w:r>
        <w:rPr>
          <w:rFonts w:ascii="宋体" w:hAnsi="宋体" w:cs="宋体" w:hint="eastAsia"/>
          <w:kern w:val="0"/>
          <w:sz w:val="24"/>
          <w:lang w:val="zh-CN"/>
        </w:rPr>
        <w:t>于</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9</w:t>
      </w:r>
      <w:r>
        <w:rPr>
          <w:rFonts w:ascii="宋体" w:hAnsi="宋体" w:cs="宋体" w:hint="eastAsia"/>
          <w:kern w:val="0"/>
          <w:sz w:val="24"/>
          <w:lang w:val="zh-CN"/>
        </w:rPr>
        <w:t>月</w:t>
      </w:r>
      <w:r>
        <w:rPr>
          <w:rFonts w:eastAsia="Times New Roman"/>
          <w:kern w:val="0"/>
          <w:sz w:val="24"/>
          <w:lang w:val="zh-CN"/>
        </w:rPr>
        <w:t>30</w:t>
      </w:r>
      <w:r>
        <w:rPr>
          <w:rFonts w:ascii="宋体" w:hAnsi="宋体" w:cs="宋体" w:hint="eastAsia"/>
          <w:kern w:val="0"/>
          <w:sz w:val="24"/>
          <w:lang w:val="zh-CN"/>
        </w:rPr>
        <w:t>日，本集团长期应付款为人民币</w:t>
      </w:r>
      <w:r>
        <w:rPr>
          <w:rFonts w:eastAsia="Times New Roman"/>
          <w:kern w:val="0"/>
          <w:sz w:val="24"/>
          <w:lang w:val="zh-CN"/>
        </w:rPr>
        <w:t>85,057,866.41</w:t>
      </w:r>
      <w:r>
        <w:rPr>
          <w:rFonts w:ascii="宋体" w:hAnsi="宋体" w:cs="宋体" w:hint="eastAsia"/>
          <w:kern w:val="0"/>
          <w:sz w:val="24"/>
          <w:lang w:val="zh-CN"/>
        </w:rPr>
        <w:t>元，较年初上升</w:t>
      </w:r>
      <w:r>
        <w:rPr>
          <w:rFonts w:eastAsia="Times New Roman"/>
          <w:kern w:val="0"/>
          <w:sz w:val="24"/>
          <w:lang w:val="zh-CN"/>
        </w:rPr>
        <w:t>63.54%</w:t>
      </w:r>
      <w:r>
        <w:rPr>
          <w:rFonts w:ascii="宋体" w:hAnsi="宋体" w:cs="宋体" w:hint="eastAsia"/>
          <w:kern w:val="0"/>
          <w:sz w:val="24"/>
          <w:lang w:val="zh-CN"/>
        </w:rPr>
        <w:t>，上升的主要原因为本期融资租赁款增加所致；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12.2016</w:t>
      </w:r>
      <w:r>
        <w:rPr>
          <w:rFonts w:ascii="宋体" w:hAnsi="宋体" w:cs="宋体" w:hint="eastAsia"/>
          <w:kern w:val="0"/>
          <w:sz w:val="24"/>
          <w:lang w:val="zh-CN"/>
        </w:rPr>
        <w:t>年</w:t>
      </w:r>
      <w:r>
        <w:rPr>
          <w:rFonts w:eastAsia="Times New Roman"/>
          <w:kern w:val="0"/>
          <w:sz w:val="24"/>
          <w:lang w:val="zh-CN"/>
        </w:rPr>
        <w:t>1-9</w:t>
      </w:r>
      <w:r>
        <w:rPr>
          <w:rFonts w:ascii="宋体" w:hAnsi="宋体" w:cs="宋体" w:hint="eastAsia"/>
          <w:kern w:val="0"/>
          <w:sz w:val="24"/>
          <w:lang w:val="zh-CN"/>
        </w:rPr>
        <w:t>月及</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7-9</w:t>
      </w:r>
      <w:r>
        <w:rPr>
          <w:rFonts w:ascii="宋体" w:hAnsi="宋体" w:cs="宋体" w:hint="eastAsia"/>
          <w:kern w:val="0"/>
          <w:sz w:val="24"/>
          <w:lang w:val="zh-CN"/>
        </w:rPr>
        <w:t>月资产减值损失分别为人民币</w:t>
      </w:r>
      <w:r>
        <w:rPr>
          <w:rFonts w:eastAsia="Times New Roman"/>
          <w:kern w:val="0"/>
          <w:sz w:val="24"/>
          <w:lang w:val="zh-CN"/>
        </w:rPr>
        <w:t>3,270,439.06</w:t>
      </w:r>
      <w:r>
        <w:rPr>
          <w:rFonts w:ascii="宋体" w:hAnsi="宋体" w:cs="宋体" w:hint="eastAsia"/>
          <w:kern w:val="0"/>
          <w:sz w:val="24"/>
          <w:lang w:val="zh-CN"/>
        </w:rPr>
        <w:t>元、</w:t>
      </w:r>
      <w:r>
        <w:rPr>
          <w:rFonts w:eastAsia="Times New Roman"/>
          <w:kern w:val="0"/>
          <w:sz w:val="24"/>
          <w:lang w:val="zh-CN"/>
        </w:rPr>
        <w:t>1,073,189.48</w:t>
      </w:r>
      <w:r>
        <w:rPr>
          <w:rFonts w:ascii="宋体" w:hAnsi="宋体" w:cs="宋体" w:hint="eastAsia"/>
          <w:kern w:val="0"/>
          <w:sz w:val="24"/>
          <w:lang w:val="zh-CN"/>
        </w:rPr>
        <w:t>元，较去年同期增加较大，增加的主要原因为去年同期存在已计提减值准备的应收款项收回所致；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13.2016</w:t>
      </w:r>
      <w:r>
        <w:rPr>
          <w:rFonts w:ascii="宋体" w:hAnsi="宋体" w:cs="宋体" w:hint="eastAsia"/>
          <w:kern w:val="0"/>
          <w:sz w:val="24"/>
          <w:lang w:val="zh-CN"/>
        </w:rPr>
        <w:t>年</w:t>
      </w:r>
      <w:r>
        <w:rPr>
          <w:rFonts w:eastAsia="Times New Roman"/>
          <w:kern w:val="0"/>
          <w:sz w:val="24"/>
          <w:lang w:val="zh-CN"/>
        </w:rPr>
        <w:t>1-9</w:t>
      </w:r>
      <w:r>
        <w:rPr>
          <w:rFonts w:ascii="宋体" w:hAnsi="宋体" w:cs="宋体" w:hint="eastAsia"/>
          <w:kern w:val="0"/>
          <w:sz w:val="24"/>
          <w:lang w:val="zh-CN"/>
        </w:rPr>
        <w:t>月及</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7-9</w:t>
      </w:r>
      <w:r>
        <w:rPr>
          <w:rFonts w:ascii="宋体" w:hAnsi="宋体" w:cs="宋体" w:hint="eastAsia"/>
          <w:kern w:val="0"/>
          <w:sz w:val="24"/>
          <w:lang w:val="zh-CN"/>
        </w:rPr>
        <w:t>月投资收益分别为人民币</w:t>
      </w:r>
      <w:r>
        <w:rPr>
          <w:rFonts w:eastAsia="Times New Roman"/>
          <w:kern w:val="0"/>
          <w:sz w:val="24"/>
          <w:lang w:val="zh-CN"/>
        </w:rPr>
        <w:t>7,781,048.82</w:t>
      </w:r>
      <w:r>
        <w:rPr>
          <w:rFonts w:ascii="宋体" w:hAnsi="宋体" w:cs="宋体" w:hint="eastAsia"/>
          <w:kern w:val="0"/>
          <w:sz w:val="24"/>
          <w:lang w:val="zh-CN"/>
        </w:rPr>
        <w:t>元、</w:t>
      </w:r>
      <w:r>
        <w:rPr>
          <w:rFonts w:eastAsia="Times New Roman"/>
          <w:kern w:val="0"/>
          <w:sz w:val="24"/>
          <w:lang w:val="zh-CN"/>
        </w:rPr>
        <w:t>7,765,601.50</w:t>
      </w:r>
      <w:r>
        <w:rPr>
          <w:rFonts w:ascii="宋体" w:hAnsi="宋体" w:cs="宋体" w:hint="eastAsia"/>
          <w:kern w:val="0"/>
          <w:sz w:val="24"/>
          <w:lang w:val="zh-CN"/>
        </w:rPr>
        <w:t>元，分别较去年同期上升</w:t>
      </w:r>
      <w:r>
        <w:rPr>
          <w:rFonts w:eastAsia="Times New Roman"/>
          <w:kern w:val="0"/>
          <w:sz w:val="24"/>
          <w:lang w:val="zh-CN"/>
        </w:rPr>
        <w:t>48.75%</w:t>
      </w:r>
      <w:r>
        <w:rPr>
          <w:rFonts w:ascii="宋体" w:hAnsi="宋体" w:cs="宋体" w:hint="eastAsia"/>
          <w:kern w:val="0"/>
          <w:sz w:val="24"/>
          <w:lang w:val="zh-CN"/>
        </w:rPr>
        <w:t>、</w:t>
      </w:r>
      <w:r>
        <w:rPr>
          <w:rFonts w:eastAsia="Times New Roman"/>
          <w:kern w:val="0"/>
          <w:sz w:val="24"/>
          <w:lang w:val="zh-CN"/>
        </w:rPr>
        <w:t>207.70%</w:t>
      </w:r>
      <w:r>
        <w:rPr>
          <w:rFonts w:ascii="宋体" w:hAnsi="宋体" w:cs="宋体" w:hint="eastAsia"/>
          <w:kern w:val="0"/>
          <w:sz w:val="24"/>
          <w:lang w:val="zh-CN"/>
        </w:rPr>
        <w:t>，上升的主要原因是本期持有的可供出售金融资产</w:t>
      </w:r>
      <w:r>
        <w:rPr>
          <w:rFonts w:eastAsia="Times New Roman"/>
          <w:kern w:val="0"/>
          <w:sz w:val="24"/>
          <w:lang w:val="zh-CN"/>
        </w:rPr>
        <w:t>2015</w:t>
      </w:r>
      <w:r>
        <w:rPr>
          <w:rFonts w:ascii="宋体" w:hAnsi="宋体" w:cs="宋体" w:hint="eastAsia"/>
          <w:kern w:val="0"/>
          <w:sz w:val="24"/>
          <w:lang w:val="zh-CN"/>
        </w:rPr>
        <w:t>年度分红收益增加所致；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14.2016</w:t>
      </w:r>
      <w:r>
        <w:rPr>
          <w:rFonts w:ascii="宋体" w:hAnsi="宋体" w:cs="宋体" w:hint="eastAsia"/>
          <w:kern w:val="0"/>
          <w:sz w:val="24"/>
          <w:lang w:val="zh-CN"/>
        </w:rPr>
        <w:t>年</w:t>
      </w:r>
      <w:r>
        <w:rPr>
          <w:rFonts w:eastAsia="Times New Roman"/>
          <w:kern w:val="0"/>
          <w:sz w:val="24"/>
          <w:lang w:val="zh-CN"/>
        </w:rPr>
        <w:t>1-9</w:t>
      </w:r>
      <w:r>
        <w:rPr>
          <w:rFonts w:ascii="宋体" w:hAnsi="宋体" w:cs="宋体" w:hint="eastAsia"/>
          <w:kern w:val="0"/>
          <w:sz w:val="24"/>
          <w:lang w:val="zh-CN"/>
        </w:rPr>
        <w:t>月及</w:t>
      </w:r>
      <w:r>
        <w:rPr>
          <w:rFonts w:eastAsia="Times New Roman"/>
          <w:kern w:val="0"/>
          <w:sz w:val="24"/>
          <w:lang w:val="zh-CN"/>
        </w:rPr>
        <w:t>2016</w:t>
      </w:r>
      <w:r>
        <w:rPr>
          <w:rFonts w:ascii="宋体" w:hAnsi="宋体" w:cs="宋体" w:hint="eastAsia"/>
          <w:kern w:val="0"/>
          <w:sz w:val="24"/>
          <w:lang w:val="zh-CN"/>
        </w:rPr>
        <w:t>年</w:t>
      </w:r>
      <w:r>
        <w:rPr>
          <w:rFonts w:eastAsia="Times New Roman"/>
          <w:kern w:val="0"/>
          <w:sz w:val="24"/>
          <w:lang w:val="zh-CN"/>
        </w:rPr>
        <w:t>7-9</w:t>
      </w:r>
      <w:r>
        <w:rPr>
          <w:rFonts w:ascii="宋体" w:hAnsi="宋体" w:cs="宋体" w:hint="eastAsia"/>
          <w:kern w:val="0"/>
          <w:sz w:val="24"/>
          <w:lang w:val="zh-CN"/>
        </w:rPr>
        <w:t>月营业外净收入额分别为人民币</w:t>
      </w:r>
      <w:r>
        <w:rPr>
          <w:rFonts w:eastAsia="Times New Roman"/>
          <w:kern w:val="0"/>
          <w:sz w:val="24"/>
          <w:lang w:val="zh-CN"/>
        </w:rPr>
        <w:t>1,407,596.76</w:t>
      </w:r>
      <w:r>
        <w:rPr>
          <w:rFonts w:ascii="宋体" w:hAnsi="宋体" w:cs="宋体" w:hint="eastAsia"/>
          <w:kern w:val="0"/>
          <w:sz w:val="24"/>
          <w:lang w:val="zh-CN"/>
        </w:rPr>
        <w:t>元、</w:t>
      </w:r>
      <w:r>
        <w:rPr>
          <w:rFonts w:eastAsia="Times New Roman"/>
          <w:kern w:val="0"/>
          <w:sz w:val="24"/>
          <w:lang w:val="zh-CN"/>
        </w:rPr>
        <w:t>2,170,848.14</w:t>
      </w:r>
      <w:r>
        <w:rPr>
          <w:rFonts w:ascii="宋体" w:hAnsi="宋体" w:cs="宋体" w:hint="eastAsia"/>
          <w:kern w:val="0"/>
          <w:sz w:val="24"/>
          <w:lang w:val="zh-CN"/>
        </w:rPr>
        <w:t>元，分别较去年同期减少人民币</w:t>
      </w:r>
      <w:r>
        <w:rPr>
          <w:rFonts w:eastAsia="Times New Roman"/>
          <w:kern w:val="0"/>
          <w:sz w:val="24"/>
          <w:lang w:val="zh-CN"/>
        </w:rPr>
        <w:t>2,922,798.15</w:t>
      </w:r>
      <w:r>
        <w:rPr>
          <w:rFonts w:ascii="宋体" w:hAnsi="宋体" w:cs="宋体" w:hint="eastAsia"/>
          <w:kern w:val="0"/>
          <w:sz w:val="24"/>
          <w:lang w:val="zh-CN"/>
        </w:rPr>
        <w:t>元、</w:t>
      </w:r>
      <w:r>
        <w:rPr>
          <w:rFonts w:eastAsia="Times New Roman"/>
          <w:kern w:val="0"/>
          <w:sz w:val="24"/>
          <w:lang w:val="zh-CN"/>
        </w:rPr>
        <w:t>2,063,180.48</w:t>
      </w:r>
      <w:r>
        <w:rPr>
          <w:rFonts w:ascii="宋体" w:hAnsi="宋体" w:cs="宋体" w:hint="eastAsia"/>
          <w:kern w:val="0"/>
          <w:sz w:val="24"/>
          <w:lang w:val="zh-CN"/>
        </w:rPr>
        <w:t>元，减少的主要原因为本期控股子公司支付赔偿金增加所致；</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15.2016</w:t>
      </w:r>
      <w:r>
        <w:rPr>
          <w:rFonts w:ascii="宋体" w:hAnsi="宋体" w:cs="宋体" w:hint="eastAsia"/>
          <w:kern w:val="0"/>
          <w:sz w:val="24"/>
          <w:lang w:val="zh-CN"/>
        </w:rPr>
        <w:t>年</w:t>
      </w:r>
      <w:r>
        <w:rPr>
          <w:rFonts w:eastAsia="Times New Roman"/>
          <w:kern w:val="0"/>
          <w:sz w:val="24"/>
          <w:lang w:val="zh-CN"/>
        </w:rPr>
        <w:t>1-9</w:t>
      </w:r>
      <w:r>
        <w:rPr>
          <w:rFonts w:ascii="宋体" w:hAnsi="宋体" w:cs="宋体" w:hint="eastAsia"/>
          <w:kern w:val="0"/>
          <w:sz w:val="24"/>
          <w:lang w:val="zh-CN"/>
        </w:rPr>
        <w:t>月利润总额为人民币</w:t>
      </w:r>
      <w:r>
        <w:rPr>
          <w:rFonts w:eastAsia="Times New Roman"/>
          <w:kern w:val="0"/>
          <w:sz w:val="24"/>
          <w:lang w:val="zh-CN"/>
        </w:rPr>
        <w:t>123,593,529.93</w:t>
      </w:r>
      <w:r>
        <w:rPr>
          <w:rFonts w:ascii="宋体" w:hAnsi="宋体" w:cs="宋体" w:hint="eastAsia"/>
          <w:kern w:val="0"/>
          <w:sz w:val="24"/>
          <w:lang w:val="zh-CN"/>
        </w:rPr>
        <w:t>元，较去年同期上升</w:t>
      </w:r>
      <w:r>
        <w:rPr>
          <w:rFonts w:eastAsia="Times New Roman"/>
          <w:kern w:val="0"/>
          <w:sz w:val="24"/>
          <w:lang w:val="zh-CN"/>
        </w:rPr>
        <w:t>34.09%</w:t>
      </w:r>
      <w:r>
        <w:rPr>
          <w:rFonts w:ascii="宋体" w:hAnsi="宋体" w:cs="宋体" w:hint="eastAsia"/>
          <w:kern w:val="0"/>
          <w:sz w:val="24"/>
          <w:lang w:val="zh-CN"/>
        </w:rPr>
        <w:t>，上升的主要原因为本期继续深入开展产品技术攻关活动，降低产品成本；加大招标采购力度，实现采购成本降低；积极开拓市场，扩大营销规模，主要产品销售额同比增长较大；</w:t>
      </w:r>
    </w:p>
    <w:p w:rsidR="00BF0239" w:rsidRDefault="00BF0239" w:rsidP="00BF0239">
      <w:pPr>
        <w:autoSpaceDE w:val="0"/>
        <w:autoSpaceDN w:val="0"/>
        <w:adjustRightInd w:val="0"/>
        <w:rPr>
          <w:rFonts w:eastAsia="Times New Roman"/>
          <w:kern w:val="0"/>
          <w:sz w:val="24"/>
          <w:lang w:val="zh-CN"/>
        </w:rPr>
      </w:pPr>
    </w:p>
    <w:p w:rsidR="00BF0239" w:rsidRDefault="00BF0239" w:rsidP="00BF0239">
      <w:pPr>
        <w:autoSpaceDE w:val="0"/>
        <w:autoSpaceDN w:val="0"/>
        <w:adjustRightInd w:val="0"/>
        <w:rPr>
          <w:rFonts w:eastAsia="Times New Roman"/>
          <w:kern w:val="0"/>
          <w:sz w:val="24"/>
          <w:lang w:val="zh-CN"/>
        </w:rPr>
      </w:pPr>
      <w:r>
        <w:rPr>
          <w:rFonts w:eastAsia="Times New Roman"/>
          <w:kern w:val="0"/>
          <w:sz w:val="24"/>
          <w:lang w:val="zh-CN"/>
        </w:rPr>
        <w:t>16.2016</w:t>
      </w:r>
      <w:r>
        <w:rPr>
          <w:rFonts w:ascii="宋体" w:hAnsi="宋体" w:cs="宋体" w:hint="eastAsia"/>
          <w:kern w:val="0"/>
          <w:sz w:val="24"/>
          <w:lang w:val="zh-CN"/>
        </w:rPr>
        <w:t>年</w:t>
      </w:r>
      <w:r>
        <w:rPr>
          <w:rFonts w:eastAsia="Times New Roman"/>
          <w:kern w:val="0"/>
          <w:sz w:val="24"/>
          <w:lang w:val="zh-CN"/>
        </w:rPr>
        <w:t>1-9</w:t>
      </w:r>
      <w:r>
        <w:rPr>
          <w:rFonts w:ascii="宋体" w:hAnsi="宋体" w:cs="宋体" w:hint="eastAsia"/>
          <w:kern w:val="0"/>
          <w:sz w:val="24"/>
          <w:lang w:val="zh-CN"/>
        </w:rPr>
        <w:t>月投资活动产生的现金流量净额为人民币</w:t>
      </w:r>
      <w:r>
        <w:rPr>
          <w:rFonts w:eastAsia="Times New Roman"/>
          <w:kern w:val="0"/>
          <w:sz w:val="24"/>
          <w:lang w:val="zh-CN"/>
        </w:rPr>
        <w:t>-126,644,230.65</w:t>
      </w:r>
      <w:r>
        <w:rPr>
          <w:rFonts w:ascii="宋体" w:hAnsi="宋体" w:cs="宋体" w:hint="eastAsia"/>
          <w:kern w:val="0"/>
          <w:sz w:val="24"/>
          <w:lang w:val="zh-CN"/>
        </w:rPr>
        <w:t>元，较去年同期减少人民币</w:t>
      </w:r>
      <w:r>
        <w:rPr>
          <w:rFonts w:eastAsia="Times New Roman"/>
          <w:kern w:val="0"/>
          <w:sz w:val="24"/>
          <w:lang w:val="zh-CN"/>
        </w:rPr>
        <w:t>40,638,689.82</w:t>
      </w:r>
      <w:r>
        <w:rPr>
          <w:rFonts w:ascii="宋体" w:hAnsi="宋体" w:cs="宋体" w:hint="eastAsia"/>
          <w:kern w:val="0"/>
          <w:sz w:val="24"/>
          <w:lang w:val="zh-CN"/>
        </w:rPr>
        <w:t>元，减少的主要原因为去年同期收到处置无形资产现金所致。</w:t>
      </w:r>
    </w:p>
    <w:p w:rsidR="00BF0239" w:rsidRDefault="00BF0239" w:rsidP="00BF0239">
      <w:pPr>
        <w:autoSpaceDE w:val="0"/>
        <w:autoSpaceDN w:val="0"/>
        <w:adjustRightInd w:val="0"/>
        <w:jc w:val="left"/>
        <w:rPr>
          <w:rFonts w:eastAsia="Times New Roman"/>
          <w:kern w:val="0"/>
          <w:sz w:val="24"/>
          <w:lang w:val="zh-CN"/>
        </w:rPr>
      </w:pPr>
    </w:p>
    <w:p w:rsidR="00BF0239" w:rsidRDefault="00BF0239" w:rsidP="00BF0239">
      <w:pPr>
        <w:pStyle w:val="Chapter"/>
        <w:outlineLvl w:val="1"/>
        <w:rPr>
          <w:bCs w:val="0"/>
        </w:rPr>
      </w:pPr>
      <w:r>
        <w:rPr>
          <w:rFonts w:hint="eastAsia"/>
          <w:bCs w:val="0"/>
        </w:rPr>
        <w:t>二、重要事项进展情况及其影响和解决方案的分析说明</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autoSpaceDE w:val="0"/>
        <w:autoSpaceDN w:val="0"/>
        <w:adjustRightInd w:val="0"/>
        <w:jc w:val="left"/>
        <w:rPr>
          <w:rFonts w:eastAsia="Times New Roman"/>
          <w:kern w:val="0"/>
          <w:lang w:val="zh-CN"/>
        </w:rPr>
      </w:pPr>
      <w:r>
        <w:rPr>
          <w:rFonts w:eastAsia="Times New Roman"/>
          <w:kern w:val="0"/>
          <w:lang w:val="zh-CN"/>
        </w:rPr>
        <w:t>2015</w:t>
      </w:r>
      <w:r>
        <w:rPr>
          <w:rFonts w:ascii="宋体" w:hAnsi="宋体" w:cs="宋体" w:hint="eastAsia"/>
          <w:kern w:val="0"/>
          <w:lang w:val="zh-CN"/>
        </w:rPr>
        <w:t>年</w:t>
      </w:r>
      <w:r>
        <w:rPr>
          <w:rFonts w:eastAsia="Times New Roman"/>
          <w:kern w:val="0"/>
          <w:lang w:val="zh-CN"/>
        </w:rPr>
        <w:t>12</w:t>
      </w:r>
      <w:r>
        <w:rPr>
          <w:rFonts w:ascii="宋体" w:hAnsi="宋体" w:cs="宋体" w:hint="eastAsia"/>
          <w:kern w:val="0"/>
          <w:lang w:val="zh-CN"/>
        </w:rPr>
        <w:t>月</w:t>
      </w:r>
      <w:r>
        <w:rPr>
          <w:rFonts w:eastAsia="Times New Roman"/>
          <w:kern w:val="0"/>
          <w:lang w:val="zh-CN"/>
        </w:rPr>
        <w:t>29</w:t>
      </w:r>
      <w:r>
        <w:rPr>
          <w:rFonts w:ascii="宋体" w:hAnsi="宋体" w:cs="宋体" w:hint="eastAsia"/>
          <w:kern w:val="0"/>
          <w:lang w:val="zh-CN"/>
        </w:rPr>
        <w:t>日本公司召开</w:t>
      </w:r>
      <w:r>
        <w:rPr>
          <w:rFonts w:eastAsia="Times New Roman"/>
          <w:kern w:val="0"/>
          <w:lang w:val="zh-CN"/>
        </w:rPr>
        <w:t>2015</w:t>
      </w:r>
      <w:r>
        <w:rPr>
          <w:rFonts w:ascii="宋体" w:hAnsi="宋体" w:cs="宋体" w:hint="eastAsia"/>
          <w:kern w:val="0"/>
          <w:lang w:val="zh-CN"/>
        </w:rPr>
        <w:t>年第二次临时股东大会、</w:t>
      </w:r>
      <w:r>
        <w:rPr>
          <w:rFonts w:eastAsia="Times New Roman"/>
          <w:kern w:val="0"/>
          <w:lang w:val="zh-CN"/>
        </w:rPr>
        <w:t>2015</w:t>
      </w:r>
      <w:r>
        <w:rPr>
          <w:rFonts w:ascii="宋体" w:hAnsi="宋体" w:cs="宋体" w:hint="eastAsia"/>
          <w:kern w:val="0"/>
          <w:lang w:val="zh-CN"/>
        </w:rPr>
        <w:t>年第一次</w:t>
      </w:r>
      <w:r>
        <w:rPr>
          <w:rFonts w:eastAsia="Times New Roman"/>
          <w:kern w:val="0"/>
          <w:lang w:val="zh-CN"/>
        </w:rPr>
        <w:t>A</w:t>
      </w:r>
      <w:r>
        <w:rPr>
          <w:rFonts w:ascii="宋体" w:hAnsi="宋体" w:cs="宋体" w:hint="eastAsia"/>
          <w:kern w:val="0"/>
          <w:lang w:val="zh-CN"/>
        </w:rPr>
        <w:t>股类别股东大会、</w:t>
      </w:r>
      <w:r>
        <w:rPr>
          <w:rFonts w:eastAsia="Times New Roman"/>
          <w:kern w:val="0"/>
          <w:lang w:val="zh-CN"/>
        </w:rPr>
        <w:t>2015</w:t>
      </w:r>
      <w:r>
        <w:rPr>
          <w:rFonts w:ascii="宋体" w:hAnsi="宋体" w:cs="宋体" w:hint="eastAsia"/>
          <w:kern w:val="0"/>
          <w:lang w:val="zh-CN"/>
        </w:rPr>
        <w:t>年第一次</w:t>
      </w:r>
      <w:r>
        <w:rPr>
          <w:rFonts w:eastAsia="Times New Roman"/>
          <w:kern w:val="0"/>
          <w:lang w:val="zh-CN"/>
        </w:rPr>
        <w:t>H</w:t>
      </w:r>
      <w:r>
        <w:rPr>
          <w:rFonts w:ascii="宋体" w:hAnsi="宋体" w:cs="宋体" w:hint="eastAsia"/>
          <w:kern w:val="0"/>
          <w:lang w:val="zh-CN"/>
        </w:rPr>
        <w:t>股类别股东大会审议通过了《关于公司符合非公开发行</w:t>
      </w:r>
      <w:r>
        <w:rPr>
          <w:rFonts w:eastAsia="Times New Roman"/>
          <w:kern w:val="0"/>
          <w:lang w:val="zh-CN"/>
        </w:rPr>
        <w:t>A</w:t>
      </w:r>
      <w:r>
        <w:rPr>
          <w:rFonts w:ascii="宋体" w:hAnsi="宋体" w:cs="宋体" w:hint="eastAsia"/>
          <w:kern w:val="0"/>
          <w:lang w:val="zh-CN"/>
        </w:rPr>
        <w:t>股股票条件的议案》等有关议案，具体内容见</w:t>
      </w:r>
      <w:r>
        <w:rPr>
          <w:rFonts w:eastAsia="Times New Roman"/>
          <w:kern w:val="0"/>
          <w:lang w:val="zh-CN"/>
        </w:rPr>
        <w:t>2015</w:t>
      </w:r>
      <w:r>
        <w:rPr>
          <w:rFonts w:ascii="宋体" w:hAnsi="宋体" w:cs="宋体" w:hint="eastAsia"/>
          <w:kern w:val="0"/>
          <w:lang w:val="zh-CN"/>
        </w:rPr>
        <w:t>年</w:t>
      </w:r>
      <w:r>
        <w:rPr>
          <w:rFonts w:eastAsia="Times New Roman"/>
          <w:kern w:val="0"/>
          <w:lang w:val="zh-CN"/>
        </w:rPr>
        <w:t>10</w:t>
      </w:r>
      <w:r>
        <w:rPr>
          <w:rFonts w:ascii="宋体" w:hAnsi="宋体" w:cs="宋体" w:hint="eastAsia"/>
          <w:kern w:val="0"/>
          <w:lang w:val="zh-CN"/>
        </w:rPr>
        <w:t>月</w:t>
      </w:r>
      <w:r>
        <w:rPr>
          <w:rFonts w:eastAsia="Times New Roman"/>
          <w:kern w:val="0"/>
          <w:lang w:val="zh-CN"/>
        </w:rPr>
        <w:t>9</w:t>
      </w:r>
      <w:r>
        <w:rPr>
          <w:rFonts w:ascii="宋体" w:hAnsi="宋体" w:cs="宋体" w:hint="eastAsia"/>
          <w:kern w:val="0"/>
          <w:lang w:val="zh-CN"/>
        </w:rPr>
        <w:t>日、</w:t>
      </w:r>
      <w:r>
        <w:rPr>
          <w:rFonts w:eastAsia="Times New Roman"/>
          <w:kern w:val="0"/>
          <w:lang w:val="zh-CN"/>
        </w:rPr>
        <w:t>2015</w:t>
      </w:r>
      <w:r>
        <w:rPr>
          <w:rFonts w:ascii="宋体" w:hAnsi="宋体" w:cs="宋体" w:hint="eastAsia"/>
          <w:kern w:val="0"/>
          <w:lang w:val="zh-CN"/>
        </w:rPr>
        <w:t>年</w:t>
      </w:r>
      <w:r>
        <w:rPr>
          <w:rFonts w:eastAsia="Times New Roman"/>
          <w:kern w:val="0"/>
          <w:lang w:val="zh-CN"/>
        </w:rPr>
        <w:t>12</w:t>
      </w:r>
      <w:r>
        <w:rPr>
          <w:rFonts w:ascii="宋体" w:hAnsi="宋体" w:cs="宋体" w:hint="eastAsia"/>
          <w:kern w:val="0"/>
          <w:lang w:val="zh-CN"/>
        </w:rPr>
        <w:t>月</w:t>
      </w:r>
      <w:r>
        <w:rPr>
          <w:rFonts w:eastAsia="Times New Roman"/>
          <w:kern w:val="0"/>
          <w:lang w:val="zh-CN"/>
        </w:rPr>
        <w:t>30</w:t>
      </w:r>
      <w:r>
        <w:rPr>
          <w:rFonts w:ascii="宋体" w:hAnsi="宋体" w:cs="宋体" w:hint="eastAsia"/>
          <w:kern w:val="0"/>
          <w:lang w:val="zh-CN"/>
        </w:rPr>
        <w:t>日巨潮资讯网。</w:t>
      </w:r>
      <w:r>
        <w:rPr>
          <w:rFonts w:eastAsia="Times New Roman"/>
          <w:kern w:val="0"/>
          <w:lang w:val="zh-CN"/>
        </w:rPr>
        <w:t>2016</w:t>
      </w:r>
      <w:r>
        <w:rPr>
          <w:rFonts w:ascii="宋体" w:hAnsi="宋体" w:cs="宋体" w:hint="eastAsia"/>
          <w:kern w:val="0"/>
          <w:lang w:val="zh-CN"/>
        </w:rPr>
        <w:t>年</w:t>
      </w:r>
      <w:r>
        <w:rPr>
          <w:rFonts w:eastAsia="Times New Roman"/>
          <w:kern w:val="0"/>
          <w:lang w:val="zh-CN"/>
        </w:rPr>
        <w:t>5</w:t>
      </w:r>
      <w:r>
        <w:rPr>
          <w:rFonts w:ascii="宋体" w:hAnsi="宋体" w:cs="宋体" w:hint="eastAsia"/>
          <w:kern w:val="0"/>
          <w:lang w:val="zh-CN"/>
        </w:rPr>
        <w:t>月</w:t>
      </w:r>
      <w:r>
        <w:rPr>
          <w:rFonts w:eastAsia="Times New Roman"/>
          <w:kern w:val="0"/>
          <w:lang w:val="zh-CN"/>
        </w:rPr>
        <w:t>5</w:t>
      </w:r>
      <w:r>
        <w:rPr>
          <w:rFonts w:ascii="宋体" w:hAnsi="宋体" w:cs="宋体" w:hint="eastAsia"/>
          <w:kern w:val="0"/>
          <w:lang w:val="zh-CN"/>
        </w:rPr>
        <w:t>日刊登《关于收到非公开发行股票反馈意见的公告》、</w:t>
      </w:r>
      <w:r>
        <w:rPr>
          <w:rFonts w:eastAsia="Times New Roman"/>
          <w:kern w:val="0"/>
          <w:lang w:val="zh-CN"/>
        </w:rPr>
        <w:t>2016</w:t>
      </w:r>
      <w:r>
        <w:rPr>
          <w:rFonts w:ascii="宋体" w:hAnsi="宋体" w:cs="宋体" w:hint="eastAsia"/>
          <w:kern w:val="0"/>
          <w:lang w:val="zh-CN"/>
        </w:rPr>
        <w:t>年</w:t>
      </w:r>
      <w:r>
        <w:rPr>
          <w:rFonts w:eastAsia="Times New Roman"/>
          <w:kern w:val="0"/>
          <w:lang w:val="zh-CN"/>
        </w:rPr>
        <w:t>5</w:t>
      </w:r>
      <w:r>
        <w:rPr>
          <w:rFonts w:ascii="宋体" w:hAnsi="宋体" w:cs="宋体" w:hint="eastAsia"/>
          <w:kern w:val="0"/>
          <w:lang w:val="zh-CN"/>
        </w:rPr>
        <w:t>月</w:t>
      </w:r>
      <w:r>
        <w:rPr>
          <w:rFonts w:eastAsia="Times New Roman"/>
          <w:kern w:val="0"/>
          <w:lang w:val="zh-CN"/>
        </w:rPr>
        <w:t>26</w:t>
      </w:r>
      <w:r>
        <w:rPr>
          <w:rFonts w:ascii="宋体" w:hAnsi="宋体" w:cs="宋体" w:hint="eastAsia"/>
          <w:kern w:val="0"/>
          <w:lang w:val="zh-CN"/>
        </w:rPr>
        <w:t>日刊登《关于申请延期回复非公开发行股票反馈意见的公告</w:t>
      </w:r>
      <w:r>
        <w:rPr>
          <w:rFonts w:eastAsia="Times New Roman"/>
          <w:kern w:val="0"/>
          <w:lang w:val="zh-CN"/>
        </w:rPr>
        <w:t xml:space="preserve"> </w:t>
      </w:r>
      <w:r>
        <w:rPr>
          <w:rFonts w:ascii="宋体" w:hAnsi="宋体" w:cs="宋体" w:hint="eastAsia"/>
          <w:kern w:val="0"/>
          <w:lang w:val="zh-CN"/>
        </w:rPr>
        <w:t>》、</w:t>
      </w:r>
      <w:r>
        <w:rPr>
          <w:rFonts w:eastAsia="Times New Roman"/>
          <w:kern w:val="0"/>
          <w:lang w:val="zh-CN"/>
        </w:rPr>
        <w:t>2016</w:t>
      </w:r>
      <w:r>
        <w:rPr>
          <w:rFonts w:ascii="宋体" w:hAnsi="宋体" w:cs="宋体" w:hint="eastAsia"/>
          <w:kern w:val="0"/>
          <w:lang w:val="zh-CN"/>
        </w:rPr>
        <w:t>年</w:t>
      </w:r>
      <w:r>
        <w:rPr>
          <w:rFonts w:eastAsia="Times New Roman"/>
          <w:kern w:val="0"/>
          <w:lang w:val="zh-CN"/>
        </w:rPr>
        <w:t>6</w:t>
      </w:r>
      <w:r>
        <w:rPr>
          <w:rFonts w:ascii="宋体" w:hAnsi="宋体" w:cs="宋体" w:hint="eastAsia"/>
          <w:kern w:val="0"/>
          <w:lang w:val="zh-CN"/>
        </w:rPr>
        <w:t>月</w:t>
      </w:r>
      <w:r>
        <w:rPr>
          <w:rFonts w:eastAsia="Times New Roman"/>
          <w:kern w:val="0"/>
          <w:lang w:val="zh-CN"/>
        </w:rPr>
        <w:t>26</w:t>
      </w:r>
      <w:r>
        <w:rPr>
          <w:rFonts w:ascii="宋体" w:hAnsi="宋体" w:cs="宋体" w:hint="eastAsia"/>
          <w:kern w:val="0"/>
          <w:lang w:val="zh-CN"/>
        </w:rPr>
        <w:t>日刊登《关于申请中止公司非公开发行股票申请文件审核的公告》。</w:t>
      </w:r>
      <w:r>
        <w:rPr>
          <w:rFonts w:eastAsia="Times New Roman"/>
          <w:kern w:val="0"/>
          <w:lang w:val="zh-CN"/>
        </w:rPr>
        <w:t>2016</w:t>
      </w:r>
      <w:r>
        <w:rPr>
          <w:rFonts w:ascii="宋体" w:hAnsi="宋体" w:cs="宋体" w:hint="eastAsia"/>
          <w:kern w:val="0"/>
          <w:lang w:val="zh-CN"/>
        </w:rPr>
        <w:t>年</w:t>
      </w:r>
      <w:r>
        <w:rPr>
          <w:rFonts w:eastAsia="Times New Roman"/>
          <w:kern w:val="0"/>
          <w:lang w:val="zh-CN"/>
        </w:rPr>
        <w:t>9</w:t>
      </w:r>
      <w:r>
        <w:rPr>
          <w:rFonts w:ascii="宋体" w:hAnsi="宋体" w:cs="宋体" w:hint="eastAsia"/>
          <w:kern w:val="0"/>
          <w:lang w:val="zh-CN"/>
        </w:rPr>
        <w:t>月</w:t>
      </w:r>
      <w:r>
        <w:rPr>
          <w:rFonts w:eastAsia="Times New Roman"/>
          <w:kern w:val="0"/>
          <w:lang w:val="zh-CN"/>
        </w:rPr>
        <w:t>29</w:t>
      </w:r>
      <w:r>
        <w:rPr>
          <w:rFonts w:ascii="宋体" w:hAnsi="宋体" w:cs="宋体" w:hint="eastAsia"/>
          <w:kern w:val="0"/>
          <w:lang w:val="zh-CN"/>
        </w:rPr>
        <w:t>日刊登了《关于非公开发行股票申请文件反馈意见的回复》。</w:t>
      </w:r>
    </w:p>
    <w:p w:rsidR="00BF0239" w:rsidRDefault="00BF0239" w:rsidP="00BF0239">
      <w:pPr>
        <w:autoSpaceDE w:val="0"/>
        <w:autoSpaceDN w:val="0"/>
        <w:adjustRightInd w:val="0"/>
        <w:jc w:val="left"/>
        <w:rPr>
          <w:rFonts w:eastAsia="Times New Roman"/>
          <w:kern w:val="0"/>
          <w:lang w:val="zh-CN"/>
        </w:rPr>
      </w:pPr>
    </w:p>
    <w:tbl>
      <w:tblPr>
        <w:tblW w:w="0" w:type="auto"/>
        <w:tblInd w:w="28" w:type="dxa"/>
        <w:tblLayout w:type="fixed"/>
        <w:tblCellMar>
          <w:left w:w="28" w:type="dxa"/>
          <w:right w:w="28" w:type="dxa"/>
        </w:tblCellMar>
        <w:tblLook w:val="0000"/>
      </w:tblPr>
      <w:tblGrid>
        <w:gridCol w:w="3189"/>
        <w:gridCol w:w="3191"/>
        <w:gridCol w:w="3189"/>
      </w:tblGrid>
      <w:tr w:rsidR="00BF0239" w:rsidTr="001B46C4">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重要事项概述</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披露日期</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临时报告披露网站查询索引</w:t>
            </w:r>
          </w:p>
        </w:tc>
      </w:tr>
    </w:tbl>
    <w:p w:rsidR="00BF0239" w:rsidRDefault="00BF0239" w:rsidP="00BF0239">
      <w:pPr>
        <w:pStyle w:val="Chapter"/>
        <w:outlineLvl w:val="1"/>
        <w:rPr>
          <w:bCs w:val="0"/>
        </w:rPr>
      </w:pPr>
      <w:r>
        <w:rPr>
          <w:rFonts w:hint="eastAsia"/>
          <w:bCs w:val="0"/>
        </w:rPr>
        <w:t>三、公司、股东、实际控制人、收购人、董事、监事、高级管理人员或其他关联方在报告期内履行完毕及截至报告期末尚未履行完毕的承诺事项</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公司报告期不存在公司、股东、实际控制人、收购人、董事、监事、高级管理人员或其他关联方在报告期内履行完毕及截至报告期末尚未履行完毕的承诺事项。</w:t>
      </w:r>
    </w:p>
    <w:p w:rsidR="00BF0239" w:rsidRDefault="00BF0239" w:rsidP="00BF0239">
      <w:pPr>
        <w:pStyle w:val="Chapter"/>
        <w:outlineLvl w:val="1"/>
        <w:rPr>
          <w:bCs w:val="0"/>
        </w:rPr>
      </w:pPr>
      <w:r>
        <w:rPr>
          <w:rFonts w:hint="eastAsia"/>
          <w:bCs w:val="0"/>
        </w:rPr>
        <w:t>四、对</w:t>
      </w:r>
      <w:r>
        <w:rPr>
          <w:bCs w:val="0"/>
        </w:rPr>
        <w:t>2016</w:t>
      </w:r>
      <w:r>
        <w:rPr>
          <w:rFonts w:hint="eastAsia"/>
          <w:bCs w:val="0"/>
        </w:rPr>
        <w:t>年度经营业绩的预计</w:t>
      </w:r>
    </w:p>
    <w:p w:rsidR="00BF0239" w:rsidRDefault="00BF0239" w:rsidP="00BF0239">
      <w:pPr>
        <w:jc w:val="left"/>
      </w:pPr>
      <w:r>
        <w:rPr>
          <w:rFonts w:hint="eastAsia"/>
        </w:rPr>
        <w:t>预测年初至下一报告期期末的累计净利润可能为亏损或者与上年同期相比发生大幅度变动的警示及原因说明</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pStyle w:val="Chapter"/>
        <w:outlineLvl w:val="1"/>
        <w:rPr>
          <w:bCs w:val="0"/>
        </w:rPr>
      </w:pPr>
      <w:r>
        <w:rPr>
          <w:rFonts w:hint="eastAsia"/>
          <w:bCs w:val="0"/>
        </w:rPr>
        <w:t>五、证券投资情况</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公司报告期不存在证券投资。</w:t>
      </w:r>
    </w:p>
    <w:p w:rsidR="00BF0239" w:rsidRDefault="00BF0239" w:rsidP="00BF0239">
      <w:pPr>
        <w:pStyle w:val="Chapter"/>
        <w:outlineLvl w:val="1"/>
        <w:rPr>
          <w:bCs w:val="0"/>
        </w:rPr>
      </w:pPr>
      <w:r>
        <w:rPr>
          <w:rFonts w:hint="eastAsia"/>
          <w:bCs w:val="0"/>
        </w:rPr>
        <w:t>六、衍生品投资情况</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公司报告期不存在衍生品投资。</w:t>
      </w:r>
    </w:p>
    <w:p w:rsidR="00BF0239" w:rsidRDefault="00BF0239" w:rsidP="00BF0239">
      <w:pPr>
        <w:pStyle w:val="Chapter"/>
        <w:outlineLvl w:val="1"/>
        <w:rPr>
          <w:bCs w:val="0"/>
        </w:rPr>
      </w:pPr>
      <w:r>
        <w:rPr>
          <w:rFonts w:hint="eastAsia"/>
          <w:bCs w:val="0"/>
        </w:rPr>
        <w:t>七、报告期内接待调研、沟通、采访等活动登记表</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公司报告期内未发生接待调研、沟通、采访等活动。</w:t>
      </w:r>
    </w:p>
    <w:p w:rsidR="00BF0239" w:rsidRDefault="00BF0239" w:rsidP="00BF0239">
      <w:pPr>
        <w:pStyle w:val="Chapter"/>
        <w:outlineLvl w:val="1"/>
        <w:rPr>
          <w:bCs w:val="0"/>
        </w:rPr>
      </w:pPr>
      <w:r>
        <w:rPr>
          <w:rFonts w:hint="eastAsia"/>
          <w:bCs w:val="0"/>
        </w:rPr>
        <w:t>八、违规对外担保情况</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公司报告期无违规对外担保情况。</w:t>
      </w:r>
    </w:p>
    <w:p w:rsidR="00BF0239" w:rsidRDefault="00BF0239" w:rsidP="00BF0239">
      <w:pPr>
        <w:pStyle w:val="Chapter"/>
        <w:outlineLvl w:val="1"/>
        <w:rPr>
          <w:bCs w:val="0"/>
        </w:rPr>
      </w:pPr>
      <w:r>
        <w:rPr>
          <w:rFonts w:hint="eastAsia"/>
          <w:bCs w:val="0"/>
        </w:rPr>
        <w:t>九、控股股东及其关联方对上市公司的非经营性占用资金情况</w:t>
      </w:r>
    </w:p>
    <w:p w:rsidR="00BF0239" w:rsidRDefault="00BF0239" w:rsidP="00BF0239">
      <w:pPr>
        <w:jc w:val="left"/>
      </w:pPr>
      <w:r>
        <w:t xml:space="preserve">□ </w:t>
      </w:r>
      <w:r>
        <w:rPr>
          <w:rFonts w:hint="eastAsia"/>
        </w:rPr>
        <w:t>适用</w:t>
      </w:r>
      <w:r>
        <w:t xml:space="preserve"> √ </w:t>
      </w:r>
      <w:r>
        <w:rPr>
          <w:rFonts w:hint="eastAsia"/>
        </w:rPr>
        <w:t>不适用</w:t>
      </w:r>
      <w:r>
        <w:t xml:space="preserve"> </w:t>
      </w:r>
    </w:p>
    <w:p w:rsidR="00BF0239" w:rsidRDefault="00BF0239" w:rsidP="00BF0239">
      <w:pPr>
        <w:jc w:val="left"/>
      </w:pPr>
      <w:r>
        <w:rPr>
          <w:rFonts w:hint="eastAsia"/>
        </w:rPr>
        <w:t>公司报告期不存在控股股东及其关联方对上市公司的非经营性占用资金。</w:t>
      </w:r>
    </w:p>
    <w:p w:rsidR="00BF0239" w:rsidRDefault="00BF0239" w:rsidP="00BF0239">
      <w:pPr>
        <w:jc w:val="left"/>
        <w:sectPr w:rsidR="00BF0239">
          <w:pgSz w:w="11906" w:h="16838"/>
          <w:pgMar w:top="1440" w:right="1134" w:bottom="1440" w:left="1134" w:header="851" w:footer="992" w:gutter="0"/>
          <w:cols w:space="425"/>
          <w:docGrid w:type="lines" w:linePitch="312"/>
        </w:sectPr>
      </w:pPr>
    </w:p>
    <w:p w:rsidR="00BF0239" w:rsidRDefault="00BF0239" w:rsidP="00BF0239">
      <w:pPr>
        <w:pStyle w:val="a6"/>
        <w:outlineLvl w:val="0"/>
        <w:rPr>
          <w:bCs w:val="0"/>
          <w:szCs w:val="24"/>
        </w:rPr>
      </w:pPr>
      <w:bookmarkStart w:id="3" w:name="_Toc300000087"/>
      <w:r>
        <w:rPr>
          <w:rFonts w:hint="eastAsia"/>
          <w:bCs w:val="0"/>
          <w:szCs w:val="24"/>
        </w:rPr>
        <w:t>第四节</w:t>
      </w:r>
      <w:r>
        <w:rPr>
          <w:bCs w:val="0"/>
          <w:szCs w:val="24"/>
        </w:rPr>
        <w:t xml:space="preserve"> </w:t>
      </w:r>
      <w:r>
        <w:rPr>
          <w:rFonts w:hint="eastAsia"/>
          <w:bCs w:val="0"/>
          <w:szCs w:val="24"/>
        </w:rPr>
        <w:t>财务报表</w:t>
      </w:r>
      <w:bookmarkEnd w:id="3"/>
    </w:p>
    <w:p w:rsidR="00BF0239" w:rsidRDefault="00BF0239" w:rsidP="00BF0239">
      <w:pPr>
        <w:pStyle w:val="Chapter"/>
        <w:outlineLvl w:val="1"/>
        <w:rPr>
          <w:bCs w:val="0"/>
        </w:rPr>
      </w:pPr>
      <w:r>
        <w:rPr>
          <w:rFonts w:hint="eastAsia"/>
          <w:bCs w:val="0"/>
        </w:rPr>
        <w:t>一、财务报表</w:t>
      </w:r>
    </w:p>
    <w:p w:rsidR="00BF0239" w:rsidRDefault="00BF0239" w:rsidP="00BF0239">
      <w:pPr>
        <w:pStyle w:val="Section"/>
        <w:outlineLvl w:val="2"/>
        <w:rPr>
          <w:bCs w:val="0"/>
          <w:szCs w:val="24"/>
        </w:rPr>
      </w:pPr>
      <w:r>
        <w:rPr>
          <w:bCs w:val="0"/>
          <w:szCs w:val="24"/>
        </w:rPr>
        <w:t>1</w:t>
      </w:r>
      <w:r>
        <w:rPr>
          <w:rFonts w:hint="eastAsia"/>
          <w:bCs w:val="0"/>
          <w:szCs w:val="24"/>
        </w:rPr>
        <w:t>、合并资产负债表</w:t>
      </w:r>
    </w:p>
    <w:p w:rsidR="00BF0239" w:rsidRDefault="00BF0239" w:rsidP="00BF0239">
      <w:pPr>
        <w:jc w:val="left"/>
      </w:pPr>
      <w:r>
        <w:rPr>
          <w:rFonts w:hint="eastAsia"/>
        </w:rPr>
        <w:t>编制单位：山东新华制药股份有限公司</w:t>
      </w:r>
    </w:p>
    <w:p w:rsidR="00BF0239" w:rsidRDefault="00BF0239" w:rsidP="00BF0239">
      <w:pPr>
        <w:jc w:val="center"/>
      </w:pPr>
      <w:r>
        <w:t>2016</w:t>
      </w:r>
      <w:r>
        <w:rPr>
          <w:rFonts w:hint="eastAsia"/>
        </w:rPr>
        <w:t>年</w:t>
      </w:r>
      <w:r>
        <w:t>09</w:t>
      </w:r>
      <w:r>
        <w:rPr>
          <w:rFonts w:hint="eastAsia"/>
        </w:rPr>
        <w:t>月</w:t>
      </w:r>
      <w:r>
        <w:t>30</w:t>
      </w:r>
      <w:r>
        <w:rPr>
          <w:rFonts w:hint="eastAsia"/>
        </w:rPr>
        <w:t>日</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3194"/>
        <w:gridCol w:w="3406"/>
        <w:gridCol w:w="2968"/>
      </w:tblGrid>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期末余额</w:t>
            </w: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期初余额</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货币资金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608,186,681.54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476,288,884.09</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结算备付金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拆出资金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以公允价值计量且其变动计入当期损益的金融资产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衍生金融资产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应收票据</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121,701,397.05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225,146,715.24</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480,875,304.06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314,348,372.90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预付款项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27,579,517.92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23,862,000.43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应收保费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应收分保合同准备金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应收利息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1,937,851.12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应收股利</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50,892,856.47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42,363,264.11</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买入返售金融资产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存货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392,965,465.13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546,460,168.40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划分为持有待售的资产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一年内到期的非流动资产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7,240,056.67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21,072,010.76</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1,689,441,278.84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1,651,479,267.05</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非流动资产：</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发放贷款及垫款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可供出售金融资产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192,402,176.00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200,431,648.00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持有至到期投资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长期应收款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长期股权投资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投资性房地产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75,441,213.53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78,919,116.83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固定资产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1,974,564,505.88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2,070,424,188.32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在建工程</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341,037,838.40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155,326,282.87</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工程物资</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固定资产清理</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生产性生物资产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油气资产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无形资产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285,415,543.53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294,564,809.70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开发支出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商誉</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长期待摊费用</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递延所得税资产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26,086,950.09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25,577,123.86</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其他非流动资产</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15,400,000.00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15,400,000.00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非流动资产合计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2,910,348,227.43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2,840,643,169.58</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资产总计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4,599,789,506.27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4,492,122,436.63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短期借款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460,000,000.00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530,000,000.00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向中央银行借款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吸收存款及同业存放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拆入资金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以公允价值计量且其变动计入当期损益的金融负债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衍生金融负债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应付票据</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103,544,527.94</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215,648,469.78</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416,380,493.62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380,787,628.21</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预收款项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31,605,139.71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40,445,572.01</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卖出回购金融资产款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应付手续费及佣金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36,280,005.76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30,882,312.65</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应交税费</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22,683,208.09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16,464,788.72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应付利息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30,187,233.83</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1,206,341.11</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应付股利</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8,462,354.82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5,310,599.53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167,051,188.99</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140,023,098.13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应付分保账款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保险合同准备金</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代理买卖证券款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代理承销证券款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划分为持有待售的负债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一年内到期的非流动负债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892,691,666.66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585,544,786.58</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4,732,000.00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4,602,000.00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2,173,617,819.42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1,950,915,596.72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非流动负债：</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长期借款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100,000,000.00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378,200,000.00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应付债券</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85,057,866.41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52,011,490.15</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长期应付职工薪酬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专项应付款</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77,690,000.00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15,420,000.00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预计负债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99,472,487.38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97,909,029.94</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递延所得税负债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9,105,197.36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10,022,501.42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其他非流动负债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3,561,500.00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3,561,500.00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374,887,051.15</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557,124,521.51</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负债合计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2,548,504,870.57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2,508,040,118.23</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所有者权益：</w:t>
            </w:r>
          </w:p>
        </w:tc>
        <w:tc>
          <w:tcPr>
            <w:tcW w:w="340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8"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股本</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457,312,830.00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457,312,830.00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其他权益工具</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其中：优先股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永续债</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资本公积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513,092,452.66</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513,092,452.66</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减：库存股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其他综合收益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142,341,508.27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148,383,251.38</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专项储备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盈余公积</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213,465,177.68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213,465,177.68</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一般风险准备</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未分配利润</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632,036,809.11</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552,002,849.22</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归属于母公司所有者权益合计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1,958,248,777.72</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1,884,256,560.94</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少数股东权益</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93,035,857.98</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99,825,757.46</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所有者权益合计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2,051,284,635.70</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1,984,082,318.40</w:t>
            </w:r>
          </w:p>
        </w:tc>
      </w:tr>
      <w:tr w:rsidR="00BF0239" w:rsidTr="001B46C4">
        <w:tblPrEx>
          <w:tblCellMar>
            <w:top w:w="0" w:type="dxa"/>
            <w:bottom w:w="0" w:type="dxa"/>
          </w:tblCellMar>
        </w:tblPrEx>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负债和所有者权益总计</w:t>
            </w:r>
          </w:p>
        </w:tc>
        <w:tc>
          <w:tcPr>
            <w:tcW w:w="340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4,599,789,506.27</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4,492,122,436.63</w:t>
            </w:r>
          </w:p>
        </w:tc>
      </w:tr>
    </w:tbl>
    <w:p w:rsidR="00BF0239" w:rsidRDefault="00BF0239" w:rsidP="00BF0239">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BF0239" w:rsidRDefault="00BF0239" w:rsidP="00BF0239">
      <w:pPr>
        <w:pStyle w:val="Section"/>
        <w:outlineLvl w:val="2"/>
        <w:rPr>
          <w:bCs w:val="0"/>
          <w:szCs w:val="24"/>
        </w:rPr>
      </w:pPr>
      <w:r>
        <w:rPr>
          <w:bCs w:val="0"/>
          <w:szCs w:val="24"/>
        </w:rPr>
        <w:t>2</w:t>
      </w:r>
      <w:r>
        <w:rPr>
          <w:rFonts w:hint="eastAsia"/>
          <w:bCs w:val="0"/>
          <w:szCs w:val="24"/>
        </w:rPr>
        <w:t>、母公司资产负债表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3301"/>
        <w:gridCol w:w="3301"/>
        <w:gridCol w:w="2966"/>
      </w:tblGrid>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期末余额</w:t>
            </w: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期初余额</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货币资金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438,985,084.13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291,940,435.73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以公允价值计量且其变动计入当期损益的金融资产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衍生金融资产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应收票据</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47,962,259.61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156,857,770.10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504,056,781.32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432,002,639.73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预付款项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14,502,826.44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9,187,119.90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应收利息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1,937,851.12</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应收股利</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356,865,375.49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406,903,717.08</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存货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229,069,274.94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287,735,048.69</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划分为持有待售的资产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一年内到期的非流动资产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4,502,430.42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16,380,987.51</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1,595,944,032.35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1,602,945,569.86</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非流动资产：</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可供出售金融资产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192,402,176.00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200,431,648.00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持有至到期投资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长期应收款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长期股权投资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468,244,841.06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468,244,841.06</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投资性房地产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75,441,213.53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78,919,116.83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固定资产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1,424,855,124.35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1,503,751,384.33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在建工程</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282,509,284.87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109,112,518.04</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工程物资</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固定资产清理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生产性生物资产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油气资产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无形资产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195,913,924.17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200,290,752.13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开发支出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商誉</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长期待摊费用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递延所得税资产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其他非流动资产</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非流动资产合计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2,639,366,563.98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2,560,750,260.39</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资产总计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4,235,310,596.33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4,163,695,830.25</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短期借款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460,000,000.00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330,000,000.00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以公允价值计量且其变动计入当期损益的金融负债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衍生金融负债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应付票据</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92,882,032.39</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396,348,469.78</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应付账款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293,210,805.40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294,195,098.12</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预收款项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17,335,873.24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24,739,309.12</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31,643,932.37</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24,944,353.64</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应交税费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6,250,059.74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5,422,569.42</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应付利息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30,187,233.83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1,206,341.11</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应付股利</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8,462,354.82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5,310,599.53</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148,021,923.13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109,971,581.19</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划分为持有待售的负债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一年内到期的非流动负债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892,691,666.66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585,544,786.58</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4,732,000.00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4,602,000.00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1,985,417,881.58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1,782,285,108.49</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非流动负债：</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长期借款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100,000,000.00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378,200,000.00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应付债券</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85,057,866.41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52,011,490.15</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长期应付职工薪酬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专项应付款</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77,690,000.00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15,420,000.00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预计负债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99,472,487.38</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97,909,029.94</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递延所得税负债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8,683,003.75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9,078,943.12</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其他非流动负债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3,561,500.00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3,561,500.00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非流动负债合计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374,464,857.54</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556,180,963.21</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负债合计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2,359,882,739.12</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2,338,466,071.70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所有者权益：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股本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457,312,830.00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457,312,830.00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其他权益工具</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其中：优先股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永续债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资本公积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527,841,785.86</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527,841,785.86</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减：库存股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142,780,329.30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149,605,380.50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专项储备</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盈余公积</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207,023,538.55</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207,023,538.55</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未分配利润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540,469,373.50</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483,446,223.64</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所有者权益合计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1,875,427,857.21</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1,825,229,758.55</w:t>
            </w:r>
          </w:p>
        </w:tc>
      </w:tr>
      <w:tr w:rsidR="00BF0239" w:rsidTr="001B46C4">
        <w:tblPrEx>
          <w:tblCellMar>
            <w:top w:w="0" w:type="dxa"/>
            <w:bottom w:w="0" w:type="dxa"/>
          </w:tblCellMar>
        </w:tblPrEx>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负债和所有者权益总计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4,235,310,596.33</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4,163,695,830.25</w:t>
            </w:r>
          </w:p>
        </w:tc>
      </w:tr>
    </w:tbl>
    <w:p w:rsidR="00BF0239" w:rsidRDefault="00BF0239" w:rsidP="00BF0239">
      <w:pPr>
        <w:pStyle w:val="Section"/>
        <w:outlineLvl w:val="2"/>
        <w:rPr>
          <w:bCs w:val="0"/>
          <w:szCs w:val="24"/>
        </w:rPr>
      </w:pPr>
      <w:r>
        <w:rPr>
          <w:bCs w:val="0"/>
          <w:szCs w:val="24"/>
        </w:rPr>
        <w:t>3</w:t>
      </w:r>
      <w:r>
        <w:rPr>
          <w:rFonts w:hint="eastAsia"/>
          <w:bCs w:val="0"/>
          <w:szCs w:val="24"/>
        </w:rPr>
        <w:t>、合并本报告期利润表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7"/>
        <w:gridCol w:w="3300"/>
        <w:gridCol w:w="3301"/>
      </w:tblGrid>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977,969,739.89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824,916,548.09</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977,969,739.89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824,916,548.09</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932,201,391.21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779,855,675.43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716,491,406.52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624,344,826.99</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营业税金及附加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8,138,807.10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6,303,199.32</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101,498,755.54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80,229,183.68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88,925,079.56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67,900,389.21</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16,074,153.01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12,203,690.79</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1,073,189.48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-11,125,614.56</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加：公允价值变动收益（损失以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投资收益（损失以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7,768,067.25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2,524,576.23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汇兑收益（损失以</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三、营业利润（亏损以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53,536,415.93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47,585,448.89</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4,008,904.96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8,782,276.37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842,623.11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612,776.47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1,838,056.82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8,674,608.71</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566,306.97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1,392,529.91</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四、利润总额（亏损总额以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55,707,264.07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47,693,116.55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9,154,390.93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9,010,771.32</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五、净利润（净亏损以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46,552,873.14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38,682,345.23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43,313,070.81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35,920,180.90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3,239,802.33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2,762,164.33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7,542,039.85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-48,705,576.74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7,222,079.88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-48,705,576.74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7,222,079.88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-48,705,576.74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6,568,868.00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-49,047,951.20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3.</w:t>
            </w:r>
            <w:r>
              <w:rPr>
                <w:rFonts w:hint="eastAsia"/>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4.</w:t>
            </w:r>
            <w:r>
              <w:rPr>
                <w:rFonts w:hint="eastAsia"/>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5.</w:t>
            </w:r>
            <w:r>
              <w:rPr>
                <w:rFonts w:hint="eastAsia"/>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653,211.88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342,374.46</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6.</w:t>
            </w:r>
            <w:r>
              <w:rPr>
                <w:rFonts w:hint="eastAsia"/>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319,959.97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54,094,912.99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-10,023,231.51</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50,535,150.69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-12,785,395.84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3,559,762.30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2,762,164.33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0.08</w:t>
            </w:r>
          </w:p>
        </w:tc>
      </w:tr>
    </w:tbl>
    <w:p w:rsidR="00BF0239" w:rsidRDefault="00BF0239" w:rsidP="00BF0239">
      <w:pPr>
        <w:jc w:val="left"/>
      </w:pPr>
      <w:r>
        <w:rPr>
          <w:rFonts w:hint="eastAsia"/>
        </w:rPr>
        <w:t>本期发生同一控制下企业合并的，被合并方在合并前实现的净利润为：</w:t>
      </w:r>
      <w:r>
        <w:t>0.00</w:t>
      </w:r>
      <w:r>
        <w:rPr>
          <w:rFonts w:hint="eastAsia"/>
        </w:rPr>
        <w:t>元，上期被合并方实现的净利润为：</w:t>
      </w:r>
      <w:r>
        <w:t>0.00</w:t>
      </w:r>
      <w:r>
        <w:rPr>
          <w:rFonts w:hint="eastAsia"/>
        </w:rPr>
        <w:t>元。</w:t>
      </w:r>
    </w:p>
    <w:p w:rsidR="005C2ADF" w:rsidRDefault="005C2ADF" w:rsidP="005C2ADF">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BF0239" w:rsidRDefault="00BF0239" w:rsidP="00BF0239">
      <w:pPr>
        <w:pStyle w:val="Section"/>
        <w:outlineLvl w:val="2"/>
        <w:rPr>
          <w:bCs w:val="0"/>
          <w:szCs w:val="24"/>
        </w:rPr>
      </w:pPr>
      <w:r>
        <w:rPr>
          <w:bCs w:val="0"/>
          <w:szCs w:val="24"/>
        </w:rPr>
        <w:t>4</w:t>
      </w:r>
      <w:r>
        <w:rPr>
          <w:rFonts w:hint="eastAsia"/>
          <w:bCs w:val="0"/>
          <w:szCs w:val="24"/>
        </w:rPr>
        <w:t>、母公司本报告期利润表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6"/>
        <w:gridCol w:w="3301"/>
        <w:gridCol w:w="3301"/>
      </w:tblGrid>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542,146,865.12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410,483,887.96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414,522,585.12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330,878,594.98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营业税金及附加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3,883,111.91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3,479,430.50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11,241,657.54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9,765,460.26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69,650,856.88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48,876,645.10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16,390,219.68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11,156,716.12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-11,323,875.56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加：公允价值变动收益（损失以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投资收益（损失以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7,765,601.50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2,500,000.00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二、营业利润（亏损以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34,224,035.49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20,150,916.56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3,445,419.76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6,974,396.34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其中：非流动资产处置利得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694,466.03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577,791.03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1,660,292.72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8,149,965.80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546,147.20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1,392,529.91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三、利润总额（亏损总额以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36,009,162.53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18,975,347.10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4,236,534.15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2,372,683.79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四、净利润（净亏损以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31,772,628.38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16,602,663.31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6,568,868.00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-49,047,951.20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（一）以后不能重分类进损益的其他综合收益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重新计量设定受益计划净负债或净资产的变动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权益法下在被投资单位不能重分类进损益的其他综合收益中享有的份额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（二）以后将重分类进损益的其他综合收益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6,568,868.00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-49,047,951.20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权益法下在被投资单位以后将重分类进损益的其他综合收益中享有的份额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6,568,868.00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-49,047,951.20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3.</w:t>
            </w:r>
            <w:r>
              <w:rPr>
                <w:rFonts w:hint="eastAsia"/>
              </w:rPr>
              <w:t>持有至到期投资重分类为可供出售金融资产损益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4.</w:t>
            </w:r>
            <w:r>
              <w:rPr>
                <w:rFonts w:hint="eastAsia"/>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5.</w:t>
            </w:r>
            <w:r>
              <w:rPr>
                <w:rFonts w:hint="eastAsia"/>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6.</w:t>
            </w:r>
            <w:r>
              <w:rPr>
                <w:rFonts w:hint="eastAsia"/>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38,341,496.38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-32,445,287.89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0.04</w:t>
            </w:r>
          </w:p>
        </w:tc>
      </w:tr>
    </w:tbl>
    <w:p w:rsidR="00BF0239" w:rsidRDefault="00BF0239" w:rsidP="00BF0239">
      <w:pPr>
        <w:pStyle w:val="Section"/>
        <w:outlineLvl w:val="2"/>
        <w:rPr>
          <w:bCs w:val="0"/>
          <w:szCs w:val="24"/>
        </w:rPr>
      </w:pPr>
      <w:r>
        <w:rPr>
          <w:bCs w:val="0"/>
          <w:szCs w:val="24"/>
        </w:rPr>
        <w:t>5</w:t>
      </w:r>
      <w:r>
        <w:rPr>
          <w:rFonts w:hint="eastAsia"/>
          <w:bCs w:val="0"/>
          <w:szCs w:val="24"/>
        </w:rPr>
        <w:t>、合并年初到报告期末利润表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7"/>
        <w:gridCol w:w="3300"/>
        <w:gridCol w:w="3301"/>
      </w:tblGrid>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一、营业总收入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2,976,470,152.80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2,773,324,599.67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2,976,470,152.80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2,773,324,599.67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已赚保费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手续费及佣金收入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二、营业总成本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2,862,065,268.45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2,690,713,661.15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2,257,191,811.68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2,154,210,142.15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利息支出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手续费及佣金支出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退保金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赔付支出净额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提取保险合同准备金净额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保单红利支出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分保费用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营业税金及附加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23,510,403.73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23,152,071.73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291,511,775.39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264,842,484.03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243,053,222.88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214,338,521.54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43,527,615.71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49,240,283.53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3,270,439.06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-15,069,841.83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加：公允价值变动收益（损失以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投资收益（损失以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7,781,048.82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5,230,899.68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汇兑收益（损失以</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三、营业利润（亏损以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122,185,933.17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87,841,838.20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10,472,911.68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25,139,867.27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2,072,356.00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6,911,678.50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9,065,314.92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20,809,472.36</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991,151.25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4,018,011.57</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四、利润总额（亏损总额以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123,593,529.93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92,172,233.11</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24,452,937.60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22,393,823.38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五、净利润（净亏损以</w:t>
            </w:r>
            <w:r>
              <w:t>“</w:t>
            </w:r>
            <w:r>
              <w:rPr>
                <w:rFonts w:hint="eastAsia"/>
              </w:rPr>
              <w:t>－</w:t>
            </w:r>
            <w:r>
              <w:t>”</w:t>
            </w:r>
            <w:r>
              <w:rPr>
                <w:rFonts w:hint="eastAsia"/>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99,140,592.33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69,778,409.73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归属于母公司所有者的净利润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89,180,216.49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61,779,758.45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少数股东损益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9,960,375.84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7,998,651.28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-5,768,987.04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-47,793,818.23</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归属母公司所有者的其他综合收益的税后净额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-6,041,743.11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-47,747,414.25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-6,041,743.11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-47,747,414.25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-6,825,051.20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-47,997,650.40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3.</w:t>
            </w:r>
            <w:r>
              <w:rPr>
                <w:rFonts w:hint="eastAsia"/>
              </w:rPr>
              <w:t>持有至到期投资重分类为可供出售金融资产损益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4.</w:t>
            </w:r>
            <w:r>
              <w:rPr>
                <w:rFonts w:hint="eastAsia"/>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5.</w:t>
            </w:r>
            <w:r>
              <w:rPr>
                <w:rFonts w:hint="eastAsia"/>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783,308.09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250,236.15</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6.</w:t>
            </w:r>
            <w:r>
              <w:rPr>
                <w:rFonts w:hint="eastAsia"/>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归属于少数股东的其他综合收益的税后净额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272,756.07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-46,403.98</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七、综合收益总额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93,371,605.29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21,984,591.50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归属于母公司所有者的综合收益总额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83,138,473.38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14,032,344.20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归属于少数股东的综合收益总额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10,233,131.91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7,952,247.30</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八、每股收益：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0.14</w:t>
            </w:r>
          </w:p>
        </w:tc>
      </w:tr>
      <w:tr w:rsidR="00BF0239" w:rsidTr="001B46C4">
        <w:tblPrEx>
          <w:tblCellMar>
            <w:top w:w="0" w:type="dxa"/>
            <w:bottom w:w="0" w:type="dxa"/>
          </w:tblCellMar>
        </w:tblPrEx>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0.14</w:t>
            </w:r>
          </w:p>
        </w:tc>
      </w:tr>
    </w:tbl>
    <w:p w:rsidR="00BF0239" w:rsidRDefault="00BF0239" w:rsidP="00BF0239">
      <w:pPr>
        <w:jc w:val="left"/>
      </w:pPr>
      <w:r>
        <w:rPr>
          <w:rFonts w:hint="eastAsia"/>
        </w:rPr>
        <w:t>本期发生同一控制下企业合并的，被合并方在合并前实现的净利润为：</w:t>
      </w:r>
      <w:r>
        <w:t>0.00</w:t>
      </w:r>
      <w:r>
        <w:rPr>
          <w:rFonts w:hint="eastAsia"/>
        </w:rPr>
        <w:t>元，上期被合并方实现的净利润为：</w:t>
      </w:r>
      <w:r>
        <w:t>0.00</w:t>
      </w:r>
      <w:r>
        <w:rPr>
          <w:rFonts w:hint="eastAsia"/>
        </w:rPr>
        <w:t>元。</w:t>
      </w:r>
    </w:p>
    <w:p w:rsidR="00BF0239" w:rsidRDefault="00BF0239" w:rsidP="00BF0239">
      <w:pPr>
        <w:pStyle w:val="Section"/>
        <w:outlineLvl w:val="2"/>
        <w:rPr>
          <w:bCs w:val="0"/>
          <w:szCs w:val="24"/>
        </w:rPr>
      </w:pPr>
      <w:r>
        <w:rPr>
          <w:bCs w:val="0"/>
          <w:szCs w:val="24"/>
        </w:rPr>
        <w:t>6</w:t>
      </w:r>
      <w:r>
        <w:rPr>
          <w:rFonts w:hint="eastAsia"/>
          <w:bCs w:val="0"/>
          <w:szCs w:val="24"/>
        </w:rPr>
        <w:t>、母公司年初到报告期末利润表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6"/>
        <w:gridCol w:w="3301"/>
        <w:gridCol w:w="3301"/>
      </w:tblGrid>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一、营业收入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1,598,193,459.85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1,440,340,687.81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减：营业成本</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1,278,423,003.35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1,168,639,947.15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营业税金及附加</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12,434,415.03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13,068,852.08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32,715,884.76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27,736,182.28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管理费用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184,615,996.56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157,041,551.58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财务费用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44,737,303.67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49,805,301.21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资产减值损失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2,736,091.86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-11,323,875.56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加：公允价值变动收益（损失以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投资收益（损失以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25,634,980.71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4,985,573.93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其中：对联营企业和合营企业的投资收益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二、营业利润（亏损以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68,165,745.33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40,358,303.00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加：营业外收入</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9,661,875.50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21,238,913.50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其中：非流动资产处置利得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1,923,228.05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6,876,693.06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减：营业外支出</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4,309,779.76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16,540,457.57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其中：非流动资产处置损失</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768,147.09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4,018,011.57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三、利润总额（亏损总额以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73,517,841.07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45,056,758.93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减：所得税费用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7,348,434.61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4,448,782.20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四、净利润（净亏损以</w:t>
            </w:r>
            <w:r>
              <w:t>“</w:t>
            </w:r>
            <w:r>
              <w:rPr>
                <w:rFonts w:hint="eastAsia"/>
              </w:rPr>
              <w:t>－</w:t>
            </w:r>
            <w:r>
              <w:t>”</w:t>
            </w:r>
            <w:r>
              <w:rPr>
                <w:rFonts w:hint="eastAsia"/>
              </w:rPr>
              <w:t>号填列）</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66,169,406.46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40,607,976.73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五、其他综合收益的税后净额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-6,825,051.20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-47,997,650.40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（一）以后不能重分类进损益的其他综合收益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重新计量设定受益计划净负债或净资产的变动</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权益法下在被投资单位不能重分类进损益的其他综合收益中享有的份额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（二）以后将重分类进损益的其他综合收益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-6,825,051.20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-47,997,650.40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1.</w:t>
            </w:r>
            <w:r>
              <w:rPr>
                <w:rFonts w:hint="eastAsia"/>
              </w:rPr>
              <w:t>权益法下在被投资单位以后将重分类进损益的其他综合收益中享有的份额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2.</w:t>
            </w:r>
            <w:r>
              <w:rPr>
                <w:rFonts w:hint="eastAsia"/>
              </w:rPr>
              <w:t>可供出售金融资产公允价值变动损益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-6,825,051.20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-47,997,650.40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3.</w:t>
            </w:r>
            <w:r>
              <w:rPr>
                <w:rFonts w:hint="eastAsia"/>
              </w:rPr>
              <w:t>持有至到期投资重分类为可供出售金融资产损益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4.</w:t>
            </w:r>
            <w:r>
              <w:rPr>
                <w:rFonts w:hint="eastAsia"/>
              </w:rPr>
              <w:t>现金流量套期损益的有效部分</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5.</w:t>
            </w:r>
            <w:r>
              <w:rPr>
                <w:rFonts w:hint="eastAsia"/>
              </w:rPr>
              <w:t>外币财务报表折算差额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w:t>
            </w:r>
            <w:r>
              <w:t>6.</w:t>
            </w:r>
            <w:r>
              <w:rPr>
                <w:rFonts w:hint="eastAsia"/>
              </w:rPr>
              <w:t>其他</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六、综合收益总额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59,344,355.26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-7,389,673.67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七、每股收益：</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（一）基本每股收益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（二）稀释每股收益</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0.09</w:t>
            </w:r>
          </w:p>
        </w:tc>
      </w:tr>
    </w:tbl>
    <w:p w:rsidR="00BF0239" w:rsidRDefault="00BF0239" w:rsidP="00BF0239">
      <w:pPr>
        <w:pStyle w:val="Section"/>
        <w:outlineLvl w:val="2"/>
        <w:rPr>
          <w:bCs w:val="0"/>
          <w:szCs w:val="24"/>
        </w:rPr>
      </w:pPr>
      <w:r>
        <w:rPr>
          <w:bCs w:val="0"/>
          <w:szCs w:val="24"/>
        </w:rPr>
        <w:t>7</w:t>
      </w:r>
      <w:r>
        <w:rPr>
          <w:rFonts w:hint="eastAsia"/>
          <w:bCs w:val="0"/>
          <w:szCs w:val="24"/>
        </w:rPr>
        <w:t>、合并年初到报告期末现金流量表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6"/>
        <w:gridCol w:w="3301"/>
        <w:gridCol w:w="3301"/>
      </w:tblGrid>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2,091,464,551.67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1,842,217,570.39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处置以公允价值计量且其变动计入当期损益的金融资产净增加额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17,653,093.01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10,859,656.14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31,710,696.15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95,802,045.49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2,140,828,340.83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1,948,879,272.02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1,060,105,494.65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966,118,974.81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372,550,817.04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330,245,243.21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179,194,093.10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173,122,827.20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287,067,381.80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277,154,173.21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1,898,917,786.59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1,746,641,218.43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241,910,554.24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202,238,053.59</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20,576,981.21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7,781,048.82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5,249,649.68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1,777,341.90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14,366,465.62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9,558,390.72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40,193,096.51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136,202,621.37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126,198,637.34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136,202,621.37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126,198,637.34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-126,644,230.65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-86,005,540.83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744,765,701.02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252,270,000.00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562,270,000.00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744,765,701.02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386,400,000.00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621,470,404.58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44,524,455.48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37,057,637.11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21,651,255.26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38,434,292.80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2,564,102.56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469,358,748.28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661,092,144.25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92,911,251.72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83,673,556.77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1,411,660.50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8,654,523.78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209,589,235.81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208,560,593.31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366,638,884.09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281,435,164.77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576,228,119.90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489,995,758.08</w:t>
            </w:r>
          </w:p>
        </w:tc>
      </w:tr>
    </w:tbl>
    <w:p w:rsidR="00BF0239" w:rsidRDefault="00BF0239" w:rsidP="00BF0239">
      <w:pPr>
        <w:pStyle w:val="Section"/>
        <w:outlineLvl w:val="2"/>
        <w:rPr>
          <w:bCs w:val="0"/>
          <w:szCs w:val="24"/>
        </w:rPr>
      </w:pPr>
      <w:r>
        <w:rPr>
          <w:bCs w:val="0"/>
          <w:szCs w:val="24"/>
        </w:rPr>
        <w:t>8</w:t>
      </w:r>
      <w:r>
        <w:rPr>
          <w:rFonts w:hint="eastAsia"/>
          <w:bCs w:val="0"/>
          <w:szCs w:val="24"/>
        </w:rPr>
        <w:t>、母公司年初到报告期末现金流量表</w:t>
      </w:r>
    </w:p>
    <w:p w:rsidR="00BF0239" w:rsidRDefault="00BF0239" w:rsidP="00BF0239">
      <w:pPr>
        <w:jc w:val="right"/>
      </w:pPr>
      <w:r>
        <w:rPr>
          <w:rFonts w:hint="eastAsia"/>
        </w:rPr>
        <w:t>单位：元</w:t>
      </w:r>
    </w:p>
    <w:tbl>
      <w:tblPr>
        <w:tblW w:w="0" w:type="auto"/>
        <w:tblInd w:w="28" w:type="dxa"/>
        <w:tblLayout w:type="fixed"/>
        <w:tblCellMar>
          <w:left w:w="28" w:type="dxa"/>
          <w:right w:w="28" w:type="dxa"/>
        </w:tblCellMar>
        <w:tblLook w:val="0000"/>
      </w:tblPr>
      <w:tblGrid>
        <w:gridCol w:w="2966"/>
        <w:gridCol w:w="3301"/>
        <w:gridCol w:w="3301"/>
      </w:tblGrid>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center"/>
            </w:pPr>
            <w:r>
              <w:rPr>
                <w:rFonts w:hint="eastAsia"/>
              </w:rPr>
              <w:t>上期发生额</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1,194,833,510.04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957,988,470.90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11,285,314.80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5,520,704.57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133,480,854.26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81,812,492.17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1,339,599,679.10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1,045,321,667.64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789,968,569.20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353,933,308.66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256,795,990.75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231,226,249.96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69,829,581.57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65,863,790.90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93,561,481.42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88,110,233.22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1,210,155,622.94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739,133,582.74</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129,444,056.16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306,188,084.90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31,226,980.71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4,985,573.93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1,777,341.90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14,324,465.62</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33,004,322.61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19,310,039.55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122,930,309.70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106,949,565.68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36,788,165.60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159,718,475.30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106,949,565.68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-126,714,152.69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-87,639,526.13</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553,110,978.80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152,270,000.00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0.00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462,270,000.00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553,110,978.80</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186,400,000.00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560,334,404.58</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22,873,200.22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37,057,637.11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38,434,292.80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2,564,102.56</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247,707,493.02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599,956,144.25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214,562,506.98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-46,845,165.45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806,176.31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6,553,928.15</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218,098,586.76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178,257,321.47</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191,940,435.73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165,486,227.41</w:t>
            </w:r>
          </w:p>
        </w:tc>
      </w:tr>
      <w:tr w:rsidR="00BF0239" w:rsidTr="001B46C4">
        <w:tblPrEx>
          <w:tblCellMar>
            <w:top w:w="0" w:type="dxa"/>
            <w:bottom w:w="0" w:type="dxa"/>
          </w:tblCellMar>
        </w:tblPrEx>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F0239" w:rsidRDefault="00BF0239" w:rsidP="001B46C4">
            <w:pPr>
              <w:jc w:val="left"/>
            </w:pPr>
            <w:r>
              <w:rPr>
                <w:rFonts w:hint="eastAsia"/>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410,039,022.49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F0239" w:rsidRDefault="00BF0239" w:rsidP="001B46C4">
            <w:pPr>
              <w:jc w:val="right"/>
            </w:pPr>
            <w:r>
              <w:t>343,743,548.88</w:t>
            </w:r>
          </w:p>
        </w:tc>
      </w:tr>
    </w:tbl>
    <w:p w:rsidR="00BF0239" w:rsidRDefault="00BF0239" w:rsidP="00BF0239">
      <w:pPr>
        <w:pStyle w:val="Chapter"/>
        <w:outlineLvl w:val="1"/>
        <w:rPr>
          <w:bCs w:val="0"/>
        </w:rPr>
      </w:pPr>
      <w:r>
        <w:rPr>
          <w:rFonts w:hint="eastAsia"/>
          <w:bCs w:val="0"/>
        </w:rPr>
        <w:t>二、审计报告</w:t>
      </w:r>
    </w:p>
    <w:p w:rsidR="00BF0239" w:rsidRDefault="00BF0239" w:rsidP="00BF0239">
      <w:pPr>
        <w:jc w:val="left"/>
      </w:pPr>
      <w:r>
        <w:rPr>
          <w:rFonts w:hint="eastAsia"/>
        </w:rPr>
        <w:t>第三季度报告是否经过审计</w:t>
      </w:r>
    </w:p>
    <w:p w:rsidR="00BF0239" w:rsidRDefault="00BF0239" w:rsidP="00BF0239">
      <w:pPr>
        <w:jc w:val="left"/>
      </w:pPr>
      <w:r>
        <w:t xml:space="preserve">□ </w:t>
      </w:r>
      <w:r>
        <w:rPr>
          <w:rFonts w:hint="eastAsia"/>
        </w:rPr>
        <w:t>是</w:t>
      </w:r>
      <w:r>
        <w:t xml:space="preserve"> √ </w:t>
      </w:r>
      <w:r>
        <w:rPr>
          <w:rFonts w:hint="eastAsia"/>
        </w:rPr>
        <w:t>否</w:t>
      </w:r>
      <w:r>
        <w:t xml:space="preserve"> </w:t>
      </w:r>
    </w:p>
    <w:p w:rsidR="007D4F0D" w:rsidRPr="00B22FF9" w:rsidRDefault="00BF0239" w:rsidP="00BF0239">
      <w:pPr>
        <w:widowControl/>
        <w:spacing w:line="288" w:lineRule="auto"/>
      </w:pPr>
      <w:r>
        <w:rPr>
          <w:rFonts w:hint="eastAsia"/>
        </w:rPr>
        <w:t>公司第三季度报告未经审计。</w:t>
      </w:r>
    </w:p>
    <w:sectPr w:rsidR="007D4F0D" w:rsidRPr="00B22FF9" w:rsidSect="00AA6D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03" w:rsidRDefault="00A40903" w:rsidP="00B22FF9">
      <w:r>
        <w:separator/>
      </w:r>
    </w:p>
  </w:endnote>
  <w:endnote w:type="continuationSeparator" w:id="0">
    <w:p w:rsidR="00A40903" w:rsidRDefault="00A40903" w:rsidP="00B22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66" w:rsidRDefault="001E1760" w:rsidP="004865D7">
    <w:pPr>
      <w:pStyle w:val="Footer"/>
      <w:jc w:val="center"/>
    </w:pPr>
    <w:fldSimple w:instr=" PAGE ">
      <w:r w:rsidR="00A40903">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654"/>
      <w:docPartObj>
        <w:docPartGallery w:val="Page Numbers (Bottom of Page)"/>
        <w:docPartUnique/>
      </w:docPartObj>
    </w:sdtPr>
    <w:sdtContent>
      <w:p w:rsidR="0040770C" w:rsidRDefault="0040770C" w:rsidP="0040770C">
        <w:pPr>
          <w:pStyle w:val="a8"/>
          <w:jc w:val="center"/>
        </w:pPr>
        <w:fldSimple w:instr=" PAGE   \* MERGEFORMAT ">
          <w:r w:rsidR="001A0C18" w:rsidRPr="001A0C18">
            <w:rPr>
              <w:noProof/>
              <w:lang w:val="zh-CN"/>
            </w:rPr>
            <w:t>2</w:t>
          </w:r>
        </w:fldSimple>
      </w:p>
    </w:sdtContent>
  </w:sdt>
  <w:p w:rsidR="00BF0239" w:rsidRDefault="00BF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03" w:rsidRDefault="00A40903" w:rsidP="00B22FF9">
      <w:r>
        <w:separator/>
      </w:r>
    </w:p>
  </w:footnote>
  <w:footnote w:type="continuationSeparator" w:id="0">
    <w:p w:rsidR="00A40903" w:rsidRDefault="00A40903" w:rsidP="00B22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39" w:rsidRDefault="00BF0239">
    <w:pPr>
      <w:pStyle w:val="Header"/>
    </w:pPr>
    <w:r>
      <w:rPr>
        <w:rFonts w:hint="eastAsia"/>
      </w:rPr>
      <w:t>山东新华制药股份有限公司</w:t>
    </w:r>
    <w:r>
      <w:t>2016</w:t>
    </w:r>
    <w:r>
      <w:rPr>
        <w:rFonts w:hint="eastAsia"/>
      </w:rPr>
      <w:t>年第三季度报告全文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72A"/>
    <w:rsid w:val="00021ADA"/>
    <w:rsid w:val="000A7A4E"/>
    <w:rsid w:val="000F6268"/>
    <w:rsid w:val="001A0C18"/>
    <w:rsid w:val="001B4266"/>
    <w:rsid w:val="001E1760"/>
    <w:rsid w:val="00212537"/>
    <w:rsid w:val="00226914"/>
    <w:rsid w:val="0040770C"/>
    <w:rsid w:val="004865D7"/>
    <w:rsid w:val="00511C03"/>
    <w:rsid w:val="00555767"/>
    <w:rsid w:val="005C2ADF"/>
    <w:rsid w:val="006B4D1A"/>
    <w:rsid w:val="007377F8"/>
    <w:rsid w:val="0079245F"/>
    <w:rsid w:val="007D4F0D"/>
    <w:rsid w:val="008514BF"/>
    <w:rsid w:val="009A3025"/>
    <w:rsid w:val="00A40903"/>
    <w:rsid w:val="00AA6D05"/>
    <w:rsid w:val="00AB7520"/>
    <w:rsid w:val="00AC090F"/>
    <w:rsid w:val="00B22FF9"/>
    <w:rsid w:val="00BF0239"/>
    <w:rsid w:val="00BF37D0"/>
    <w:rsid w:val="00CB032D"/>
    <w:rsid w:val="00D3192B"/>
    <w:rsid w:val="00D40403"/>
    <w:rsid w:val="00D97757"/>
    <w:rsid w:val="00DA1FFA"/>
    <w:rsid w:val="00DE44B4"/>
    <w:rsid w:val="00E33F1F"/>
    <w:rsid w:val="00E65448"/>
    <w:rsid w:val="00E71A01"/>
    <w:rsid w:val="00E8272A"/>
    <w:rsid w:val="00EA59FB"/>
    <w:rsid w:val="00F23675"/>
    <w:rsid w:val="00F44C4F"/>
    <w:rsid w:val="00F718E9"/>
    <w:rsid w:val="00FC0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paragraph" w:styleId="a6">
    <w:name w:val="Title"/>
    <w:basedOn w:val="a"/>
    <w:next w:val="a"/>
    <w:link w:val="Char0"/>
    <w:uiPriority w:val="99"/>
    <w:qFormat/>
    <w:rsid w:val="00B22FF9"/>
    <w:pPr>
      <w:keepNext/>
      <w:keepLines/>
      <w:spacing w:before="340" w:after="330" w:line="578" w:lineRule="auto"/>
      <w:jc w:val="center"/>
    </w:pPr>
    <w:rPr>
      <w:b/>
      <w:bCs/>
      <w:kern w:val="32"/>
      <w:sz w:val="32"/>
      <w:szCs w:val="32"/>
    </w:rPr>
  </w:style>
  <w:style w:type="character" w:customStyle="1" w:styleId="Char0">
    <w:name w:val="标题 Char"/>
    <w:basedOn w:val="a0"/>
    <w:link w:val="a6"/>
    <w:uiPriority w:val="10"/>
    <w:rsid w:val="00B22FF9"/>
    <w:rPr>
      <w:rFonts w:ascii="Times New Roman" w:eastAsia="宋体" w:hAnsi="Times New Roman" w:cs="Times New Roman"/>
      <w:b/>
      <w:bCs/>
      <w:kern w:val="32"/>
      <w:sz w:val="32"/>
      <w:szCs w:val="32"/>
    </w:rPr>
  </w:style>
  <w:style w:type="paragraph" w:customStyle="1" w:styleId="Chapter">
    <w:name w:val="Chapter"/>
    <w:next w:val="a"/>
    <w:uiPriority w:val="99"/>
    <w:rsid w:val="00B22FF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rsid w:val="00B22FF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Header">
    <w:name w:val="Header"/>
    <w:basedOn w:val="a"/>
    <w:uiPriority w:val="99"/>
    <w:rsid w:val="00B22FF9"/>
    <w:pPr>
      <w:pBdr>
        <w:bottom w:val="single" w:sz="6" w:space="1" w:color="auto"/>
      </w:pBdr>
      <w:tabs>
        <w:tab w:val="center" w:pos="4153"/>
        <w:tab w:val="right" w:pos="8306"/>
      </w:tabs>
      <w:snapToGrid w:val="0"/>
      <w:jc w:val="right"/>
    </w:pPr>
    <w:rPr>
      <w:sz w:val="18"/>
      <w:szCs w:val="18"/>
    </w:rPr>
  </w:style>
  <w:style w:type="paragraph" w:customStyle="1" w:styleId="Footer">
    <w:name w:val="Footer"/>
    <w:basedOn w:val="a"/>
    <w:uiPriority w:val="99"/>
    <w:rsid w:val="00B22FF9"/>
    <w:pPr>
      <w:tabs>
        <w:tab w:val="center" w:pos="4153"/>
        <w:tab w:val="right" w:pos="8306"/>
      </w:tabs>
      <w:snapToGrid w:val="0"/>
      <w:jc w:val="right"/>
    </w:pPr>
    <w:rPr>
      <w:sz w:val="18"/>
      <w:szCs w:val="18"/>
    </w:rPr>
  </w:style>
  <w:style w:type="paragraph" w:styleId="a7">
    <w:name w:val="header"/>
    <w:basedOn w:val="a"/>
    <w:link w:val="Char1"/>
    <w:uiPriority w:val="99"/>
    <w:unhideWhenUsed/>
    <w:rsid w:val="00B22FF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22FF9"/>
    <w:rPr>
      <w:rFonts w:ascii="Times New Roman" w:eastAsia="宋体" w:hAnsi="Times New Roman" w:cs="Times New Roman"/>
      <w:sz w:val="18"/>
      <w:szCs w:val="18"/>
    </w:rPr>
  </w:style>
  <w:style w:type="paragraph" w:styleId="a8">
    <w:name w:val="footer"/>
    <w:basedOn w:val="a"/>
    <w:link w:val="Char2"/>
    <w:uiPriority w:val="99"/>
    <w:unhideWhenUsed/>
    <w:rsid w:val="00B22FF9"/>
    <w:pPr>
      <w:tabs>
        <w:tab w:val="center" w:pos="4153"/>
        <w:tab w:val="right" w:pos="8306"/>
      </w:tabs>
      <w:snapToGrid w:val="0"/>
      <w:jc w:val="left"/>
    </w:pPr>
    <w:rPr>
      <w:sz w:val="18"/>
      <w:szCs w:val="18"/>
    </w:rPr>
  </w:style>
  <w:style w:type="character" w:customStyle="1" w:styleId="Char2">
    <w:name w:val="页脚 Char"/>
    <w:basedOn w:val="a0"/>
    <w:link w:val="a8"/>
    <w:uiPriority w:val="99"/>
    <w:rsid w:val="00B22F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23</cp:revision>
  <cp:lastPrinted>2016-10-25T07:55:00Z</cp:lastPrinted>
  <dcterms:created xsi:type="dcterms:W3CDTF">2016-09-14T05:53:00Z</dcterms:created>
  <dcterms:modified xsi:type="dcterms:W3CDTF">2016-10-26T01:08:00Z</dcterms:modified>
</cp:coreProperties>
</file>