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16" w:rsidRDefault="009A2916" w:rsidP="009A2916">
      <w:pPr>
        <w:autoSpaceDE w:val="0"/>
        <w:autoSpaceDN w:val="0"/>
        <w:adjustRightInd w:val="0"/>
        <w:rPr>
          <w:rFonts w:ascii="SimSun"/>
          <w:color w:val="231F20"/>
          <w:kern w:val="0"/>
          <w:sz w:val="28"/>
          <w:szCs w:val="28"/>
        </w:rPr>
      </w:pPr>
      <w:r>
        <w:rPr>
          <w:rFonts w:hint="eastAsia"/>
        </w:rPr>
        <w:t>香港交</w:t>
      </w:r>
      <w:r>
        <w:rPr>
          <w:rFonts w:ascii="Batang" w:eastAsia="Batang" w:hAnsi="Batang" w:cs="Batang" w:hint="eastAsia"/>
        </w:rPr>
        <w:t>易</w:t>
      </w:r>
      <w:r>
        <w:rPr>
          <w:rFonts w:ascii="SimSun" w:hAnsi="SimSun" w:cs="SimSun" w:hint="eastAsia"/>
        </w:rPr>
        <w:t>及結算所有限公司及香港</w:t>
      </w:r>
      <w:r>
        <w:rPr>
          <w:rFonts w:ascii="Batang" w:eastAsia="Batang" w:hAnsi="Batang" w:cs="Batang" w:hint="eastAsia"/>
        </w:rPr>
        <w:t>聯</w:t>
      </w:r>
      <w:r>
        <w:rPr>
          <w:rFonts w:ascii="SimSun" w:hAnsi="SimSun" w:cs="SimSun" w:hint="eastAsia"/>
        </w:rPr>
        <w:t>合交</w:t>
      </w:r>
      <w:r>
        <w:rPr>
          <w:rFonts w:ascii="Batang" w:eastAsia="Batang" w:hAnsi="Batang" w:cs="Batang" w:hint="eastAsia"/>
        </w:rPr>
        <w:t>易</w:t>
      </w:r>
      <w:r>
        <w:rPr>
          <w:rFonts w:ascii="SimSun" w:hAnsi="SimSun" w:cs="SimSun" w:hint="eastAsia"/>
        </w:rPr>
        <w:t>所有限公司對本公告之內容概</w:t>
      </w:r>
      <w:r>
        <w:rPr>
          <w:rFonts w:ascii="Batang" w:eastAsia="Batang" w:hAnsi="Batang" w:cs="Batang" w:hint="eastAsia"/>
        </w:rPr>
        <w:t>不</w:t>
      </w:r>
      <w:r>
        <w:rPr>
          <w:rFonts w:ascii="SimSun" w:hAnsi="SimSun" w:cs="SimSun" w:hint="eastAsia"/>
        </w:rPr>
        <w:t>負責，對其準確性或完整</w:t>
      </w:r>
      <w:r>
        <w:rPr>
          <w:rFonts w:hint="eastAsia"/>
        </w:rPr>
        <w:t>性亦</w:t>
      </w:r>
      <w:r>
        <w:rPr>
          <w:rFonts w:ascii="Batang" w:eastAsia="Batang" w:hAnsi="Batang" w:cs="Batang" w:hint="eastAsia"/>
        </w:rPr>
        <w:t>不</w:t>
      </w:r>
      <w:r>
        <w:rPr>
          <w:rFonts w:ascii="SimSun" w:hAnsi="SimSun" w:cs="SimSun" w:hint="eastAsia"/>
        </w:rPr>
        <w:t>發表任何聲明，並明確表示概</w:t>
      </w:r>
      <w:r>
        <w:rPr>
          <w:rFonts w:ascii="Batang" w:eastAsia="Batang" w:hAnsi="Batang" w:cs="Batang" w:hint="eastAsia"/>
        </w:rPr>
        <w:t>不</w:t>
      </w:r>
      <w:r>
        <w:rPr>
          <w:rFonts w:ascii="SimSun" w:hAnsi="SimSun" w:cs="SimSun" w:hint="eastAsia"/>
        </w:rPr>
        <w:t>就因本公告全部或任何部分內容而產生或因倚賴該等內容而引</w:t>
      </w:r>
      <w:r>
        <w:rPr>
          <w:rFonts w:hint="eastAsia"/>
        </w:rPr>
        <w:t>致之任何損失承擔任何責任。</w:t>
      </w:r>
    </w:p>
    <w:p w:rsidR="009A2916" w:rsidRDefault="009A2916" w:rsidP="009A2916">
      <w:pPr>
        <w:autoSpaceDE w:val="0"/>
        <w:autoSpaceDN w:val="0"/>
        <w:adjustRightInd w:val="0"/>
        <w:rPr>
          <w:rFonts w:ascii="SimSun"/>
          <w:color w:val="231F20"/>
          <w:kern w:val="0"/>
          <w:sz w:val="28"/>
          <w:szCs w:val="28"/>
        </w:rPr>
      </w:pPr>
      <w:r>
        <w:rPr>
          <w:noProof/>
        </w:rPr>
        <w:drawing>
          <wp:anchor distT="0" distB="0" distL="114300" distR="114300" simplePos="0" relativeHeight="251659264" behindDoc="0" locked="0" layoutInCell="1" allowOverlap="1">
            <wp:simplePos x="0" y="0"/>
            <wp:positionH relativeFrom="column">
              <wp:posOffset>2400300</wp:posOffset>
            </wp:positionH>
            <wp:positionV relativeFrom="paragraph">
              <wp:posOffset>99060</wp:posOffset>
            </wp:positionV>
            <wp:extent cx="53340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09600"/>
                    </a:xfrm>
                    <a:prstGeom prst="rect">
                      <a:avLst/>
                    </a:prstGeom>
                    <a:noFill/>
                  </pic:spPr>
                </pic:pic>
              </a:graphicData>
            </a:graphic>
          </wp:anchor>
        </w:drawing>
      </w:r>
    </w:p>
    <w:p w:rsidR="009A2916" w:rsidRDefault="009A2916" w:rsidP="009A2916">
      <w:pPr>
        <w:autoSpaceDE w:val="0"/>
        <w:autoSpaceDN w:val="0"/>
        <w:adjustRightInd w:val="0"/>
        <w:jc w:val="center"/>
        <w:rPr>
          <w:rFonts w:ascii="SimSun"/>
          <w:b/>
          <w:bCs/>
          <w:color w:val="231F20"/>
          <w:kern w:val="0"/>
          <w:sz w:val="24"/>
        </w:rPr>
      </w:pPr>
    </w:p>
    <w:p w:rsidR="009A2916" w:rsidRDefault="009A2916" w:rsidP="00CF0A53">
      <w:pPr>
        <w:autoSpaceDE w:val="0"/>
        <w:autoSpaceDN w:val="0"/>
        <w:adjustRightInd w:val="0"/>
        <w:spacing w:beforeLines="20"/>
        <w:jc w:val="center"/>
        <w:rPr>
          <w:rFonts w:ascii="SimSun" w:hAnsi="SimSun" w:cs="PMingLiU"/>
          <w:b/>
          <w:bCs/>
          <w:color w:val="231F20"/>
          <w:kern w:val="0"/>
          <w:sz w:val="24"/>
        </w:rPr>
      </w:pPr>
    </w:p>
    <w:p w:rsidR="00CF0A53" w:rsidRDefault="00CF0A53" w:rsidP="00CF0A53">
      <w:pPr>
        <w:autoSpaceDE w:val="0"/>
        <w:autoSpaceDN w:val="0"/>
        <w:adjustRightInd w:val="0"/>
        <w:spacing w:beforeLines="20"/>
        <w:jc w:val="center"/>
        <w:rPr>
          <w:rFonts w:ascii="SimSun" w:eastAsia="宋体" w:hAnsi="SimSun" w:cs="PMingLiU" w:hint="eastAsia"/>
          <w:b/>
          <w:bCs/>
          <w:color w:val="231F20"/>
          <w:kern w:val="0"/>
          <w:sz w:val="24"/>
        </w:rPr>
      </w:pPr>
    </w:p>
    <w:p w:rsidR="009A2916" w:rsidRPr="00E8052C" w:rsidRDefault="009A2916" w:rsidP="00CF0A53">
      <w:pPr>
        <w:autoSpaceDE w:val="0"/>
        <w:autoSpaceDN w:val="0"/>
        <w:adjustRightInd w:val="0"/>
        <w:spacing w:beforeLines="20"/>
        <w:jc w:val="center"/>
        <w:rPr>
          <w:rFonts w:ascii="SimSun" w:hAnsi="SimSun"/>
          <w:b/>
          <w:bCs/>
          <w:color w:val="231F20"/>
          <w:kern w:val="0"/>
          <w:sz w:val="24"/>
          <w:lang w:eastAsia="zh-TW"/>
        </w:rPr>
      </w:pPr>
      <w:r w:rsidRPr="00E8052C">
        <w:rPr>
          <w:rFonts w:ascii="SimSun" w:hAnsi="SimSun" w:cs="PMingLiU" w:hint="eastAsia"/>
          <w:b/>
          <w:bCs/>
          <w:color w:val="231F20"/>
          <w:kern w:val="0"/>
          <w:sz w:val="24"/>
          <w:lang w:eastAsia="zh-TW"/>
        </w:rPr>
        <w:t>山東新華製藥股份有限公司</w:t>
      </w:r>
    </w:p>
    <w:p w:rsidR="009A2916" w:rsidRPr="00972880" w:rsidRDefault="009A2916" w:rsidP="00CF0A53">
      <w:pPr>
        <w:autoSpaceDE w:val="0"/>
        <w:autoSpaceDN w:val="0"/>
        <w:adjustRightInd w:val="0"/>
        <w:spacing w:beforeLines="20"/>
        <w:jc w:val="center"/>
        <w:rPr>
          <w:b/>
          <w:bCs/>
          <w:color w:val="231F20"/>
          <w:kern w:val="0"/>
          <w:sz w:val="22"/>
          <w:szCs w:val="22"/>
          <w:lang w:eastAsia="zh-TW"/>
        </w:rPr>
      </w:pPr>
      <w:r w:rsidRPr="00972880">
        <w:rPr>
          <w:rFonts w:eastAsia="PMingLiU"/>
          <w:b/>
          <w:bCs/>
          <w:color w:val="231F20"/>
          <w:kern w:val="0"/>
          <w:sz w:val="22"/>
          <w:szCs w:val="22"/>
          <w:lang w:eastAsia="zh-TW"/>
        </w:rPr>
        <w:t>Shandong Xinhua Pharmaceutical Company Limited</w:t>
      </w:r>
    </w:p>
    <w:p w:rsidR="009A2916" w:rsidRPr="009C285F" w:rsidRDefault="009A2916" w:rsidP="009A2916">
      <w:pPr>
        <w:widowControl/>
        <w:jc w:val="center"/>
        <w:rPr>
          <w:color w:val="231F20"/>
          <w:kern w:val="0"/>
          <w:szCs w:val="21"/>
          <w:lang w:eastAsia="zh-TW"/>
        </w:rPr>
      </w:pPr>
      <w:r w:rsidRPr="009C285F">
        <w:rPr>
          <w:color w:val="231F20"/>
          <w:kern w:val="0"/>
          <w:szCs w:val="21"/>
          <w:lang w:eastAsia="zh-TW"/>
        </w:rPr>
        <w:t>（於中華人民共和國註冊成立之股份有限公司）</w:t>
      </w:r>
    </w:p>
    <w:p w:rsidR="009A2916" w:rsidRPr="009C285F" w:rsidRDefault="009A2916" w:rsidP="009A2916">
      <w:pPr>
        <w:widowControl/>
        <w:jc w:val="center"/>
        <w:rPr>
          <w:color w:val="231F20"/>
          <w:kern w:val="0"/>
          <w:szCs w:val="21"/>
          <w:lang w:eastAsia="zh-TW"/>
        </w:rPr>
      </w:pPr>
      <w:r w:rsidRPr="009C285F">
        <w:rPr>
          <w:color w:val="231F20"/>
          <w:kern w:val="0"/>
          <w:szCs w:val="21"/>
          <w:lang w:eastAsia="zh-TW"/>
        </w:rPr>
        <w:t>（股份編號：</w:t>
      </w:r>
      <w:r w:rsidRPr="009C285F">
        <w:rPr>
          <w:color w:val="231F20"/>
          <w:kern w:val="0"/>
          <w:szCs w:val="21"/>
          <w:lang w:eastAsia="zh-TW"/>
        </w:rPr>
        <w:t>0719</w:t>
      </w:r>
      <w:r w:rsidRPr="009C285F">
        <w:rPr>
          <w:color w:val="231F20"/>
          <w:kern w:val="0"/>
          <w:szCs w:val="21"/>
          <w:lang w:eastAsia="zh-TW"/>
        </w:rPr>
        <w:t>）</w:t>
      </w:r>
    </w:p>
    <w:p w:rsidR="009A2916" w:rsidRPr="00972880" w:rsidRDefault="009A2916" w:rsidP="00CF0A53">
      <w:pPr>
        <w:widowControl/>
        <w:spacing w:beforeLines="50" w:afterLines="50" w:line="360" w:lineRule="atLeast"/>
        <w:jc w:val="center"/>
        <w:rPr>
          <w:b/>
          <w:sz w:val="22"/>
          <w:szCs w:val="22"/>
        </w:rPr>
      </w:pPr>
      <w:r w:rsidRPr="00972880">
        <w:rPr>
          <w:b/>
          <w:bCs/>
          <w:kern w:val="0"/>
          <w:sz w:val="22"/>
          <w:szCs w:val="22"/>
        </w:rPr>
        <w:t>海外市場公告</w:t>
      </w:r>
    </w:p>
    <w:p w:rsidR="009A2916" w:rsidRPr="00E8052C" w:rsidRDefault="009A2916" w:rsidP="00CF0A53">
      <w:pPr>
        <w:widowControl/>
        <w:spacing w:beforeLines="50" w:afterLines="50" w:line="360" w:lineRule="atLeast"/>
        <w:rPr>
          <w:rFonts w:ascii="SimSun" w:hAnsi="SimSun"/>
          <w:sz w:val="22"/>
          <w:szCs w:val="22"/>
        </w:rPr>
      </w:pPr>
      <w:r w:rsidRPr="00972880">
        <w:rPr>
          <w:sz w:val="22"/>
          <w:szCs w:val="22"/>
        </w:rPr>
        <w:t>本公告乃根據香</w:t>
      </w:r>
      <w:r w:rsidRPr="009A2916">
        <w:rPr>
          <w:rFonts w:hint="eastAsia"/>
          <w:sz w:val="22"/>
          <w:szCs w:val="22"/>
        </w:rPr>
        <w:t>港</w:t>
      </w:r>
      <w:r w:rsidRPr="00972880">
        <w:rPr>
          <w:sz w:val="22"/>
          <w:szCs w:val="22"/>
        </w:rPr>
        <w:t>聯合交易所有限公司證券上市規則第</w:t>
      </w:r>
      <w:r w:rsidRPr="00972880">
        <w:rPr>
          <w:sz w:val="22"/>
          <w:szCs w:val="22"/>
        </w:rPr>
        <w:t>13.10B</w:t>
      </w:r>
      <w:r w:rsidRPr="00E8052C">
        <w:rPr>
          <w:rFonts w:ascii="SimSun" w:hAnsi="SimSun" w:hint="eastAsia"/>
          <w:sz w:val="22"/>
          <w:szCs w:val="22"/>
        </w:rPr>
        <w:t>條的規定而發表。</w:t>
      </w:r>
    </w:p>
    <w:p w:rsidR="009A2916" w:rsidRDefault="009A2916" w:rsidP="00CF0A53">
      <w:pPr>
        <w:widowControl/>
        <w:spacing w:beforeLines="50" w:afterLines="50" w:line="360" w:lineRule="atLeast"/>
        <w:rPr>
          <w:rStyle w:val="shorttext"/>
          <w:rFonts w:ascii="SimSun" w:hAnsi="SimSun" w:cs="SimSun"/>
          <w:b/>
          <w:color w:val="222222"/>
          <w:sz w:val="22"/>
          <w:szCs w:val="22"/>
          <w:lang w:eastAsia="zh-TW"/>
        </w:rPr>
      </w:pPr>
      <w:r w:rsidRPr="00E8052C">
        <w:rPr>
          <w:rFonts w:ascii="SimSun" w:hAnsi="SimSun" w:hint="eastAsia"/>
          <w:sz w:val="22"/>
          <w:szCs w:val="22"/>
        </w:rPr>
        <w:t>附件為山東新華製藥股份有限公司</w:t>
      </w:r>
      <w:r w:rsidRPr="00E8052C">
        <w:rPr>
          <w:rFonts w:ascii="SimSun" w:hAnsi="SimSun"/>
          <w:sz w:val="22"/>
          <w:szCs w:val="22"/>
        </w:rPr>
        <w:t>（「</w:t>
      </w:r>
      <w:r w:rsidRPr="00E8052C">
        <w:rPr>
          <w:rFonts w:ascii="SimSun" w:hAnsi="SimSun"/>
          <w:b/>
          <w:sz w:val="22"/>
          <w:szCs w:val="22"/>
        </w:rPr>
        <w:t>本公司</w:t>
      </w:r>
      <w:r w:rsidRPr="00E8052C">
        <w:rPr>
          <w:rFonts w:ascii="SimSun" w:hAnsi="SimSun"/>
          <w:sz w:val="22"/>
          <w:szCs w:val="22"/>
        </w:rPr>
        <w:t>」）</w:t>
      </w:r>
      <w:r w:rsidRPr="00E8052C">
        <w:rPr>
          <w:rFonts w:ascii="SimSun" w:hAnsi="SimSun" w:hint="eastAsia"/>
          <w:sz w:val="22"/>
          <w:szCs w:val="22"/>
        </w:rPr>
        <w:t>於深圳證券交易所</w:t>
      </w:r>
      <w:r w:rsidR="0067077E" w:rsidRPr="0067077E">
        <w:rPr>
          <w:rFonts w:ascii="SimSun" w:hAnsi="SimSun" w:hint="eastAsia"/>
          <w:sz w:val="22"/>
          <w:szCs w:val="22"/>
        </w:rPr>
        <w:t>網站</w:t>
      </w:r>
      <w:r w:rsidRPr="00E8052C">
        <w:rPr>
          <w:rFonts w:ascii="SimSun" w:hAnsi="SimSun" w:hint="eastAsia"/>
          <w:sz w:val="22"/>
          <w:szCs w:val="22"/>
        </w:rPr>
        <w:t>刊發之</w:t>
      </w:r>
      <w:r w:rsidRPr="00E8052C">
        <w:rPr>
          <w:rStyle w:val="shorttext"/>
          <w:rFonts w:ascii="SimSun" w:hAnsi="SimSun" w:cs="SimSun" w:hint="eastAsia"/>
          <w:b/>
          <w:color w:val="222222"/>
          <w:sz w:val="22"/>
          <w:szCs w:val="22"/>
          <w:lang w:eastAsia="zh-TW"/>
        </w:rPr>
        <w:t>山東新華製藥股份有限公司</w:t>
      </w:r>
      <w:bookmarkStart w:id="0" w:name="_GoBack"/>
      <w:bookmarkEnd w:id="0"/>
    </w:p>
    <w:p w:rsidR="009A2916" w:rsidRDefault="009A2916" w:rsidP="009A2916">
      <w:pPr>
        <w:jc w:val="left"/>
        <w:rPr>
          <w:rStyle w:val="shorttext"/>
          <w:rFonts w:ascii="SimSun" w:hAnsi="SimSun" w:cs="SimSun"/>
          <w:b/>
          <w:color w:val="222222"/>
          <w:sz w:val="22"/>
          <w:szCs w:val="22"/>
          <w:lang w:eastAsia="zh-TW"/>
        </w:rPr>
      </w:pPr>
    </w:p>
    <w:p w:rsidR="009A2916" w:rsidRDefault="009A2916" w:rsidP="009A2916">
      <w:pPr>
        <w:widowControl/>
        <w:spacing w:line="360" w:lineRule="atLeast"/>
        <w:ind w:right="960" w:firstLine="420"/>
        <w:jc w:val="center"/>
        <w:rPr>
          <w:rStyle w:val="shorttext"/>
          <w:rFonts w:ascii="SimSun" w:hAnsi="SimSun" w:cs="Arial"/>
          <w:b/>
          <w:color w:val="222222"/>
          <w:sz w:val="22"/>
          <w:szCs w:val="22"/>
          <w:lang w:eastAsia="zh-TW"/>
        </w:rPr>
      </w:pPr>
      <w:r w:rsidRPr="009A2916">
        <w:rPr>
          <w:rStyle w:val="shorttext"/>
          <w:rFonts w:ascii="SimSun" w:hAnsi="SimSun" w:cs="Arial" w:hint="eastAsia"/>
          <w:b/>
          <w:color w:val="222222"/>
          <w:sz w:val="22"/>
          <w:szCs w:val="22"/>
          <w:lang w:eastAsia="zh-TW"/>
        </w:rPr>
        <w:t>未來三年（2015年-2017年）股東回報規劃</w:t>
      </w:r>
    </w:p>
    <w:p w:rsidR="009A2916" w:rsidRDefault="009A2916" w:rsidP="009A2916">
      <w:pPr>
        <w:widowControl/>
        <w:spacing w:line="360" w:lineRule="atLeast"/>
        <w:ind w:right="960" w:firstLine="420"/>
        <w:jc w:val="center"/>
        <w:rPr>
          <w:rStyle w:val="shorttext"/>
          <w:rFonts w:ascii="SimSun" w:hAnsi="SimSun" w:cs="Arial"/>
          <w:b/>
          <w:color w:val="222222"/>
          <w:sz w:val="22"/>
          <w:szCs w:val="22"/>
          <w:lang w:eastAsia="zh-TW"/>
        </w:rPr>
      </w:pPr>
    </w:p>
    <w:p w:rsidR="009A2916" w:rsidRPr="009C285F" w:rsidRDefault="009A2916" w:rsidP="009A2916">
      <w:pPr>
        <w:widowControl/>
        <w:spacing w:line="360" w:lineRule="atLeast"/>
        <w:ind w:right="960" w:firstLine="420"/>
        <w:jc w:val="center"/>
        <w:rPr>
          <w:rFonts w:ascii="PMingLiU" w:hAnsi="PMingLiU"/>
          <w:sz w:val="22"/>
          <w:szCs w:val="22"/>
        </w:rPr>
      </w:pPr>
    </w:p>
    <w:p w:rsidR="009A2916" w:rsidRPr="00E8052C" w:rsidRDefault="009A2916" w:rsidP="009A2916">
      <w:pPr>
        <w:widowControl/>
        <w:spacing w:line="360" w:lineRule="atLeast"/>
        <w:ind w:left="4200" w:right="960" w:firstLine="420"/>
        <w:jc w:val="center"/>
        <w:rPr>
          <w:rFonts w:ascii="SimSun" w:hAnsi="SimSun"/>
          <w:sz w:val="22"/>
          <w:szCs w:val="22"/>
        </w:rPr>
      </w:pPr>
      <w:r w:rsidRPr="00E8052C">
        <w:rPr>
          <w:rFonts w:ascii="SimSun" w:hAnsi="SimSun" w:hint="eastAsia"/>
          <w:sz w:val="22"/>
          <w:szCs w:val="22"/>
        </w:rPr>
        <w:t>承董事會命</w:t>
      </w:r>
    </w:p>
    <w:p w:rsidR="009A2916" w:rsidRPr="00E8052C" w:rsidRDefault="009A2916" w:rsidP="009A2916">
      <w:pPr>
        <w:widowControl/>
        <w:spacing w:line="360" w:lineRule="atLeast"/>
        <w:ind w:right="960"/>
        <w:jc w:val="right"/>
        <w:rPr>
          <w:rFonts w:ascii="SimSun" w:hAnsi="SimSun"/>
          <w:b/>
          <w:sz w:val="22"/>
          <w:szCs w:val="22"/>
        </w:rPr>
      </w:pPr>
      <w:r w:rsidRPr="00E8052C">
        <w:rPr>
          <w:rFonts w:ascii="SimSun" w:hAnsi="SimSun" w:hint="eastAsia"/>
          <w:b/>
          <w:sz w:val="22"/>
          <w:szCs w:val="22"/>
        </w:rPr>
        <w:t>山東新華製藥股份有限公司</w:t>
      </w:r>
    </w:p>
    <w:p w:rsidR="009A2916" w:rsidRPr="00E8052C" w:rsidRDefault="009A2916" w:rsidP="009A2916">
      <w:pPr>
        <w:widowControl/>
        <w:spacing w:line="360" w:lineRule="atLeast"/>
        <w:ind w:right="960" w:firstLineChars="2200" w:firstLine="4859"/>
        <w:rPr>
          <w:rFonts w:ascii="SimSun" w:hAnsi="SimSun"/>
          <w:b/>
          <w:sz w:val="22"/>
          <w:szCs w:val="22"/>
        </w:rPr>
      </w:pPr>
      <w:r>
        <w:rPr>
          <w:rFonts w:ascii="SimSun" w:hAnsi="SimSun"/>
          <w:b/>
          <w:sz w:val="22"/>
          <w:szCs w:val="22"/>
        </w:rPr>
        <w:tab/>
      </w:r>
      <w:r>
        <w:rPr>
          <w:rFonts w:ascii="SimSun" w:hAnsi="SimSun"/>
          <w:b/>
          <w:sz w:val="22"/>
          <w:szCs w:val="22"/>
        </w:rPr>
        <w:tab/>
      </w:r>
      <w:r w:rsidRPr="00E8052C">
        <w:rPr>
          <w:rFonts w:ascii="SimSun" w:hAnsi="SimSun" w:hint="eastAsia"/>
          <w:b/>
          <w:sz w:val="22"/>
          <w:szCs w:val="22"/>
        </w:rPr>
        <w:t>張代銘</w:t>
      </w:r>
    </w:p>
    <w:p w:rsidR="009A2916" w:rsidRPr="00E8052C" w:rsidRDefault="009A2916" w:rsidP="009A2916">
      <w:pPr>
        <w:widowControl/>
        <w:spacing w:line="360" w:lineRule="atLeast"/>
        <w:ind w:right="960" w:firstLineChars="2200" w:firstLine="4859"/>
        <w:rPr>
          <w:rFonts w:ascii="SimSun" w:hAnsi="SimSun"/>
          <w:i/>
          <w:sz w:val="22"/>
          <w:szCs w:val="22"/>
        </w:rPr>
      </w:pPr>
      <w:r>
        <w:rPr>
          <w:rFonts w:ascii="SimSun" w:hAnsi="SimSun"/>
          <w:b/>
          <w:sz w:val="22"/>
          <w:szCs w:val="22"/>
        </w:rPr>
        <w:tab/>
      </w:r>
      <w:r>
        <w:rPr>
          <w:rFonts w:ascii="SimSun" w:hAnsi="SimSun"/>
          <w:b/>
          <w:sz w:val="22"/>
          <w:szCs w:val="22"/>
        </w:rPr>
        <w:tab/>
      </w:r>
      <w:r w:rsidRPr="00E8052C">
        <w:rPr>
          <w:rFonts w:ascii="SimSun" w:hAnsi="SimSun" w:hint="eastAsia"/>
          <w:i/>
          <w:sz w:val="22"/>
          <w:szCs w:val="22"/>
        </w:rPr>
        <w:t>董事長</w:t>
      </w:r>
    </w:p>
    <w:p w:rsidR="009A2916" w:rsidRPr="00E8052C" w:rsidRDefault="009A2916" w:rsidP="009A2916">
      <w:pPr>
        <w:widowControl/>
        <w:spacing w:line="360" w:lineRule="atLeast"/>
        <w:ind w:right="960" w:firstLineChars="2200" w:firstLine="4840"/>
        <w:rPr>
          <w:rFonts w:ascii="SimSun" w:hAnsi="SimSun"/>
          <w:sz w:val="22"/>
          <w:szCs w:val="22"/>
        </w:rPr>
      </w:pPr>
    </w:p>
    <w:p w:rsidR="009A2916" w:rsidRPr="00E8052C" w:rsidRDefault="009A2916" w:rsidP="00CF0A53">
      <w:pPr>
        <w:spacing w:beforeLines="50" w:afterLines="50" w:line="0" w:lineRule="atLeast"/>
        <w:rPr>
          <w:rFonts w:ascii="SimSun" w:hAnsi="SimSun"/>
          <w:sz w:val="22"/>
          <w:szCs w:val="22"/>
        </w:rPr>
      </w:pPr>
      <w:r w:rsidRPr="00E8052C">
        <w:rPr>
          <w:rFonts w:ascii="SimSun" w:hAnsi="SimSun" w:hint="eastAsia"/>
          <w:sz w:val="22"/>
          <w:szCs w:val="22"/>
        </w:rPr>
        <w:t>中國淄博，二</w:t>
      </w:r>
      <w:r w:rsidRPr="009A2916">
        <w:rPr>
          <w:rFonts w:ascii="SimSun" w:hAnsi="SimSun" w:hint="eastAsia"/>
          <w:sz w:val="22"/>
          <w:szCs w:val="22"/>
        </w:rPr>
        <w:t>零一五年十月八</w:t>
      </w:r>
      <w:r w:rsidRPr="00E8052C">
        <w:rPr>
          <w:rFonts w:ascii="SimSun" w:hAnsi="SimSun"/>
          <w:sz w:val="22"/>
          <w:szCs w:val="22"/>
        </w:rPr>
        <w:t xml:space="preserve">日 </w:t>
      </w:r>
    </w:p>
    <w:p w:rsidR="009A2916" w:rsidRPr="00E8052C" w:rsidRDefault="009A2916" w:rsidP="00CF0A53">
      <w:pPr>
        <w:spacing w:beforeLines="50" w:afterLines="50" w:line="0" w:lineRule="atLeast"/>
        <w:rPr>
          <w:rFonts w:ascii="SimSun" w:hAnsi="SimSun"/>
          <w:sz w:val="22"/>
          <w:szCs w:val="22"/>
        </w:rPr>
      </w:pPr>
    </w:p>
    <w:p w:rsidR="009A2916" w:rsidRPr="00E8052C" w:rsidRDefault="009A2916" w:rsidP="00CF0A53">
      <w:pPr>
        <w:spacing w:beforeLines="50" w:afterLines="50" w:line="0" w:lineRule="atLeast"/>
        <w:rPr>
          <w:rFonts w:ascii="SimSun" w:hAnsi="SimSun"/>
          <w:sz w:val="22"/>
          <w:szCs w:val="22"/>
        </w:rPr>
      </w:pPr>
      <w:r w:rsidRPr="00E8052C">
        <w:rPr>
          <w:rFonts w:ascii="SimSun" w:hAnsi="SimSun" w:hint="eastAsia"/>
          <w:sz w:val="22"/>
          <w:szCs w:val="22"/>
        </w:rPr>
        <w:t>於本公告日，本公司董事會之成員如下：</w:t>
      </w:r>
    </w:p>
    <w:p w:rsidR="009A2916" w:rsidRPr="00E8052C" w:rsidRDefault="009A2916" w:rsidP="009A2916">
      <w:pPr>
        <w:autoSpaceDE w:val="0"/>
        <w:autoSpaceDN w:val="0"/>
        <w:adjustRightInd w:val="0"/>
        <w:spacing w:line="0" w:lineRule="atLeast"/>
        <w:jc w:val="left"/>
        <w:rPr>
          <w:rFonts w:ascii="SimSun" w:hAnsi="SimSun"/>
          <w:kern w:val="0"/>
          <w:sz w:val="22"/>
          <w:szCs w:val="22"/>
        </w:rPr>
      </w:pPr>
    </w:p>
    <w:p w:rsidR="009A2916" w:rsidRPr="00E8052C" w:rsidRDefault="009A2916" w:rsidP="00CF0A53">
      <w:pPr>
        <w:widowControl/>
        <w:spacing w:beforeLines="50" w:afterLines="50" w:line="0" w:lineRule="atLeast"/>
        <w:ind w:firstLine="418"/>
        <w:rPr>
          <w:rFonts w:ascii="SimSun" w:hAnsi="SimSun"/>
          <w:kern w:val="0"/>
          <w:sz w:val="22"/>
          <w:szCs w:val="22"/>
        </w:rPr>
      </w:pPr>
      <w:r w:rsidRPr="00E8052C">
        <w:rPr>
          <w:rFonts w:ascii="SimSun" w:hAnsi="SimSun" w:hint="eastAsia"/>
          <w:kern w:val="0"/>
          <w:sz w:val="22"/>
          <w:szCs w:val="22"/>
        </w:rPr>
        <w:t xml:space="preserve">執行董事：                    </w:t>
      </w:r>
      <w:r w:rsidR="00CF0A53">
        <w:rPr>
          <w:rFonts w:ascii="SimSun" w:eastAsia="宋体" w:hAnsi="SimSun" w:hint="eastAsia"/>
          <w:kern w:val="0"/>
          <w:sz w:val="22"/>
          <w:szCs w:val="22"/>
        </w:rPr>
        <w:t xml:space="preserve">          </w:t>
      </w:r>
      <w:r w:rsidRPr="00E8052C">
        <w:rPr>
          <w:rFonts w:ascii="SimSun" w:hAnsi="SimSun" w:hint="eastAsia"/>
          <w:kern w:val="0"/>
          <w:sz w:val="22"/>
          <w:szCs w:val="22"/>
        </w:rPr>
        <w:t xml:space="preserve"> 獨立非執行董事：</w:t>
      </w:r>
    </w:p>
    <w:p w:rsidR="009A2916" w:rsidRPr="00E8052C" w:rsidRDefault="009A2916" w:rsidP="00CF0A53">
      <w:pPr>
        <w:widowControl/>
        <w:spacing w:beforeLines="50" w:afterLines="50" w:line="0" w:lineRule="atLeast"/>
        <w:ind w:firstLine="418"/>
        <w:rPr>
          <w:rFonts w:ascii="SimSun" w:hAnsi="SimSun"/>
          <w:kern w:val="0"/>
          <w:sz w:val="22"/>
          <w:szCs w:val="22"/>
        </w:rPr>
      </w:pPr>
      <w:r w:rsidRPr="00E8052C">
        <w:rPr>
          <w:rFonts w:ascii="SimSun" w:hAnsi="SimSun" w:hint="eastAsia"/>
          <w:kern w:val="0"/>
          <w:sz w:val="22"/>
          <w:szCs w:val="22"/>
        </w:rPr>
        <w:t>張代銘先生（董事長）           杜冠華先生</w:t>
      </w:r>
    </w:p>
    <w:p w:rsidR="009A2916" w:rsidRPr="00E8052C" w:rsidRDefault="009A2916" w:rsidP="00CF0A53">
      <w:pPr>
        <w:widowControl/>
        <w:spacing w:beforeLines="50" w:afterLines="50" w:line="0" w:lineRule="atLeast"/>
        <w:ind w:firstLine="418"/>
        <w:rPr>
          <w:rFonts w:ascii="SimSun" w:hAnsi="SimSun"/>
          <w:kern w:val="0"/>
          <w:sz w:val="22"/>
          <w:szCs w:val="22"/>
        </w:rPr>
      </w:pPr>
      <w:r w:rsidRPr="00E8052C">
        <w:rPr>
          <w:rFonts w:ascii="SimSun" w:hAnsi="SimSun" w:hint="eastAsia"/>
          <w:kern w:val="0"/>
          <w:sz w:val="22"/>
          <w:szCs w:val="22"/>
        </w:rPr>
        <w:t xml:space="preserve">杜德平先生                   </w:t>
      </w:r>
      <w:r w:rsidR="00CF0A53">
        <w:rPr>
          <w:rFonts w:ascii="SimSun" w:eastAsia="宋体" w:hAnsi="SimSun" w:hint="eastAsia"/>
          <w:kern w:val="0"/>
          <w:sz w:val="22"/>
          <w:szCs w:val="22"/>
        </w:rPr>
        <w:t xml:space="preserve">          </w:t>
      </w:r>
      <w:r w:rsidRPr="00E8052C">
        <w:rPr>
          <w:rFonts w:ascii="SimSun" w:hAnsi="SimSun" w:hint="eastAsia"/>
          <w:kern w:val="0"/>
          <w:sz w:val="22"/>
          <w:szCs w:val="22"/>
        </w:rPr>
        <w:t xml:space="preserve">  李文明先生</w:t>
      </w:r>
    </w:p>
    <w:p w:rsidR="009A2916" w:rsidRPr="00E8052C" w:rsidRDefault="009A2916" w:rsidP="00CF0A53">
      <w:pPr>
        <w:widowControl/>
        <w:spacing w:beforeLines="50" w:afterLines="50" w:line="0" w:lineRule="atLeast"/>
        <w:ind w:firstLine="418"/>
        <w:rPr>
          <w:rFonts w:ascii="SimSun" w:hAnsi="SimSun"/>
          <w:kern w:val="0"/>
          <w:sz w:val="22"/>
          <w:szCs w:val="22"/>
        </w:rPr>
      </w:pPr>
      <w:r w:rsidRPr="00E8052C">
        <w:rPr>
          <w:rFonts w:ascii="SimSun" w:hAnsi="SimSun" w:hint="eastAsia"/>
          <w:kern w:val="0"/>
          <w:sz w:val="22"/>
          <w:szCs w:val="22"/>
        </w:rPr>
        <w:t xml:space="preserve">                             </w:t>
      </w:r>
      <w:r w:rsidR="00CF0A53">
        <w:rPr>
          <w:rFonts w:ascii="SimSun" w:eastAsia="宋体" w:hAnsi="SimSun" w:hint="eastAsia"/>
          <w:kern w:val="0"/>
          <w:sz w:val="22"/>
          <w:szCs w:val="22"/>
        </w:rPr>
        <w:t xml:space="preserve">                    </w:t>
      </w:r>
      <w:r w:rsidRPr="00E8052C">
        <w:rPr>
          <w:rFonts w:ascii="SimSun" w:hAnsi="SimSun" w:hint="eastAsia"/>
          <w:kern w:val="0"/>
          <w:sz w:val="22"/>
          <w:szCs w:val="22"/>
        </w:rPr>
        <w:t xml:space="preserve">  陳仲戟先生</w:t>
      </w:r>
    </w:p>
    <w:p w:rsidR="009A2916" w:rsidRPr="00E8052C" w:rsidRDefault="009A2916" w:rsidP="00CF0A53">
      <w:pPr>
        <w:widowControl/>
        <w:spacing w:beforeLines="50" w:afterLines="50" w:line="0" w:lineRule="atLeast"/>
        <w:ind w:firstLine="418"/>
        <w:rPr>
          <w:rFonts w:ascii="SimSun" w:hAnsi="SimSun"/>
          <w:kern w:val="0"/>
          <w:sz w:val="22"/>
          <w:szCs w:val="22"/>
        </w:rPr>
      </w:pPr>
      <w:r w:rsidRPr="00E8052C">
        <w:rPr>
          <w:rFonts w:ascii="SimSun" w:hAnsi="SimSun" w:hint="eastAsia"/>
          <w:kern w:val="0"/>
          <w:sz w:val="22"/>
          <w:szCs w:val="22"/>
        </w:rPr>
        <w:t>非執行董事：</w:t>
      </w:r>
    </w:p>
    <w:p w:rsidR="009A2916" w:rsidRPr="00E8052C" w:rsidRDefault="009A2916" w:rsidP="00CF0A53">
      <w:pPr>
        <w:widowControl/>
        <w:spacing w:beforeLines="50" w:afterLines="50" w:line="0" w:lineRule="atLeast"/>
        <w:ind w:firstLine="418"/>
        <w:rPr>
          <w:rFonts w:ascii="SimSun" w:hAnsi="SimSun"/>
          <w:kern w:val="0"/>
          <w:sz w:val="22"/>
          <w:szCs w:val="22"/>
        </w:rPr>
      </w:pPr>
      <w:r w:rsidRPr="00E8052C">
        <w:rPr>
          <w:rFonts w:ascii="SimSun" w:hAnsi="SimSun" w:hint="eastAsia"/>
          <w:kern w:val="0"/>
          <w:sz w:val="22"/>
          <w:szCs w:val="22"/>
        </w:rPr>
        <w:t>任福龍先生</w:t>
      </w:r>
    </w:p>
    <w:p w:rsidR="009A2916" w:rsidRPr="00E8052C" w:rsidRDefault="009A2916" w:rsidP="00CF0A53">
      <w:pPr>
        <w:widowControl/>
        <w:spacing w:beforeLines="50" w:afterLines="50" w:line="0" w:lineRule="atLeast"/>
        <w:ind w:firstLine="418"/>
        <w:rPr>
          <w:rFonts w:ascii="SimSun" w:hAnsi="SimSun"/>
          <w:kern w:val="0"/>
          <w:sz w:val="22"/>
          <w:szCs w:val="22"/>
        </w:rPr>
      </w:pPr>
      <w:r w:rsidRPr="00E8052C">
        <w:rPr>
          <w:rFonts w:ascii="SimSun" w:hAnsi="SimSun" w:hint="eastAsia"/>
          <w:kern w:val="0"/>
          <w:sz w:val="22"/>
          <w:szCs w:val="22"/>
        </w:rPr>
        <w:t>徐 列先生</w:t>
      </w:r>
    </w:p>
    <w:p w:rsidR="007C6EC6" w:rsidRDefault="009A2916" w:rsidP="009A2916">
      <w:pPr>
        <w:ind w:firstLine="418"/>
        <w:jc w:val="left"/>
        <w:rPr>
          <w:rFonts w:eastAsiaTheme="minorEastAsia"/>
          <w:lang w:eastAsia="zh-TW"/>
        </w:rPr>
      </w:pPr>
      <w:r w:rsidRPr="00E8052C">
        <w:rPr>
          <w:rFonts w:ascii="SimSun" w:hAnsi="SimSun" w:hint="eastAsia"/>
          <w:kern w:val="0"/>
          <w:sz w:val="22"/>
          <w:szCs w:val="22"/>
        </w:rPr>
        <w:t>趙 斌先生</w:t>
      </w:r>
      <w:r w:rsidRPr="00E8052C">
        <w:rPr>
          <w:rFonts w:ascii="SimSun" w:hAnsi="SimSun" w:cs="Arial"/>
          <w:b/>
          <w:color w:val="222222"/>
          <w:sz w:val="22"/>
          <w:szCs w:val="22"/>
          <w:lang w:eastAsia="zh-TW"/>
        </w:rPr>
        <w:br/>
      </w:r>
    </w:p>
    <w:p w:rsidR="009A2916" w:rsidRDefault="009A2916">
      <w:pPr>
        <w:widowControl/>
        <w:spacing w:after="200" w:line="276" w:lineRule="auto"/>
        <w:jc w:val="left"/>
        <w:rPr>
          <w:rFonts w:eastAsiaTheme="minorEastAsia"/>
          <w:lang w:eastAsia="zh-TW"/>
        </w:rPr>
      </w:pPr>
      <w:r>
        <w:rPr>
          <w:rFonts w:eastAsiaTheme="minorEastAsia"/>
          <w:lang w:eastAsia="zh-TW"/>
        </w:rPr>
        <w:br w:type="page"/>
      </w:r>
    </w:p>
    <w:p w:rsidR="009A2916" w:rsidRPr="006E43E4" w:rsidRDefault="009A2916" w:rsidP="009A2916">
      <w:pPr>
        <w:spacing w:line="288" w:lineRule="auto"/>
        <w:jc w:val="center"/>
        <w:rPr>
          <w:b/>
          <w:sz w:val="24"/>
        </w:rPr>
      </w:pPr>
      <w:r w:rsidRPr="006E43E4">
        <w:rPr>
          <w:rFonts w:hint="eastAsia"/>
          <w:b/>
          <w:sz w:val="24"/>
        </w:rPr>
        <w:lastRenderedPageBreak/>
        <w:t>山东新华制药股份有限公司</w:t>
      </w:r>
    </w:p>
    <w:p w:rsidR="009A2916" w:rsidRPr="006E43E4" w:rsidRDefault="009A2916" w:rsidP="009A2916">
      <w:pPr>
        <w:spacing w:line="288" w:lineRule="auto"/>
        <w:jc w:val="center"/>
        <w:rPr>
          <w:b/>
          <w:sz w:val="24"/>
        </w:rPr>
      </w:pPr>
      <w:r w:rsidRPr="006E43E4">
        <w:rPr>
          <w:rFonts w:hint="eastAsia"/>
          <w:b/>
          <w:sz w:val="24"/>
        </w:rPr>
        <w:t>未来三年（</w:t>
      </w:r>
      <w:r w:rsidRPr="006E43E4">
        <w:rPr>
          <w:b/>
          <w:sz w:val="24"/>
        </w:rPr>
        <w:t>2015</w:t>
      </w:r>
      <w:r>
        <w:rPr>
          <w:b/>
          <w:sz w:val="24"/>
        </w:rPr>
        <w:t>年</w:t>
      </w:r>
      <w:r w:rsidRPr="006E43E4">
        <w:rPr>
          <w:b/>
          <w:sz w:val="24"/>
        </w:rPr>
        <w:t>-2017</w:t>
      </w:r>
      <w:r w:rsidRPr="006E43E4">
        <w:rPr>
          <w:rFonts w:hint="eastAsia"/>
          <w:b/>
          <w:sz w:val="24"/>
        </w:rPr>
        <w:t>年）股东回报规划</w:t>
      </w:r>
    </w:p>
    <w:p w:rsidR="009A2916" w:rsidRDefault="009A2916" w:rsidP="009A2916">
      <w:pPr>
        <w:spacing w:line="288" w:lineRule="auto"/>
        <w:ind w:firstLineChars="200" w:firstLine="480"/>
        <w:rPr>
          <w:sz w:val="24"/>
        </w:rPr>
      </w:pPr>
    </w:p>
    <w:p w:rsidR="009A2916" w:rsidRDefault="009A2916" w:rsidP="009A2916">
      <w:pPr>
        <w:spacing w:line="288" w:lineRule="auto"/>
        <w:ind w:firstLineChars="200" w:firstLine="480"/>
        <w:rPr>
          <w:sz w:val="24"/>
        </w:rPr>
      </w:pPr>
      <w:r w:rsidRPr="006E43E4">
        <w:rPr>
          <w:rFonts w:hint="eastAsia"/>
          <w:sz w:val="24"/>
        </w:rPr>
        <w:t>为建立和健全</w:t>
      </w:r>
      <w:r>
        <w:rPr>
          <w:rFonts w:hint="eastAsia"/>
          <w:sz w:val="24"/>
        </w:rPr>
        <w:t>山东新华制药股份有限公司（以下</w:t>
      </w:r>
      <w:r w:rsidRPr="006E43E4">
        <w:rPr>
          <w:rFonts w:hint="eastAsia"/>
          <w:sz w:val="24"/>
        </w:rPr>
        <w:t>称公司）科学、持续、稳定的分红决策和监督机制，积极回报投资者，引导投资者树立长期投资和理性投资理念，董事会综合公司盈利能力、经营发展规划、股东回报、社会资金成本以及外部融资环境等因素，根据</w:t>
      </w:r>
      <w:r>
        <w:rPr>
          <w:rFonts w:hint="eastAsia"/>
          <w:sz w:val="24"/>
        </w:rPr>
        <w:t>《中华人民共和国公司法》（以下称《公司法》）、中国证券监督管理委员会</w:t>
      </w:r>
      <w:r w:rsidRPr="006E43E4">
        <w:rPr>
          <w:rFonts w:hint="eastAsia"/>
          <w:sz w:val="24"/>
        </w:rPr>
        <w:t>《关于进一步落实上市公司现金分红有关事项的通知》、《上市公司监管指引第</w:t>
      </w:r>
      <w:r w:rsidRPr="006E43E4">
        <w:rPr>
          <w:sz w:val="24"/>
        </w:rPr>
        <w:t>3</w:t>
      </w:r>
      <w:r w:rsidRPr="006E43E4">
        <w:rPr>
          <w:rFonts w:hint="eastAsia"/>
          <w:sz w:val="24"/>
        </w:rPr>
        <w:t>号</w:t>
      </w:r>
      <w:r>
        <w:rPr>
          <w:rFonts w:hint="eastAsia"/>
          <w:sz w:val="24"/>
        </w:rPr>
        <w:t>——</w:t>
      </w:r>
      <w:r w:rsidRPr="006E43E4">
        <w:rPr>
          <w:rFonts w:hint="eastAsia"/>
          <w:sz w:val="24"/>
        </w:rPr>
        <w:t>上市公司现金分红》等法律、</w:t>
      </w:r>
      <w:r>
        <w:rPr>
          <w:rFonts w:hint="eastAsia"/>
          <w:sz w:val="24"/>
        </w:rPr>
        <w:t>行政</w:t>
      </w:r>
      <w:r w:rsidRPr="006E43E4">
        <w:rPr>
          <w:rFonts w:hint="eastAsia"/>
          <w:sz w:val="24"/>
        </w:rPr>
        <w:t>法规</w:t>
      </w:r>
      <w:r>
        <w:rPr>
          <w:rFonts w:hint="eastAsia"/>
          <w:sz w:val="24"/>
        </w:rPr>
        <w:t>、规范性文件及《山东新华制药股份有限公司章程》（以下称《公司章程》）的要求，公司</w:t>
      </w:r>
      <w:r w:rsidRPr="006E43E4">
        <w:rPr>
          <w:rFonts w:hint="eastAsia"/>
          <w:sz w:val="24"/>
        </w:rPr>
        <w:t>制订未来三年</w:t>
      </w:r>
      <w:r>
        <w:rPr>
          <w:rFonts w:hint="eastAsia"/>
          <w:sz w:val="24"/>
        </w:rPr>
        <w:t>（</w:t>
      </w:r>
      <w:r>
        <w:rPr>
          <w:rFonts w:hint="eastAsia"/>
          <w:sz w:val="24"/>
        </w:rPr>
        <w:t>2015</w:t>
      </w:r>
      <w:r>
        <w:rPr>
          <w:rFonts w:hint="eastAsia"/>
          <w:sz w:val="24"/>
        </w:rPr>
        <w:t>年</w:t>
      </w:r>
      <w:r>
        <w:rPr>
          <w:rFonts w:hint="eastAsia"/>
          <w:sz w:val="24"/>
        </w:rPr>
        <w:t>-</w:t>
      </w:r>
      <w:r>
        <w:rPr>
          <w:sz w:val="24"/>
        </w:rPr>
        <w:t>2017</w:t>
      </w:r>
      <w:r>
        <w:rPr>
          <w:sz w:val="24"/>
        </w:rPr>
        <w:t>年</w:t>
      </w:r>
      <w:r>
        <w:rPr>
          <w:rFonts w:hint="eastAsia"/>
          <w:sz w:val="24"/>
        </w:rPr>
        <w:t>）股东回报规划（以下</w:t>
      </w:r>
      <w:r w:rsidRPr="006E43E4">
        <w:rPr>
          <w:rFonts w:hint="eastAsia"/>
          <w:sz w:val="24"/>
        </w:rPr>
        <w:t>称本规划</w:t>
      </w:r>
      <w:r>
        <w:rPr>
          <w:rFonts w:hint="eastAsia"/>
          <w:sz w:val="24"/>
        </w:rPr>
        <w:t>），具体内容如下：</w:t>
      </w:r>
    </w:p>
    <w:p w:rsidR="009A2916" w:rsidRPr="006E43E4" w:rsidRDefault="009A2916" w:rsidP="009A2916">
      <w:pPr>
        <w:spacing w:line="288" w:lineRule="auto"/>
        <w:ind w:firstLineChars="200" w:firstLine="480"/>
        <w:rPr>
          <w:sz w:val="24"/>
        </w:rPr>
      </w:pPr>
    </w:p>
    <w:p w:rsidR="009A2916" w:rsidRPr="006E43E4" w:rsidRDefault="009A2916" w:rsidP="009A2916">
      <w:pPr>
        <w:spacing w:line="288" w:lineRule="auto"/>
        <w:ind w:firstLineChars="200" w:firstLine="482"/>
        <w:outlineLvl w:val="0"/>
        <w:rPr>
          <w:b/>
          <w:sz w:val="24"/>
        </w:rPr>
      </w:pPr>
      <w:r w:rsidRPr="006E43E4">
        <w:rPr>
          <w:rFonts w:hint="eastAsia"/>
          <w:b/>
          <w:sz w:val="24"/>
        </w:rPr>
        <w:t>第一条本规划考虑的因素</w:t>
      </w:r>
    </w:p>
    <w:p w:rsidR="009A2916" w:rsidRDefault="009A2916" w:rsidP="009A2916">
      <w:pPr>
        <w:spacing w:line="288" w:lineRule="auto"/>
        <w:ind w:firstLineChars="200" w:firstLine="480"/>
        <w:rPr>
          <w:sz w:val="24"/>
        </w:rPr>
      </w:pPr>
    </w:p>
    <w:p w:rsidR="009A2916" w:rsidRDefault="009A2916" w:rsidP="009A2916">
      <w:pPr>
        <w:spacing w:line="288" w:lineRule="auto"/>
        <w:ind w:firstLineChars="200" w:firstLine="480"/>
        <w:rPr>
          <w:sz w:val="24"/>
        </w:rPr>
      </w:pPr>
      <w:r w:rsidRPr="006E43E4">
        <w:rPr>
          <w:rFonts w:hint="eastAsia"/>
          <w:sz w:val="24"/>
        </w:rPr>
        <w:t>本规划应当着眼于公司的长远和可持续发展，综合分析公司经营发展实际、股东要求和意愿、社会资金成本、外部融资环境等因素，充分考虑公司目前及未来盈利水平、现金流量状况、发展所处阶段、项目投资资金需求、银行信贷及债权融资环境等情况，在平衡股东的合理投资回报和公司长远发展的基础上做出合理安排</w:t>
      </w:r>
      <w:r>
        <w:rPr>
          <w:rFonts w:hint="eastAsia"/>
          <w:sz w:val="24"/>
        </w:rPr>
        <w:t>，以保证利润分配政策的连续性和稳定性</w:t>
      </w:r>
      <w:r w:rsidRPr="006E43E4">
        <w:rPr>
          <w:rFonts w:hint="eastAsia"/>
          <w:sz w:val="24"/>
        </w:rPr>
        <w:t>。</w:t>
      </w:r>
    </w:p>
    <w:p w:rsidR="009A2916" w:rsidRPr="006E43E4" w:rsidRDefault="009A2916" w:rsidP="009A2916">
      <w:pPr>
        <w:spacing w:line="288" w:lineRule="auto"/>
        <w:ind w:firstLineChars="200" w:firstLine="480"/>
        <w:rPr>
          <w:sz w:val="24"/>
        </w:rPr>
      </w:pPr>
    </w:p>
    <w:p w:rsidR="009A2916" w:rsidRPr="006E43E4" w:rsidRDefault="009A2916" w:rsidP="009A2916">
      <w:pPr>
        <w:spacing w:line="288" w:lineRule="auto"/>
        <w:ind w:firstLineChars="200" w:firstLine="482"/>
        <w:outlineLvl w:val="0"/>
        <w:rPr>
          <w:b/>
          <w:sz w:val="24"/>
        </w:rPr>
      </w:pPr>
      <w:r w:rsidRPr="006E43E4">
        <w:rPr>
          <w:rFonts w:hint="eastAsia"/>
          <w:b/>
          <w:sz w:val="24"/>
        </w:rPr>
        <w:t>第二条本规划的制定原则</w:t>
      </w:r>
    </w:p>
    <w:p w:rsidR="009A2916" w:rsidRDefault="009A2916" w:rsidP="009A2916">
      <w:pPr>
        <w:spacing w:line="288" w:lineRule="auto"/>
        <w:ind w:firstLineChars="200" w:firstLine="480"/>
        <w:rPr>
          <w:sz w:val="24"/>
        </w:rPr>
      </w:pPr>
    </w:p>
    <w:p w:rsidR="009A2916" w:rsidRDefault="009A2916" w:rsidP="009A2916">
      <w:pPr>
        <w:spacing w:line="288" w:lineRule="auto"/>
        <w:ind w:firstLineChars="200" w:firstLine="480"/>
        <w:rPr>
          <w:sz w:val="24"/>
        </w:rPr>
      </w:pPr>
      <w:r w:rsidRPr="003840EB">
        <w:rPr>
          <w:rFonts w:hint="eastAsia"/>
          <w:sz w:val="24"/>
        </w:rPr>
        <w:t>本规划</w:t>
      </w:r>
      <w:r>
        <w:rPr>
          <w:rFonts w:hint="eastAsia"/>
          <w:sz w:val="24"/>
        </w:rPr>
        <w:t>依据</w:t>
      </w:r>
      <w:r w:rsidRPr="003840EB">
        <w:rPr>
          <w:rFonts w:hint="eastAsia"/>
          <w:sz w:val="24"/>
        </w:rPr>
        <w:t>《公司法》等法律</w:t>
      </w:r>
      <w:r>
        <w:rPr>
          <w:rFonts w:hint="eastAsia"/>
          <w:sz w:val="24"/>
        </w:rPr>
        <w:t>、行政</w:t>
      </w:r>
      <w:r w:rsidRPr="003840EB">
        <w:rPr>
          <w:rFonts w:hint="eastAsia"/>
          <w:sz w:val="24"/>
        </w:rPr>
        <w:t>法规、规范性文件和《公司章程》的规定制定。公司实行持续、稳定的利润分配政策，同时充分考虑股东特别是中小股东和独立董事的意见，公司的利润分配重视对投资者的合理投资回报并兼顾公司的可持续发展，在满足公司生产经营和持续发展对资金需求的情况下，优先考虑现金分红。健全现金分红制度，保持现金分红政策的一致性、合理性和稳定性。</w:t>
      </w:r>
    </w:p>
    <w:p w:rsidR="009A2916" w:rsidRDefault="009A2916" w:rsidP="009A2916">
      <w:pPr>
        <w:spacing w:line="288" w:lineRule="auto"/>
        <w:ind w:firstLineChars="200" w:firstLine="480"/>
        <w:rPr>
          <w:sz w:val="24"/>
        </w:rPr>
      </w:pPr>
    </w:p>
    <w:p w:rsidR="009A2916" w:rsidRPr="003840EB" w:rsidRDefault="009A2916" w:rsidP="009A2916">
      <w:pPr>
        <w:spacing w:line="288" w:lineRule="auto"/>
        <w:ind w:firstLineChars="200" w:firstLine="482"/>
        <w:outlineLvl w:val="0"/>
        <w:rPr>
          <w:b/>
          <w:sz w:val="24"/>
        </w:rPr>
      </w:pPr>
      <w:r w:rsidRPr="003840EB">
        <w:rPr>
          <w:rFonts w:hint="eastAsia"/>
          <w:b/>
          <w:sz w:val="24"/>
        </w:rPr>
        <w:t>第三条公司未来三年（</w:t>
      </w:r>
      <w:r w:rsidRPr="003840EB">
        <w:rPr>
          <w:b/>
          <w:sz w:val="24"/>
        </w:rPr>
        <w:t>2015</w:t>
      </w:r>
      <w:r>
        <w:rPr>
          <w:b/>
          <w:sz w:val="24"/>
        </w:rPr>
        <w:t>年</w:t>
      </w:r>
      <w:r w:rsidRPr="003840EB">
        <w:rPr>
          <w:b/>
          <w:sz w:val="24"/>
        </w:rPr>
        <w:t>-2017</w:t>
      </w:r>
      <w:r w:rsidRPr="003840EB">
        <w:rPr>
          <w:rFonts w:hint="eastAsia"/>
          <w:b/>
          <w:sz w:val="24"/>
        </w:rPr>
        <w:t>年）的具体股东回报规划</w:t>
      </w:r>
    </w:p>
    <w:p w:rsidR="009A2916" w:rsidRDefault="009A2916" w:rsidP="009A2916">
      <w:pPr>
        <w:spacing w:line="288" w:lineRule="auto"/>
        <w:ind w:firstLineChars="200" w:firstLine="480"/>
        <w:rPr>
          <w:sz w:val="24"/>
        </w:rPr>
      </w:pPr>
    </w:p>
    <w:p w:rsidR="009A2916" w:rsidRPr="006E43E4" w:rsidRDefault="009A2916" w:rsidP="009A2916">
      <w:pPr>
        <w:spacing w:line="288" w:lineRule="auto"/>
        <w:ind w:firstLineChars="200" w:firstLine="480"/>
        <w:rPr>
          <w:sz w:val="24"/>
        </w:rPr>
      </w:pPr>
      <w:r w:rsidRPr="006E43E4">
        <w:rPr>
          <w:sz w:val="24"/>
        </w:rPr>
        <w:t>1</w:t>
      </w:r>
      <w:r>
        <w:rPr>
          <w:rFonts w:hint="eastAsia"/>
          <w:sz w:val="24"/>
        </w:rPr>
        <w:t>、利润分配的</w:t>
      </w:r>
      <w:r w:rsidRPr="006E43E4">
        <w:rPr>
          <w:rFonts w:hint="eastAsia"/>
          <w:sz w:val="24"/>
        </w:rPr>
        <w:t>形式</w:t>
      </w:r>
    </w:p>
    <w:p w:rsidR="009A2916" w:rsidRDefault="009A2916" w:rsidP="009A2916">
      <w:pPr>
        <w:spacing w:line="288" w:lineRule="auto"/>
        <w:ind w:firstLineChars="200" w:firstLine="480"/>
        <w:rPr>
          <w:sz w:val="24"/>
        </w:rPr>
      </w:pPr>
    </w:p>
    <w:p w:rsidR="009A2916" w:rsidRDefault="009A2916" w:rsidP="009A2916">
      <w:pPr>
        <w:spacing w:line="288" w:lineRule="auto"/>
        <w:ind w:firstLineChars="200" w:firstLine="480"/>
        <w:rPr>
          <w:sz w:val="24"/>
        </w:rPr>
      </w:pPr>
      <w:r w:rsidRPr="006A581C">
        <w:rPr>
          <w:rFonts w:hint="eastAsia"/>
          <w:sz w:val="24"/>
        </w:rPr>
        <w:t>公司可以采取现金、股票、现金与股票相结合或其他法律法规允许的方式分配股利。在上述利润分配方式中，公司优先采取现金方式分配股利。</w:t>
      </w:r>
      <w:r w:rsidRPr="008F6939">
        <w:rPr>
          <w:rFonts w:hint="eastAsia"/>
          <w:sz w:val="24"/>
        </w:rPr>
        <w:t>公司董事会可以根据公司盈利情况及资金需求状况提议公司进行中期利润分配。除非经董事会论证同意，且经独立董事发表独立意见、监事会决议通过，两次分红间隔时间不少于六个月。</w:t>
      </w:r>
    </w:p>
    <w:p w:rsidR="009A2916" w:rsidRDefault="009A2916" w:rsidP="009A2916">
      <w:pPr>
        <w:spacing w:line="288" w:lineRule="auto"/>
        <w:ind w:firstLineChars="200" w:firstLine="480"/>
        <w:rPr>
          <w:sz w:val="24"/>
        </w:rPr>
      </w:pPr>
    </w:p>
    <w:p w:rsidR="009A2916" w:rsidRPr="006E43E4" w:rsidRDefault="009A2916" w:rsidP="009A2916">
      <w:pPr>
        <w:spacing w:line="288" w:lineRule="auto"/>
        <w:ind w:firstLineChars="200" w:firstLine="480"/>
        <w:rPr>
          <w:sz w:val="24"/>
        </w:rPr>
      </w:pPr>
      <w:r w:rsidRPr="006E43E4">
        <w:rPr>
          <w:sz w:val="24"/>
        </w:rPr>
        <w:t>2</w:t>
      </w:r>
      <w:r>
        <w:rPr>
          <w:rFonts w:hint="eastAsia"/>
          <w:sz w:val="24"/>
        </w:rPr>
        <w:t>、利润分配的</w:t>
      </w:r>
      <w:r w:rsidRPr="006E43E4">
        <w:rPr>
          <w:rFonts w:hint="eastAsia"/>
          <w:sz w:val="24"/>
        </w:rPr>
        <w:t>条件和比例</w:t>
      </w:r>
    </w:p>
    <w:p w:rsidR="009A2916" w:rsidRDefault="009A2916" w:rsidP="009A2916">
      <w:pPr>
        <w:spacing w:line="288" w:lineRule="auto"/>
        <w:ind w:firstLineChars="200" w:firstLine="480"/>
        <w:rPr>
          <w:sz w:val="24"/>
        </w:rPr>
      </w:pPr>
    </w:p>
    <w:p w:rsidR="009A2916" w:rsidRPr="006E43E4" w:rsidRDefault="009A2916" w:rsidP="009A2916">
      <w:pPr>
        <w:spacing w:line="288" w:lineRule="auto"/>
        <w:ind w:firstLineChars="200" w:firstLine="480"/>
        <w:rPr>
          <w:sz w:val="24"/>
        </w:rPr>
      </w:pPr>
      <w:r>
        <w:rPr>
          <w:rFonts w:hint="eastAsia"/>
          <w:sz w:val="24"/>
        </w:rPr>
        <w:t>（</w:t>
      </w:r>
      <w:r>
        <w:rPr>
          <w:rFonts w:hint="eastAsia"/>
          <w:sz w:val="24"/>
        </w:rPr>
        <w:t>1</w:t>
      </w:r>
      <w:r>
        <w:rPr>
          <w:rFonts w:hint="eastAsia"/>
          <w:sz w:val="24"/>
        </w:rPr>
        <w:t>）现金分红的条件、比例及时间间隔</w:t>
      </w:r>
    </w:p>
    <w:p w:rsidR="009A2916" w:rsidRDefault="009A2916" w:rsidP="009A2916">
      <w:pPr>
        <w:spacing w:line="288" w:lineRule="auto"/>
        <w:ind w:firstLineChars="200" w:firstLine="480"/>
        <w:rPr>
          <w:sz w:val="24"/>
        </w:rPr>
      </w:pPr>
    </w:p>
    <w:p w:rsidR="009A2916" w:rsidRDefault="009A2916" w:rsidP="009A2916">
      <w:pPr>
        <w:spacing w:line="288" w:lineRule="auto"/>
        <w:ind w:firstLineChars="200" w:firstLine="480"/>
        <w:rPr>
          <w:sz w:val="24"/>
        </w:rPr>
      </w:pPr>
      <w:r>
        <w:rPr>
          <w:rFonts w:hint="eastAsia"/>
          <w:sz w:val="24"/>
        </w:rPr>
        <w:t>根据《公司法》等有关法律、行政法规及《公司</w:t>
      </w:r>
      <w:r w:rsidRPr="006A581C">
        <w:rPr>
          <w:rFonts w:hint="eastAsia"/>
          <w:sz w:val="24"/>
        </w:rPr>
        <w:t>章程</w:t>
      </w:r>
      <w:r>
        <w:rPr>
          <w:rFonts w:hint="eastAsia"/>
          <w:sz w:val="24"/>
        </w:rPr>
        <w:t>》</w:t>
      </w:r>
      <w:r w:rsidRPr="006A581C">
        <w:rPr>
          <w:rFonts w:hint="eastAsia"/>
          <w:sz w:val="24"/>
        </w:rPr>
        <w:t>的规定，公司当年实现的净利润在弥补亏损、足额提取法定公积金、任意公积金以后可供分配利润为正值，且审计机构对公司年度财务报告出具了标准无保留意见的审计报告时（中期现金分红可未经审计），公司须提出现金分配方案，特殊情况除外（如发生重大投资计划或重大现金支出等）。</w:t>
      </w:r>
    </w:p>
    <w:p w:rsidR="009A2916" w:rsidRDefault="009A2916" w:rsidP="009A2916">
      <w:pPr>
        <w:spacing w:line="288" w:lineRule="auto"/>
        <w:ind w:firstLineChars="200" w:firstLine="480"/>
        <w:rPr>
          <w:sz w:val="24"/>
        </w:rPr>
      </w:pPr>
    </w:p>
    <w:p w:rsidR="009A2916" w:rsidRDefault="009A2916" w:rsidP="009A2916">
      <w:pPr>
        <w:spacing w:line="288" w:lineRule="auto"/>
        <w:ind w:firstLineChars="200" w:firstLine="480"/>
        <w:rPr>
          <w:sz w:val="24"/>
        </w:rPr>
      </w:pPr>
      <w:r w:rsidRPr="006A581C">
        <w:rPr>
          <w:rFonts w:hint="eastAsia"/>
          <w:sz w:val="24"/>
        </w:rPr>
        <w:t>在保证公司正常经营业务和长期发展的前提下，如无重大投资计划或重大现金支出等事项发生，</w:t>
      </w:r>
      <w:r w:rsidRPr="00027279">
        <w:rPr>
          <w:rFonts w:hint="eastAsia"/>
          <w:sz w:val="24"/>
        </w:rPr>
        <w:t>公司原则上每年进行一次现金分红。</w:t>
      </w:r>
      <w:r w:rsidRPr="009709BA">
        <w:rPr>
          <w:rFonts w:hint="eastAsia"/>
          <w:sz w:val="24"/>
        </w:rPr>
        <w:t>公司每年以现金方式分配的利润应当不少于当年实现的可</w:t>
      </w:r>
      <w:r>
        <w:rPr>
          <w:rFonts w:hint="eastAsia"/>
          <w:sz w:val="24"/>
        </w:rPr>
        <w:t>分配</w:t>
      </w:r>
      <w:r w:rsidRPr="009709BA">
        <w:rPr>
          <w:rFonts w:hint="eastAsia"/>
          <w:sz w:val="24"/>
        </w:rPr>
        <w:t>利润的百分之十</w:t>
      </w:r>
      <w:r w:rsidRPr="006A581C">
        <w:rPr>
          <w:rFonts w:hint="eastAsia"/>
          <w:sz w:val="24"/>
        </w:rPr>
        <w:t>，确因特殊原因不能达到上述比例的，董事会应当向股东大会作特别说明。</w:t>
      </w:r>
    </w:p>
    <w:p w:rsidR="009A2916" w:rsidRPr="006E43E4" w:rsidRDefault="009A2916" w:rsidP="009A2916">
      <w:pPr>
        <w:spacing w:line="288" w:lineRule="auto"/>
        <w:ind w:firstLineChars="200" w:firstLine="480"/>
        <w:rPr>
          <w:sz w:val="24"/>
        </w:rPr>
      </w:pPr>
    </w:p>
    <w:p w:rsidR="009A2916" w:rsidRDefault="009A2916" w:rsidP="009A2916">
      <w:pPr>
        <w:spacing w:line="288" w:lineRule="auto"/>
        <w:ind w:firstLineChars="200" w:firstLine="480"/>
        <w:rPr>
          <w:sz w:val="24"/>
        </w:rPr>
      </w:pPr>
      <w:r>
        <w:rPr>
          <w:rFonts w:hint="eastAsia"/>
          <w:sz w:val="24"/>
        </w:rPr>
        <w:t>（</w:t>
      </w:r>
      <w:r>
        <w:rPr>
          <w:rFonts w:hint="eastAsia"/>
          <w:sz w:val="24"/>
        </w:rPr>
        <w:t>2</w:t>
      </w:r>
      <w:r>
        <w:rPr>
          <w:rFonts w:hint="eastAsia"/>
          <w:sz w:val="24"/>
        </w:rPr>
        <w:t>）股票股利分配的条件</w:t>
      </w:r>
    </w:p>
    <w:p w:rsidR="009A2916" w:rsidRDefault="009A2916" w:rsidP="009A2916">
      <w:pPr>
        <w:spacing w:line="288" w:lineRule="auto"/>
        <w:ind w:firstLineChars="200" w:firstLine="480"/>
        <w:rPr>
          <w:sz w:val="24"/>
        </w:rPr>
      </w:pPr>
    </w:p>
    <w:p w:rsidR="009A2916" w:rsidRDefault="009A2916" w:rsidP="009A2916">
      <w:pPr>
        <w:spacing w:line="288" w:lineRule="auto"/>
        <w:ind w:firstLineChars="200" w:firstLine="480"/>
        <w:rPr>
          <w:sz w:val="24"/>
        </w:rPr>
      </w:pPr>
      <w:r w:rsidRPr="008F6939">
        <w:rPr>
          <w:rFonts w:hint="eastAsia"/>
          <w:sz w:val="24"/>
        </w:rPr>
        <w:t>公司在经营情况良好，并且董事会认为公司股票价格与公司股本规模不匹配、发放股票股利有益于公司全体股东整体利益时，可以在满足上述现金分红的条件下，提出股票股利分配预案。</w:t>
      </w:r>
    </w:p>
    <w:p w:rsidR="009A2916" w:rsidRDefault="009A2916" w:rsidP="009A2916">
      <w:pPr>
        <w:spacing w:line="288" w:lineRule="auto"/>
        <w:ind w:firstLineChars="200" w:firstLine="480"/>
        <w:rPr>
          <w:sz w:val="24"/>
        </w:rPr>
      </w:pPr>
    </w:p>
    <w:p w:rsidR="009A2916" w:rsidRDefault="009A2916" w:rsidP="009A2916">
      <w:pPr>
        <w:spacing w:line="288" w:lineRule="auto"/>
        <w:ind w:firstLineChars="200" w:firstLine="480"/>
        <w:rPr>
          <w:sz w:val="24"/>
        </w:rPr>
      </w:pPr>
      <w:r>
        <w:rPr>
          <w:rFonts w:hint="eastAsia"/>
          <w:sz w:val="24"/>
        </w:rPr>
        <w:t>（</w:t>
      </w:r>
      <w:r>
        <w:rPr>
          <w:rFonts w:hint="eastAsia"/>
          <w:sz w:val="24"/>
        </w:rPr>
        <w:t>3</w:t>
      </w:r>
      <w:r>
        <w:rPr>
          <w:rFonts w:hint="eastAsia"/>
          <w:sz w:val="24"/>
        </w:rPr>
        <w:t>）差异化的现金分红政策</w:t>
      </w:r>
    </w:p>
    <w:p w:rsidR="009A2916" w:rsidRDefault="009A2916" w:rsidP="009A2916">
      <w:pPr>
        <w:spacing w:line="288" w:lineRule="auto"/>
        <w:ind w:firstLineChars="200" w:firstLine="480"/>
        <w:rPr>
          <w:sz w:val="24"/>
        </w:rPr>
      </w:pPr>
    </w:p>
    <w:p w:rsidR="009A2916" w:rsidRPr="006A581C" w:rsidRDefault="009A2916" w:rsidP="009A2916">
      <w:pPr>
        <w:spacing w:line="288" w:lineRule="auto"/>
        <w:ind w:firstLineChars="200" w:firstLine="480"/>
        <w:rPr>
          <w:sz w:val="24"/>
        </w:rPr>
      </w:pPr>
      <w:r>
        <w:rPr>
          <w:sz w:val="24"/>
        </w:rPr>
        <w:t>未来三年</w:t>
      </w:r>
      <w:r>
        <w:rPr>
          <w:rFonts w:hint="eastAsia"/>
          <w:sz w:val="24"/>
        </w:rPr>
        <w:t>，</w:t>
      </w:r>
      <w:r w:rsidRPr="006A581C">
        <w:rPr>
          <w:rFonts w:hint="eastAsia"/>
          <w:sz w:val="24"/>
        </w:rPr>
        <w:t>公司董事会应当综合考虑所处行业特点、发展阶段、自身经营模式、盈利水平以及是否有重大资金支出安排等因素，区分下列情形，并按照本章程规定的程序，提出差异化的现金分红政策：</w:t>
      </w:r>
    </w:p>
    <w:p w:rsidR="009A2916" w:rsidRPr="006A581C" w:rsidRDefault="009A2916" w:rsidP="009A2916">
      <w:pPr>
        <w:spacing w:line="288" w:lineRule="auto"/>
        <w:ind w:firstLineChars="200" w:firstLine="480"/>
        <w:rPr>
          <w:sz w:val="24"/>
        </w:rPr>
      </w:pPr>
      <w:r w:rsidRPr="006A581C">
        <w:rPr>
          <w:sz w:val="24"/>
        </w:rPr>
        <w:t>1</w:t>
      </w:r>
      <w:r>
        <w:rPr>
          <w:rFonts w:hint="eastAsia"/>
          <w:sz w:val="24"/>
        </w:rPr>
        <w:t>）</w:t>
      </w:r>
      <w:r w:rsidRPr="006A581C">
        <w:rPr>
          <w:rFonts w:hint="eastAsia"/>
          <w:sz w:val="24"/>
        </w:rPr>
        <w:t>公司发展阶段属成熟期且无重大资金支出安排的，进行利润分配时，现金分红在本次利润分配中所占比例最低应达到</w:t>
      </w:r>
      <w:r w:rsidRPr="006A581C">
        <w:rPr>
          <w:sz w:val="24"/>
        </w:rPr>
        <w:t>80%</w:t>
      </w:r>
      <w:r w:rsidRPr="006A581C">
        <w:rPr>
          <w:rFonts w:hint="eastAsia"/>
          <w:sz w:val="24"/>
        </w:rPr>
        <w:t>；</w:t>
      </w:r>
    </w:p>
    <w:p w:rsidR="009A2916" w:rsidRPr="006A581C" w:rsidRDefault="009A2916" w:rsidP="009A2916">
      <w:pPr>
        <w:spacing w:line="288" w:lineRule="auto"/>
        <w:ind w:firstLineChars="200" w:firstLine="480"/>
        <w:rPr>
          <w:sz w:val="24"/>
        </w:rPr>
      </w:pPr>
      <w:r w:rsidRPr="006A581C">
        <w:rPr>
          <w:sz w:val="24"/>
        </w:rPr>
        <w:t>2</w:t>
      </w:r>
      <w:r>
        <w:rPr>
          <w:rFonts w:hint="eastAsia"/>
          <w:sz w:val="24"/>
        </w:rPr>
        <w:t>）</w:t>
      </w:r>
      <w:r w:rsidRPr="006A581C">
        <w:rPr>
          <w:rFonts w:hint="eastAsia"/>
          <w:sz w:val="24"/>
        </w:rPr>
        <w:t>公司发展阶段属成熟期且有重大资金支出安排的，进行利润分配时，现金分红在本次利润分配中所占比例最低应达到</w:t>
      </w:r>
      <w:r w:rsidRPr="006A581C">
        <w:rPr>
          <w:sz w:val="24"/>
        </w:rPr>
        <w:t>40%</w:t>
      </w:r>
      <w:r w:rsidRPr="006A581C">
        <w:rPr>
          <w:rFonts w:hint="eastAsia"/>
          <w:sz w:val="24"/>
        </w:rPr>
        <w:t>；</w:t>
      </w:r>
    </w:p>
    <w:p w:rsidR="009A2916" w:rsidRPr="006A581C" w:rsidRDefault="009A2916" w:rsidP="009A2916">
      <w:pPr>
        <w:spacing w:line="288" w:lineRule="auto"/>
        <w:ind w:firstLineChars="200" w:firstLine="480"/>
        <w:rPr>
          <w:sz w:val="24"/>
        </w:rPr>
      </w:pPr>
      <w:r w:rsidRPr="006A581C">
        <w:rPr>
          <w:sz w:val="24"/>
        </w:rPr>
        <w:t>3</w:t>
      </w:r>
      <w:r>
        <w:rPr>
          <w:rFonts w:hint="eastAsia"/>
          <w:sz w:val="24"/>
        </w:rPr>
        <w:t>）</w:t>
      </w:r>
      <w:r w:rsidRPr="006A581C">
        <w:rPr>
          <w:rFonts w:hint="eastAsia"/>
          <w:sz w:val="24"/>
        </w:rPr>
        <w:t>公司发展阶段属成长期且有重大资金支出安排的，进行利润分配时，现金分红在本次利润分配中所占比例最低应达到</w:t>
      </w:r>
      <w:r w:rsidRPr="006A581C">
        <w:rPr>
          <w:sz w:val="24"/>
        </w:rPr>
        <w:t>20%</w:t>
      </w:r>
      <w:r w:rsidRPr="006A581C">
        <w:rPr>
          <w:rFonts w:hint="eastAsia"/>
          <w:sz w:val="24"/>
        </w:rPr>
        <w:t>；</w:t>
      </w:r>
    </w:p>
    <w:p w:rsidR="009A2916" w:rsidRDefault="009A2916" w:rsidP="009A2916">
      <w:pPr>
        <w:spacing w:line="288" w:lineRule="auto"/>
        <w:ind w:firstLineChars="200" w:firstLine="480"/>
        <w:rPr>
          <w:sz w:val="24"/>
        </w:rPr>
      </w:pPr>
      <w:r w:rsidRPr="006A581C">
        <w:rPr>
          <w:sz w:val="24"/>
        </w:rPr>
        <w:t>4</w:t>
      </w:r>
      <w:r>
        <w:rPr>
          <w:rFonts w:hint="eastAsia"/>
          <w:sz w:val="24"/>
        </w:rPr>
        <w:t>）若</w:t>
      </w:r>
      <w:r w:rsidRPr="006A581C">
        <w:rPr>
          <w:rFonts w:hint="eastAsia"/>
          <w:sz w:val="24"/>
        </w:rPr>
        <w:t>公司发展阶段不易区分但有重大资金支出安排的，可以按照前项规定处理。</w:t>
      </w:r>
    </w:p>
    <w:p w:rsidR="009A2916" w:rsidRDefault="009A2916" w:rsidP="009A2916">
      <w:pPr>
        <w:spacing w:line="288" w:lineRule="auto"/>
        <w:ind w:firstLineChars="200" w:firstLine="480"/>
        <w:rPr>
          <w:sz w:val="24"/>
        </w:rPr>
      </w:pPr>
    </w:p>
    <w:p w:rsidR="009A2916" w:rsidRDefault="009A2916" w:rsidP="009A2916">
      <w:pPr>
        <w:spacing w:line="288" w:lineRule="auto"/>
        <w:ind w:firstLineChars="200" w:firstLine="480"/>
        <w:rPr>
          <w:sz w:val="24"/>
        </w:rPr>
      </w:pPr>
      <w:r>
        <w:rPr>
          <w:rFonts w:hint="eastAsia"/>
          <w:sz w:val="24"/>
        </w:rPr>
        <w:t>（</w:t>
      </w:r>
      <w:r>
        <w:rPr>
          <w:rFonts w:hint="eastAsia"/>
          <w:sz w:val="24"/>
        </w:rPr>
        <w:t>4</w:t>
      </w:r>
      <w:r>
        <w:rPr>
          <w:rFonts w:hint="eastAsia"/>
          <w:sz w:val="24"/>
        </w:rPr>
        <w:t>）利润分配预案的审议程序</w:t>
      </w:r>
    </w:p>
    <w:p w:rsidR="009A2916" w:rsidRDefault="009A2916" w:rsidP="009A2916">
      <w:pPr>
        <w:spacing w:line="288" w:lineRule="auto"/>
        <w:ind w:firstLineChars="200" w:firstLine="480"/>
        <w:rPr>
          <w:sz w:val="24"/>
        </w:rPr>
      </w:pPr>
    </w:p>
    <w:p w:rsidR="009A2916" w:rsidRDefault="009A2916" w:rsidP="009A2916">
      <w:pPr>
        <w:spacing w:line="288" w:lineRule="auto"/>
        <w:ind w:firstLineChars="200" w:firstLine="480"/>
        <w:rPr>
          <w:sz w:val="24"/>
        </w:rPr>
      </w:pPr>
      <w:r w:rsidRPr="006A581C">
        <w:rPr>
          <w:rFonts w:hint="eastAsia"/>
          <w:sz w:val="24"/>
        </w:rPr>
        <w:t>每个会计年度结束后，公司董事会应结合公司盈利情况、资金需求和股东回报情况合理提出利润分配预案，董事会在利润分配预案论证过程中，需与独立董事、监事充分讨论，并通过多种渠道充分听取中小股东意见，认真研究和论证公司现金分红的</w:t>
      </w:r>
      <w:r w:rsidRPr="006A581C">
        <w:rPr>
          <w:rFonts w:hint="eastAsia"/>
          <w:sz w:val="24"/>
        </w:rPr>
        <w:lastRenderedPageBreak/>
        <w:t>时机、条件和最低比例、调整的条件及其决策程序要求等事宜。</w:t>
      </w:r>
    </w:p>
    <w:p w:rsidR="009A2916" w:rsidRDefault="009A2916" w:rsidP="009A2916">
      <w:pPr>
        <w:spacing w:line="288" w:lineRule="auto"/>
        <w:ind w:firstLineChars="200" w:firstLine="480"/>
        <w:rPr>
          <w:sz w:val="24"/>
        </w:rPr>
      </w:pPr>
    </w:p>
    <w:p w:rsidR="009A2916" w:rsidRPr="006A581C" w:rsidRDefault="009A2916" w:rsidP="009A2916">
      <w:pPr>
        <w:spacing w:line="288" w:lineRule="auto"/>
        <w:ind w:firstLineChars="200" w:firstLine="480"/>
        <w:rPr>
          <w:sz w:val="24"/>
        </w:rPr>
      </w:pPr>
      <w:r w:rsidRPr="006A581C">
        <w:rPr>
          <w:rFonts w:hint="eastAsia"/>
          <w:sz w:val="24"/>
        </w:rPr>
        <w:t>公司董事会、监事会在审议利润分配预案时，需分别经全体董事过半数以上、二分之一以上独立董事、全体监事半数以上同意，独立董事应当发表明确意见。董事会审议通过的利润分配预案，应当提交公司股东大会进行审议。如股东大会审议发放股票股利或以公积金转增股本的方案，须经出席股东大会的股东所持表决权的三分之二以上通过。</w:t>
      </w:r>
    </w:p>
    <w:p w:rsidR="009A2916" w:rsidRDefault="009A2916" w:rsidP="009A2916">
      <w:pPr>
        <w:spacing w:line="288" w:lineRule="auto"/>
        <w:ind w:firstLineChars="200" w:firstLine="480"/>
        <w:rPr>
          <w:sz w:val="24"/>
        </w:rPr>
      </w:pPr>
    </w:p>
    <w:p w:rsidR="009A2916" w:rsidRDefault="009A2916" w:rsidP="009A2916">
      <w:pPr>
        <w:spacing w:line="288" w:lineRule="auto"/>
        <w:ind w:firstLineChars="200" w:firstLine="480"/>
        <w:rPr>
          <w:sz w:val="24"/>
        </w:rPr>
      </w:pPr>
      <w:r>
        <w:rPr>
          <w:rFonts w:hint="eastAsia"/>
          <w:sz w:val="24"/>
        </w:rPr>
        <w:t>公司在符合</w:t>
      </w:r>
      <w:r w:rsidRPr="006A581C">
        <w:rPr>
          <w:rFonts w:hint="eastAsia"/>
          <w:sz w:val="24"/>
        </w:rPr>
        <w:t>现金分红条件的情况下，因特殊原因而不进行现金分红时，董事会应就不进行现金分红的具体原因、未用于分红的资金留存用途等事项进行专项说明，并经独立董事发表意见后提交股东大会审议。</w:t>
      </w:r>
    </w:p>
    <w:p w:rsidR="009A2916" w:rsidRDefault="009A2916" w:rsidP="009A2916">
      <w:pPr>
        <w:spacing w:line="288" w:lineRule="auto"/>
        <w:ind w:firstLineChars="200" w:firstLine="480"/>
        <w:rPr>
          <w:sz w:val="24"/>
        </w:rPr>
      </w:pPr>
    </w:p>
    <w:p w:rsidR="009A2916" w:rsidRPr="00152D60" w:rsidRDefault="009A2916" w:rsidP="009A2916">
      <w:pPr>
        <w:spacing w:line="288" w:lineRule="auto"/>
        <w:ind w:firstLineChars="200" w:firstLine="480"/>
        <w:rPr>
          <w:sz w:val="24"/>
        </w:rPr>
      </w:pPr>
      <w:r>
        <w:rPr>
          <w:rFonts w:hint="eastAsia"/>
          <w:sz w:val="24"/>
        </w:rPr>
        <w:t>（</w:t>
      </w:r>
      <w:r>
        <w:rPr>
          <w:rFonts w:hint="eastAsia"/>
          <w:sz w:val="24"/>
        </w:rPr>
        <w:t>5</w:t>
      </w:r>
      <w:r>
        <w:rPr>
          <w:rFonts w:hint="eastAsia"/>
          <w:sz w:val="24"/>
        </w:rPr>
        <w:t>）利润分配政策的调整</w:t>
      </w:r>
    </w:p>
    <w:p w:rsidR="009A2916" w:rsidRDefault="009A2916" w:rsidP="009A2916">
      <w:pPr>
        <w:spacing w:line="288" w:lineRule="auto"/>
        <w:ind w:firstLineChars="200" w:firstLine="480"/>
        <w:rPr>
          <w:sz w:val="24"/>
        </w:rPr>
      </w:pPr>
    </w:p>
    <w:p w:rsidR="009A2916" w:rsidRDefault="009A2916" w:rsidP="009A2916">
      <w:pPr>
        <w:spacing w:line="288" w:lineRule="auto"/>
        <w:ind w:firstLineChars="200" w:firstLine="480"/>
        <w:rPr>
          <w:sz w:val="24"/>
        </w:rPr>
      </w:pPr>
      <w:r w:rsidRPr="006A581C">
        <w:rPr>
          <w:rFonts w:hint="eastAsia"/>
          <w:sz w:val="24"/>
        </w:rPr>
        <w:t>在对利润分配政策的决策和论证过程中，公司董事会和股东大会应当通过电话、传真、邮件等多种方式考虑独立董事和公众投资者尤其是中小股东的意见</w:t>
      </w:r>
      <w:r>
        <w:rPr>
          <w:rFonts w:hint="eastAsia"/>
          <w:sz w:val="24"/>
        </w:rPr>
        <w:t>。</w:t>
      </w:r>
    </w:p>
    <w:p w:rsidR="009A2916" w:rsidRDefault="009A2916" w:rsidP="009A2916">
      <w:pPr>
        <w:spacing w:line="288" w:lineRule="auto"/>
        <w:ind w:firstLineChars="200" w:firstLine="480"/>
        <w:rPr>
          <w:sz w:val="24"/>
        </w:rPr>
      </w:pPr>
    </w:p>
    <w:p w:rsidR="009A2916" w:rsidRPr="006A581C" w:rsidRDefault="009A2916" w:rsidP="009A2916">
      <w:pPr>
        <w:spacing w:line="288" w:lineRule="auto"/>
        <w:ind w:firstLineChars="200" w:firstLine="480"/>
        <w:rPr>
          <w:sz w:val="24"/>
        </w:rPr>
      </w:pPr>
      <w:r w:rsidRPr="006A581C">
        <w:rPr>
          <w:rFonts w:hint="eastAsia"/>
          <w:sz w:val="24"/>
        </w:rPr>
        <w:t>公司根据生产经营情况、投资规划、长期发展的需要，或者外部经营环境发生变化，确需调整利润分配政策的，应充分考虑保护中小股东权益，调整后的利润分配政策不得违反证券监管部门的有关规定。公司作出有关调整利润分配政策的议案应事先征求独立董事及监事会意见并经公司董事会审议后提交公司股东大会。股东大会审议调整利润分配政策的议案需经出席股东大会的股东所持表决权的三分之二以上通过。</w:t>
      </w:r>
    </w:p>
    <w:p w:rsidR="009A2916" w:rsidRPr="00F03FC6" w:rsidRDefault="009A2916" w:rsidP="009A2916">
      <w:pPr>
        <w:spacing w:line="288" w:lineRule="auto"/>
        <w:ind w:firstLineChars="200" w:firstLine="480"/>
        <w:rPr>
          <w:sz w:val="24"/>
        </w:rPr>
      </w:pPr>
    </w:p>
    <w:p w:rsidR="009A2916" w:rsidRPr="00F03FC6" w:rsidRDefault="009A2916" w:rsidP="009A2916">
      <w:pPr>
        <w:spacing w:line="288" w:lineRule="auto"/>
        <w:ind w:firstLineChars="200" w:firstLine="482"/>
        <w:outlineLvl w:val="0"/>
        <w:rPr>
          <w:b/>
          <w:sz w:val="24"/>
        </w:rPr>
      </w:pPr>
      <w:r w:rsidRPr="00F03FC6">
        <w:rPr>
          <w:rFonts w:hint="eastAsia"/>
          <w:b/>
          <w:sz w:val="24"/>
        </w:rPr>
        <w:t>第四条股东回报规划</w:t>
      </w:r>
      <w:r>
        <w:rPr>
          <w:rFonts w:hint="eastAsia"/>
          <w:b/>
          <w:sz w:val="24"/>
        </w:rPr>
        <w:t>的制定及调整</w:t>
      </w:r>
    </w:p>
    <w:p w:rsidR="009A2916" w:rsidRDefault="009A2916" w:rsidP="009A2916">
      <w:pPr>
        <w:spacing w:line="288" w:lineRule="auto"/>
        <w:ind w:firstLineChars="200" w:firstLine="480"/>
        <w:rPr>
          <w:sz w:val="24"/>
        </w:rPr>
      </w:pPr>
    </w:p>
    <w:p w:rsidR="009A2916" w:rsidRDefault="009A2916" w:rsidP="009A2916">
      <w:pPr>
        <w:spacing w:line="288" w:lineRule="auto"/>
        <w:ind w:firstLineChars="200" w:firstLine="480"/>
        <w:rPr>
          <w:sz w:val="24"/>
        </w:rPr>
      </w:pPr>
      <w:r>
        <w:rPr>
          <w:sz w:val="24"/>
        </w:rPr>
        <w:t>1</w:t>
      </w:r>
      <w:r>
        <w:rPr>
          <w:rFonts w:hint="eastAsia"/>
          <w:sz w:val="24"/>
        </w:rPr>
        <w:t>、</w:t>
      </w:r>
      <w:r w:rsidRPr="00F03FC6">
        <w:rPr>
          <w:rFonts w:hint="eastAsia"/>
          <w:sz w:val="24"/>
        </w:rPr>
        <w:t>公司按照法律、</w:t>
      </w:r>
      <w:r>
        <w:rPr>
          <w:rFonts w:hint="eastAsia"/>
          <w:sz w:val="24"/>
        </w:rPr>
        <w:t>行政</w:t>
      </w:r>
      <w:r w:rsidRPr="00F03FC6">
        <w:rPr>
          <w:rFonts w:hint="eastAsia"/>
          <w:sz w:val="24"/>
        </w:rPr>
        <w:t>法规及规范性文件及监管机构的要求，结合公司实际情况及股东（特别是中小股东）的意见，制定及调整股东回报规划。</w:t>
      </w:r>
    </w:p>
    <w:p w:rsidR="009A2916" w:rsidRPr="00F03FC6" w:rsidRDefault="009A2916" w:rsidP="009A2916">
      <w:pPr>
        <w:spacing w:line="288" w:lineRule="auto"/>
        <w:ind w:firstLineChars="200" w:firstLine="480"/>
        <w:rPr>
          <w:sz w:val="24"/>
        </w:rPr>
      </w:pPr>
    </w:p>
    <w:p w:rsidR="009A2916" w:rsidRDefault="009A2916" w:rsidP="009A2916">
      <w:pPr>
        <w:spacing w:line="288" w:lineRule="auto"/>
        <w:ind w:firstLineChars="200" w:firstLine="480"/>
        <w:rPr>
          <w:sz w:val="24"/>
        </w:rPr>
      </w:pPr>
      <w:r w:rsidRPr="00F03FC6">
        <w:rPr>
          <w:sz w:val="24"/>
        </w:rPr>
        <w:t>2</w:t>
      </w:r>
      <w:r w:rsidRPr="00F03FC6">
        <w:rPr>
          <w:rFonts w:hint="eastAsia"/>
          <w:sz w:val="24"/>
        </w:rPr>
        <w:t>、在充分考虑公司盈利规模、现金流量状况、发展</w:t>
      </w:r>
      <w:r>
        <w:rPr>
          <w:rFonts w:hint="eastAsia"/>
          <w:sz w:val="24"/>
        </w:rPr>
        <w:t>阶段及当期资金需求，并结合股东特别是中小股东意见的基础上，由董事会</w:t>
      </w:r>
      <w:r w:rsidRPr="00F03FC6">
        <w:rPr>
          <w:rFonts w:hint="eastAsia"/>
          <w:sz w:val="24"/>
        </w:rPr>
        <w:t>制定股东回报规划，独立董事对此发表独立意见，</w:t>
      </w:r>
      <w:r>
        <w:rPr>
          <w:rFonts w:hint="eastAsia"/>
          <w:sz w:val="24"/>
        </w:rPr>
        <w:t>并</w:t>
      </w:r>
      <w:r w:rsidRPr="00F03FC6">
        <w:rPr>
          <w:rFonts w:hint="eastAsia"/>
          <w:sz w:val="24"/>
        </w:rPr>
        <w:t>提交股东大会审议通过。</w:t>
      </w:r>
    </w:p>
    <w:p w:rsidR="009A2916" w:rsidRPr="00F03FC6" w:rsidRDefault="009A2916" w:rsidP="009A2916">
      <w:pPr>
        <w:spacing w:line="288" w:lineRule="auto"/>
        <w:ind w:firstLineChars="200" w:firstLine="480"/>
        <w:rPr>
          <w:sz w:val="24"/>
        </w:rPr>
      </w:pPr>
    </w:p>
    <w:p w:rsidR="009A2916" w:rsidRDefault="009A2916" w:rsidP="009A2916">
      <w:pPr>
        <w:spacing w:line="288" w:lineRule="auto"/>
        <w:ind w:firstLineChars="200" w:firstLine="480"/>
        <w:rPr>
          <w:sz w:val="24"/>
        </w:rPr>
      </w:pPr>
      <w:r w:rsidRPr="00F03FC6">
        <w:rPr>
          <w:sz w:val="24"/>
        </w:rPr>
        <w:t>3</w:t>
      </w:r>
      <w:r w:rsidRPr="00F03FC6">
        <w:rPr>
          <w:rFonts w:hint="eastAsia"/>
          <w:sz w:val="24"/>
        </w:rPr>
        <w:t>、公司因外部经营环境或公司自身经营需要，确有必要对公司既定的股东回报规划进行调</w:t>
      </w:r>
      <w:r>
        <w:rPr>
          <w:rFonts w:hint="eastAsia"/>
          <w:sz w:val="24"/>
        </w:rPr>
        <w:t>整的，应由董事会、独立董事审议通过后，提交股东大会以特别决议通过</w:t>
      </w:r>
      <w:r w:rsidRPr="00F03FC6">
        <w:rPr>
          <w:rFonts w:hint="eastAsia"/>
          <w:sz w:val="24"/>
        </w:rPr>
        <w:t>。</w:t>
      </w:r>
    </w:p>
    <w:p w:rsidR="009A2916" w:rsidRPr="006E43E4" w:rsidRDefault="009A2916" w:rsidP="009A2916">
      <w:pPr>
        <w:spacing w:line="288" w:lineRule="auto"/>
        <w:ind w:firstLineChars="200" w:firstLine="480"/>
        <w:rPr>
          <w:sz w:val="24"/>
        </w:rPr>
      </w:pPr>
    </w:p>
    <w:p w:rsidR="009A2916" w:rsidRPr="00F03FC6" w:rsidRDefault="009A2916" w:rsidP="009A2916">
      <w:pPr>
        <w:spacing w:line="288" w:lineRule="auto"/>
        <w:ind w:firstLineChars="200" w:firstLine="482"/>
        <w:outlineLvl w:val="0"/>
        <w:rPr>
          <w:b/>
          <w:sz w:val="24"/>
        </w:rPr>
      </w:pPr>
      <w:r>
        <w:rPr>
          <w:rFonts w:hint="eastAsia"/>
          <w:b/>
          <w:sz w:val="24"/>
        </w:rPr>
        <w:t>第五</w:t>
      </w:r>
      <w:r w:rsidRPr="00F03FC6">
        <w:rPr>
          <w:rFonts w:hint="eastAsia"/>
          <w:b/>
          <w:sz w:val="24"/>
        </w:rPr>
        <w:t>条其他</w:t>
      </w:r>
    </w:p>
    <w:p w:rsidR="009A2916" w:rsidRDefault="009A2916" w:rsidP="009A2916">
      <w:pPr>
        <w:spacing w:line="288" w:lineRule="auto"/>
        <w:ind w:firstLineChars="200" w:firstLine="480"/>
        <w:rPr>
          <w:sz w:val="24"/>
        </w:rPr>
      </w:pPr>
    </w:p>
    <w:p w:rsidR="009A2916" w:rsidRDefault="009A2916" w:rsidP="009A2916">
      <w:pPr>
        <w:spacing w:line="288" w:lineRule="auto"/>
        <w:ind w:firstLineChars="200" w:firstLine="480"/>
        <w:rPr>
          <w:sz w:val="24"/>
        </w:rPr>
      </w:pPr>
      <w:r>
        <w:rPr>
          <w:rFonts w:hint="eastAsia"/>
          <w:sz w:val="24"/>
        </w:rPr>
        <w:t>1</w:t>
      </w:r>
      <w:r>
        <w:rPr>
          <w:rFonts w:hint="eastAsia"/>
          <w:sz w:val="24"/>
        </w:rPr>
        <w:t>、</w:t>
      </w:r>
      <w:r w:rsidRPr="006E43E4">
        <w:rPr>
          <w:rFonts w:hint="eastAsia"/>
          <w:sz w:val="24"/>
        </w:rPr>
        <w:t>本规划未尽事宜，依照相关法律</w:t>
      </w:r>
      <w:r>
        <w:rPr>
          <w:rFonts w:hint="eastAsia"/>
          <w:sz w:val="24"/>
        </w:rPr>
        <w:t>、行政</w:t>
      </w:r>
      <w:r w:rsidRPr="006E43E4">
        <w:rPr>
          <w:rFonts w:hint="eastAsia"/>
          <w:sz w:val="24"/>
        </w:rPr>
        <w:t>法规、规范性文件及《公司章程》规定</w:t>
      </w:r>
      <w:r w:rsidRPr="006E43E4">
        <w:rPr>
          <w:rFonts w:hint="eastAsia"/>
          <w:sz w:val="24"/>
        </w:rPr>
        <w:lastRenderedPageBreak/>
        <w:t>执行。</w:t>
      </w:r>
    </w:p>
    <w:p w:rsidR="009A2916" w:rsidRDefault="009A2916" w:rsidP="009A2916">
      <w:pPr>
        <w:spacing w:line="288" w:lineRule="auto"/>
        <w:ind w:firstLineChars="200" w:firstLine="480"/>
        <w:rPr>
          <w:sz w:val="24"/>
        </w:rPr>
      </w:pPr>
    </w:p>
    <w:p w:rsidR="009A2916" w:rsidRPr="006E43E4" w:rsidRDefault="009A2916" w:rsidP="009A2916">
      <w:pPr>
        <w:spacing w:line="288" w:lineRule="auto"/>
        <w:ind w:firstLineChars="200" w:firstLine="480"/>
        <w:rPr>
          <w:sz w:val="24"/>
        </w:rPr>
      </w:pPr>
      <w:r>
        <w:rPr>
          <w:sz w:val="24"/>
        </w:rPr>
        <w:t>2</w:t>
      </w:r>
      <w:r>
        <w:rPr>
          <w:rFonts w:hint="eastAsia"/>
          <w:sz w:val="24"/>
        </w:rPr>
        <w:t>、</w:t>
      </w:r>
      <w:r w:rsidRPr="006E43E4">
        <w:rPr>
          <w:rFonts w:hint="eastAsia"/>
          <w:sz w:val="24"/>
        </w:rPr>
        <w:t>本规划</w:t>
      </w:r>
      <w:r>
        <w:rPr>
          <w:rFonts w:hint="eastAsia"/>
          <w:sz w:val="24"/>
        </w:rPr>
        <w:t>自公司股东大会审议通过之日起实施，</w:t>
      </w:r>
      <w:r w:rsidRPr="006E43E4">
        <w:rPr>
          <w:rFonts w:hint="eastAsia"/>
          <w:sz w:val="24"/>
        </w:rPr>
        <w:t>由公司董事会负责解释。</w:t>
      </w:r>
    </w:p>
    <w:p w:rsidR="009A2916" w:rsidRDefault="009A2916" w:rsidP="009A2916">
      <w:pPr>
        <w:spacing w:line="288" w:lineRule="auto"/>
        <w:ind w:firstLineChars="200" w:firstLine="480"/>
        <w:rPr>
          <w:sz w:val="24"/>
        </w:rPr>
      </w:pPr>
    </w:p>
    <w:p w:rsidR="009A2916" w:rsidRDefault="009A2916" w:rsidP="009A2916">
      <w:pPr>
        <w:spacing w:line="288" w:lineRule="auto"/>
        <w:ind w:firstLineChars="200" w:firstLine="480"/>
        <w:rPr>
          <w:sz w:val="24"/>
        </w:rPr>
      </w:pPr>
    </w:p>
    <w:p w:rsidR="009A2916" w:rsidRDefault="009A2916" w:rsidP="009A2916">
      <w:pPr>
        <w:spacing w:line="288" w:lineRule="auto"/>
        <w:ind w:firstLineChars="200" w:firstLine="480"/>
        <w:rPr>
          <w:sz w:val="24"/>
        </w:rPr>
      </w:pPr>
    </w:p>
    <w:p w:rsidR="009A2916" w:rsidRDefault="009A2916" w:rsidP="009A2916">
      <w:pPr>
        <w:spacing w:line="288" w:lineRule="auto"/>
        <w:ind w:firstLineChars="200" w:firstLine="480"/>
        <w:jc w:val="right"/>
        <w:rPr>
          <w:sz w:val="24"/>
        </w:rPr>
      </w:pPr>
      <w:r>
        <w:rPr>
          <w:rFonts w:hint="eastAsia"/>
          <w:sz w:val="24"/>
        </w:rPr>
        <w:t>山东新华制药</w:t>
      </w:r>
      <w:r w:rsidRPr="006E43E4">
        <w:rPr>
          <w:rFonts w:hint="eastAsia"/>
          <w:sz w:val="24"/>
        </w:rPr>
        <w:t>股份有限公司董事会</w:t>
      </w:r>
    </w:p>
    <w:p w:rsidR="009A2916" w:rsidRPr="006E43E4" w:rsidRDefault="009A2916" w:rsidP="009A2916">
      <w:pPr>
        <w:spacing w:line="288" w:lineRule="auto"/>
        <w:ind w:firstLineChars="200" w:firstLine="480"/>
        <w:jc w:val="right"/>
        <w:rPr>
          <w:sz w:val="24"/>
        </w:rPr>
      </w:pPr>
    </w:p>
    <w:p w:rsidR="009A2916" w:rsidRPr="009A2916" w:rsidRDefault="009A2916" w:rsidP="009A2916">
      <w:pPr>
        <w:ind w:firstLine="418"/>
        <w:jc w:val="right"/>
        <w:rPr>
          <w:rFonts w:eastAsiaTheme="minorEastAsia"/>
          <w:lang w:eastAsia="zh-TW"/>
        </w:rPr>
      </w:pPr>
      <w:r w:rsidRPr="00E8052C">
        <w:rPr>
          <w:rFonts w:ascii="SimSun" w:hAnsi="SimSun" w:hint="eastAsia"/>
          <w:sz w:val="22"/>
          <w:szCs w:val="22"/>
        </w:rPr>
        <w:t>二</w:t>
      </w:r>
      <w:r w:rsidRPr="009A2916">
        <w:rPr>
          <w:rFonts w:ascii="PMingLiU" w:eastAsia="PMingLiU" w:hAnsi="PMingLiU" w:cs="PMingLiU" w:hint="eastAsia"/>
          <w:sz w:val="22"/>
          <w:szCs w:val="22"/>
        </w:rPr>
        <w:t>零</w:t>
      </w:r>
      <w:r w:rsidRPr="009A2916">
        <w:rPr>
          <w:rFonts w:ascii="SimSun" w:hAnsi="SimSun" w:hint="eastAsia"/>
          <w:sz w:val="22"/>
          <w:szCs w:val="22"/>
        </w:rPr>
        <w:t>一五</w:t>
      </w:r>
      <w:r w:rsidRPr="009A2916">
        <w:rPr>
          <w:rFonts w:ascii="PMingLiU" w:eastAsia="PMingLiU" w:hAnsi="PMingLiU" w:cs="PMingLiU" w:hint="eastAsia"/>
          <w:sz w:val="22"/>
          <w:szCs w:val="22"/>
        </w:rPr>
        <w:t>年</w:t>
      </w:r>
      <w:r w:rsidRPr="009A2916">
        <w:rPr>
          <w:rFonts w:ascii="SimSun" w:hAnsi="SimSun" w:hint="eastAsia"/>
          <w:sz w:val="22"/>
          <w:szCs w:val="22"/>
        </w:rPr>
        <w:t>十月八</w:t>
      </w:r>
      <w:r w:rsidRPr="00E8052C">
        <w:rPr>
          <w:rFonts w:ascii="SimSun" w:hAnsi="SimSun"/>
          <w:sz w:val="22"/>
          <w:szCs w:val="22"/>
        </w:rPr>
        <w:t>日</w:t>
      </w:r>
    </w:p>
    <w:sectPr w:rsidR="009A2916" w:rsidRPr="009A2916" w:rsidSect="000409E1">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5C2" w:rsidRDefault="00CD15C2" w:rsidP="009A50FC">
      <w:r>
        <w:separator/>
      </w:r>
    </w:p>
  </w:endnote>
  <w:endnote w:type="continuationSeparator" w:id="1">
    <w:p w:rsidR="00CD15C2" w:rsidRDefault="00CD15C2" w:rsidP="009A50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5C2" w:rsidRDefault="00CD15C2" w:rsidP="009A50FC">
      <w:r>
        <w:separator/>
      </w:r>
    </w:p>
  </w:footnote>
  <w:footnote w:type="continuationSeparator" w:id="1">
    <w:p w:rsidR="00CD15C2" w:rsidRDefault="00CD15C2" w:rsidP="009A50F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n shen">
    <w15:presenceInfo w15:providerId="Windows Live" w15:userId="7cb74fd99fe93d7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A2111E"/>
    <w:rsid w:val="000409E1"/>
    <w:rsid w:val="00286EEA"/>
    <w:rsid w:val="0067077E"/>
    <w:rsid w:val="007C6EC6"/>
    <w:rsid w:val="009A2916"/>
    <w:rsid w:val="009A50FC"/>
    <w:rsid w:val="00A2111E"/>
    <w:rsid w:val="00C373E8"/>
    <w:rsid w:val="00CD15C2"/>
    <w:rsid w:val="00CF0A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916"/>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9A2916"/>
  </w:style>
  <w:style w:type="paragraph" w:styleId="a3">
    <w:name w:val="header"/>
    <w:basedOn w:val="a"/>
    <w:link w:val="Char"/>
    <w:uiPriority w:val="99"/>
    <w:unhideWhenUsed/>
    <w:rsid w:val="009A50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50FC"/>
    <w:rPr>
      <w:rFonts w:ascii="Times New Roman" w:eastAsia="SimSun" w:hAnsi="Times New Roman" w:cs="Times New Roman"/>
      <w:kern w:val="2"/>
      <w:sz w:val="18"/>
      <w:szCs w:val="18"/>
      <w:lang w:val="en-US" w:eastAsia="zh-CN"/>
    </w:rPr>
  </w:style>
  <w:style w:type="paragraph" w:styleId="a4">
    <w:name w:val="footer"/>
    <w:basedOn w:val="a"/>
    <w:link w:val="Char0"/>
    <w:uiPriority w:val="99"/>
    <w:unhideWhenUsed/>
    <w:rsid w:val="009A50FC"/>
    <w:pPr>
      <w:tabs>
        <w:tab w:val="center" w:pos="4153"/>
        <w:tab w:val="right" w:pos="8306"/>
      </w:tabs>
      <w:snapToGrid w:val="0"/>
      <w:jc w:val="left"/>
    </w:pPr>
    <w:rPr>
      <w:sz w:val="18"/>
      <w:szCs w:val="18"/>
    </w:rPr>
  </w:style>
  <w:style w:type="character" w:customStyle="1" w:styleId="Char0">
    <w:name w:val="页脚 Char"/>
    <w:basedOn w:val="a0"/>
    <w:link w:val="a4"/>
    <w:uiPriority w:val="99"/>
    <w:rsid w:val="009A50FC"/>
    <w:rPr>
      <w:rFonts w:ascii="Times New Roman" w:eastAsia="SimSun" w:hAnsi="Times New Roman" w:cs="Times New Roman"/>
      <w:kern w:val="2"/>
      <w:sz w:val="18"/>
      <w:szCs w:val="18"/>
      <w:lang w:val="en-US" w:eastAsia="zh-CN"/>
    </w:rPr>
  </w:style>
  <w:style w:type="paragraph" w:styleId="a5">
    <w:name w:val="Balloon Text"/>
    <w:basedOn w:val="a"/>
    <w:link w:val="Char1"/>
    <w:uiPriority w:val="99"/>
    <w:semiHidden/>
    <w:unhideWhenUsed/>
    <w:rsid w:val="00CF0A53"/>
    <w:rPr>
      <w:sz w:val="18"/>
      <w:szCs w:val="18"/>
    </w:rPr>
  </w:style>
  <w:style w:type="character" w:customStyle="1" w:styleId="Char1">
    <w:name w:val="批注框文本 Char"/>
    <w:basedOn w:val="a0"/>
    <w:link w:val="a5"/>
    <w:uiPriority w:val="99"/>
    <w:semiHidden/>
    <w:rsid w:val="00CF0A53"/>
    <w:rPr>
      <w:rFonts w:ascii="Times New Roman" w:eastAsia="SimSun" w:hAnsi="Times New Roman" w:cs="Times New Roman"/>
      <w:kern w:val="2"/>
      <w:sz w:val="18"/>
      <w:szCs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16"/>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rsid w:val="009A2916"/>
  </w:style>
  <w:style w:type="paragraph" w:styleId="Header">
    <w:name w:val="header"/>
    <w:basedOn w:val="Normal"/>
    <w:link w:val="HeaderChar"/>
    <w:uiPriority w:val="99"/>
    <w:unhideWhenUsed/>
    <w:rsid w:val="009A50F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A50FC"/>
    <w:rPr>
      <w:rFonts w:ascii="Times New Roman" w:eastAsia="SimSun" w:hAnsi="Times New Roman" w:cs="Times New Roman"/>
      <w:kern w:val="2"/>
      <w:sz w:val="18"/>
      <w:szCs w:val="18"/>
      <w:lang w:val="en-US" w:eastAsia="zh-CN"/>
    </w:rPr>
  </w:style>
  <w:style w:type="paragraph" w:styleId="Footer">
    <w:name w:val="footer"/>
    <w:basedOn w:val="Normal"/>
    <w:link w:val="FooterChar"/>
    <w:uiPriority w:val="99"/>
    <w:unhideWhenUsed/>
    <w:rsid w:val="009A50F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A50FC"/>
    <w:rPr>
      <w:rFonts w:ascii="Times New Roman" w:eastAsia="SimSun" w:hAnsi="Times New Roman" w:cs="Times New Roman"/>
      <w:kern w:val="2"/>
      <w:sz w:val="18"/>
      <w:szCs w:val="18"/>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BAD44-E7F2-4884-A404-2193A0BC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曹长求</cp:lastModifiedBy>
  <cp:revision>6</cp:revision>
  <dcterms:created xsi:type="dcterms:W3CDTF">2015-09-30T23:12:00Z</dcterms:created>
  <dcterms:modified xsi:type="dcterms:W3CDTF">2015-10-08T00:07:00Z</dcterms:modified>
</cp:coreProperties>
</file>